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 w:space="0" w:color="auto"/>
        </w:tblBorders>
        <w:tblLook w:val="01E0" w:firstRow="1" w:lastRow="1" w:firstColumn="1" w:lastColumn="1" w:noHBand="0" w:noVBand="0"/>
      </w:tblPr>
      <w:tblGrid>
        <w:gridCol w:w="5398"/>
        <w:gridCol w:w="2823"/>
      </w:tblGrid>
      <w:tr w:rsidR="00CB4397" w:rsidRPr="00C44D8C" w14:paraId="3564515B" w14:textId="77777777" w:rsidTr="00436CD0">
        <w:tc>
          <w:tcPr>
            <w:tcW w:w="5628" w:type="dxa"/>
          </w:tcPr>
          <w:p w14:paraId="7BAD35C0" w14:textId="77777777" w:rsidR="00CB4397" w:rsidRPr="00C44D8C" w:rsidRDefault="00CB4397" w:rsidP="00436CD0">
            <w:pPr>
              <w:rPr>
                <w:rFonts w:asciiTheme="minorHAnsi" w:hAnsiTheme="minorHAnsi"/>
                <w:b/>
                <w:sz w:val="22"/>
                <w:szCs w:val="22"/>
              </w:rPr>
            </w:pPr>
            <w:r w:rsidRPr="00C44D8C">
              <w:rPr>
                <w:rFonts w:asciiTheme="minorHAnsi" w:hAnsiTheme="minorHAnsi" w:cs="Arial"/>
                <w:b/>
                <w:bCs/>
                <w:sz w:val="22"/>
                <w:szCs w:val="22"/>
              </w:rPr>
              <w:br w:type="column"/>
            </w:r>
            <w:r w:rsidRPr="00C44D8C">
              <w:rPr>
                <w:rFonts w:asciiTheme="minorHAnsi" w:hAnsiTheme="minorHAnsi"/>
                <w:sz w:val="22"/>
                <w:szCs w:val="22"/>
              </w:rPr>
              <w:br w:type="column"/>
            </w:r>
            <w:r w:rsidRPr="00C44D8C">
              <w:rPr>
                <w:rFonts w:asciiTheme="minorHAnsi" w:hAnsiTheme="minorHAnsi"/>
                <w:sz w:val="22"/>
                <w:szCs w:val="22"/>
              </w:rPr>
              <w:object w:dxaOrig="8101" w:dyaOrig="3240" w14:anchorId="4A80E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95pt;height:101.55pt" o:ole="">
                  <v:imagedata r:id="rId8" o:title=""/>
                </v:shape>
                <o:OLEObject Type="Embed" ProgID="MSPhotoEd.3" ShapeID="_x0000_i1025" DrawAspect="Content" ObjectID="_1568973009" r:id="rId9"/>
              </w:object>
            </w:r>
          </w:p>
          <w:p w14:paraId="3EF40C93" w14:textId="77777777" w:rsidR="00CB4397" w:rsidRPr="00C44D8C" w:rsidRDefault="00CB4397" w:rsidP="00436CD0">
            <w:pPr>
              <w:jc w:val="center"/>
              <w:rPr>
                <w:rFonts w:asciiTheme="minorHAnsi" w:hAnsiTheme="minorHAnsi"/>
                <w:b/>
                <w:sz w:val="22"/>
                <w:szCs w:val="22"/>
              </w:rPr>
            </w:pPr>
          </w:p>
        </w:tc>
        <w:tc>
          <w:tcPr>
            <w:tcW w:w="3615" w:type="dxa"/>
          </w:tcPr>
          <w:p w14:paraId="339326C4" w14:textId="77777777" w:rsidR="00CB4397" w:rsidRPr="00C44D8C" w:rsidRDefault="00CB4397" w:rsidP="00436CD0">
            <w:pPr>
              <w:rPr>
                <w:rFonts w:asciiTheme="minorHAnsi" w:hAnsiTheme="minorHAnsi"/>
                <w:sz w:val="22"/>
                <w:szCs w:val="22"/>
              </w:rPr>
            </w:pPr>
          </w:p>
          <w:p w14:paraId="2F42EBFF" w14:textId="77777777" w:rsidR="00CB4397" w:rsidRPr="00C44D8C" w:rsidRDefault="00CB4397" w:rsidP="00436CD0">
            <w:pPr>
              <w:rPr>
                <w:rFonts w:asciiTheme="minorHAnsi" w:hAnsiTheme="minorHAnsi"/>
                <w:sz w:val="44"/>
                <w:szCs w:val="44"/>
              </w:rPr>
            </w:pPr>
            <w:r w:rsidRPr="00C44D8C">
              <w:rPr>
                <w:rFonts w:asciiTheme="minorHAnsi" w:hAnsiTheme="minorHAnsi"/>
                <w:sz w:val="44"/>
                <w:szCs w:val="44"/>
              </w:rPr>
              <w:t>Chemical and Biological Engineering</w:t>
            </w:r>
          </w:p>
        </w:tc>
      </w:tr>
    </w:tbl>
    <w:p w14:paraId="6491E0FB" w14:textId="77777777" w:rsidR="00CB4397" w:rsidRPr="00C44D8C" w:rsidRDefault="00CB4397" w:rsidP="00CB4397">
      <w:pPr>
        <w:jc w:val="center"/>
        <w:rPr>
          <w:rFonts w:asciiTheme="minorHAnsi" w:hAnsiTheme="minorHAnsi"/>
          <w:b/>
          <w:sz w:val="22"/>
          <w:szCs w:val="22"/>
        </w:rPr>
      </w:pPr>
    </w:p>
    <w:p w14:paraId="4B70DD9E" w14:textId="77777777" w:rsidR="00CB4397" w:rsidRPr="00C44D8C" w:rsidRDefault="00CB4397" w:rsidP="00CB4397">
      <w:pPr>
        <w:jc w:val="center"/>
        <w:rPr>
          <w:rFonts w:asciiTheme="minorHAnsi" w:hAnsiTheme="minorHAnsi"/>
          <w:b/>
          <w:sz w:val="22"/>
          <w:szCs w:val="22"/>
        </w:rPr>
      </w:pPr>
    </w:p>
    <w:p w14:paraId="43F2C779" w14:textId="77777777" w:rsidR="00CB4397" w:rsidRPr="00C44D8C" w:rsidRDefault="00CB4397" w:rsidP="00CB4397">
      <w:pPr>
        <w:rPr>
          <w:rFonts w:asciiTheme="minorHAnsi" w:hAnsiTheme="minorHAnsi"/>
          <w:b/>
          <w:sz w:val="22"/>
          <w:szCs w:val="22"/>
        </w:rPr>
      </w:pPr>
    </w:p>
    <w:p w14:paraId="53DB34F6" w14:textId="77777777" w:rsidR="00CB4397" w:rsidRPr="00C44D8C" w:rsidRDefault="00CB4397" w:rsidP="00CB4397">
      <w:pPr>
        <w:jc w:val="center"/>
        <w:rPr>
          <w:rFonts w:asciiTheme="minorHAnsi" w:hAnsiTheme="minorHAnsi"/>
          <w:b/>
          <w:sz w:val="22"/>
          <w:szCs w:val="22"/>
        </w:rPr>
      </w:pPr>
    </w:p>
    <w:p w14:paraId="1B8BB090" w14:textId="13F269BD" w:rsidR="00CB4397" w:rsidRPr="005128E0" w:rsidRDefault="00CB4397" w:rsidP="005128E0">
      <w:pPr>
        <w:pStyle w:val="Heading6"/>
        <w:spacing w:before="0" w:line="276" w:lineRule="auto"/>
        <w:jc w:val="center"/>
        <w:rPr>
          <w:b/>
          <w:sz w:val="44"/>
          <w:szCs w:val="44"/>
        </w:rPr>
      </w:pPr>
      <w:bookmarkStart w:id="0" w:name="_Toc462575239"/>
      <w:r w:rsidRPr="005128E0">
        <w:rPr>
          <w:b/>
          <w:sz w:val="44"/>
          <w:szCs w:val="44"/>
        </w:rPr>
        <w:t xml:space="preserve">Biofilm formation of </w:t>
      </w:r>
      <w:r w:rsidRPr="005128E0">
        <w:rPr>
          <w:b/>
          <w:i/>
          <w:iCs/>
          <w:sz w:val="44"/>
          <w:szCs w:val="44"/>
        </w:rPr>
        <w:t xml:space="preserve">Methanosarcina barkeri </w:t>
      </w:r>
      <w:r w:rsidRPr="005128E0">
        <w:rPr>
          <w:b/>
          <w:sz w:val="44"/>
          <w:szCs w:val="44"/>
        </w:rPr>
        <w:t>on different support materials:</w:t>
      </w:r>
      <w:bookmarkEnd w:id="0"/>
    </w:p>
    <w:p w14:paraId="59014D11" w14:textId="77777777" w:rsidR="00CB4397" w:rsidRPr="005128E0" w:rsidRDefault="00CB4397" w:rsidP="005128E0">
      <w:pPr>
        <w:pStyle w:val="Heading6"/>
        <w:spacing w:before="0" w:line="276" w:lineRule="auto"/>
        <w:jc w:val="center"/>
        <w:rPr>
          <w:b/>
          <w:sz w:val="44"/>
          <w:szCs w:val="44"/>
        </w:rPr>
      </w:pPr>
      <w:bookmarkStart w:id="1" w:name="_Toc462575240"/>
      <w:r w:rsidRPr="005128E0">
        <w:rPr>
          <w:b/>
          <w:sz w:val="44"/>
          <w:szCs w:val="44"/>
        </w:rPr>
        <w:t>applications for anaerobic digestion</w:t>
      </w:r>
      <w:bookmarkEnd w:id="1"/>
    </w:p>
    <w:p w14:paraId="21F66D54" w14:textId="77777777" w:rsidR="00CB4397" w:rsidRPr="00C44D8C" w:rsidRDefault="00CB4397" w:rsidP="00CB4397">
      <w:pPr>
        <w:spacing w:line="276" w:lineRule="auto"/>
        <w:jc w:val="center"/>
        <w:rPr>
          <w:rFonts w:asciiTheme="minorHAnsi" w:hAnsiTheme="minorHAnsi"/>
          <w:b/>
          <w:sz w:val="44"/>
          <w:szCs w:val="44"/>
        </w:rPr>
      </w:pPr>
    </w:p>
    <w:p w14:paraId="05CCF56D" w14:textId="77777777" w:rsidR="00CB4397" w:rsidRPr="00C44D8C" w:rsidRDefault="00CB4397" w:rsidP="00CB4397">
      <w:pPr>
        <w:jc w:val="center"/>
        <w:rPr>
          <w:rFonts w:asciiTheme="minorHAnsi" w:hAnsiTheme="minorHAnsi"/>
          <w:b/>
          <w:sz w:val="22"/>
          <w:szCs w:val="22"/>
        </w:rPr>
      </w:pPr>
    </w:p>
    <w:p w14:paraId="22F01C22" w14:textId="77777777" w:rsidR="00CB4397" w:rsidRPr="00C44D8C" w:rsidRDefault="00CB4397" w:rsidP="00CB4397">
      <w:pPr>
        <w:jc w:val="center"/>
        <w:rPr>
          <w:rFonts w:asciiTheme="minorHAnsi" w:hAnsiTheme="minorHAnsi"/>
          <w:b/>
          <w:sz w:val="22"/>
          <w:szCs w:val="22"/>
        </w:rPr>
      </w:pPr>
    </w:p>
    <w:p w14:paraId="70740D67" w14:textId="77777777" w:rsidR="00CB4397" w:rsidRPr="00C44D8C" w:rsidRDefault="00CB4397" w:rsidP="005128E0">
      <w:pPr>
        <w:pStyle w:val="Heading5"/>
        <w:jc w:val="center"/>
        <w:rPr>
          <w:b w:val="0"/>
          <w:bCs/>
          <w:szCs w:val="36"/>
        </w:rPr>
      </w:pPr>
      <w:bookmarkStart w:id="2" w:name="_Toc462574092"/>
      <w:bookmarkStart w:id="3" w:name="_Toc462574518"/>
      <w:bookmarkStart w:id="4" w:name="_Toc462574657"/>
      <w:bookmarkStart w:id="5" w:name="_Toc462574709"/>
      <w:bookmarkStart w:id="6" w:name="_Toc462575241"/>
      <w:r w:rsidRPr="00C44D8C">
        <w:rPr>
          <w:b w:val="0"/>
          <w:bCs/>
          <w:szCs w:val="36"/>
        </w:rPr>
        <w:t>Vi Nguyen</w:t>
      </w:r>
      <w:bookmarkEnd w:id="2"/>
      <w:bookmarkEnd w:id="3"/>
      <w:bookmarkEnd w:id="4"/>
      <w:bookmarkEnd w:id="5"/>
      <w:bookmarkEnd w:id="6"/>
    </w:p>
    <w:p w14:paraId="2F332C71" w14:textId="77777777" w:rsidR="00CB4397" w:rsidRPr="00C44D8C" w:rsidRDefault="00CB4397" w:rsidP="005128E0">
      <w:pPr>
        <w:pStyle w:val="Heading5"/>
        <w:spacing w:before="240"/>
        <w:jc w:val="center"/>
        <w:rPr>
          <w:b w:val="0"/>
          <w:bCs/>
          <w:szCs w:val="36"/>
        </w:rPr>
      </w:pPr>
      <w:bookmarkStart w:id="7" w:name="_Toc462574093"/>
      <w:bookmarkStart w:id="8" w:name="_Toc462574519"/>
      <w:bookmarkStart w:id="9" w:name="_Toc462574658"/>
      <w:bookmarkStart w:id="10" w:name="_Toc462574710"/>
      <w:bookmarkStart w:id="11" w:name="_Toc462575242"/>
      <w:r w:rsidRPr="00C44D8C">
        <w:rPr>
          <w:b w:val="0"/>
          <w:bCs/>
          <w:szCs w:val="36"/>
        </w:rPr>
        <w:t>September 2016</w:t>
      </w:r>
      <w:bookmarkEnd w:id="7"/>
      <w:bookmarkEnd w:id="8"/>
      <w:bookmarkEnd w:id="9"/>
      <w:bookmarkEnd w:id="10"/>
      <w:bookmarkEnd w:id="11"/>
    </w:p>
    <w:p w14:paraId="593CC6FD" w14:textId="77777777" w:rsidR="00CB4397" w:rsidRPr="00C44D8C" w:rsidRDefault="00CB4397" w:rsidP="00CB4397">
      <w:pPr>
        <w:jc w:val="center"/>
        <w:rPr>
          <w:rFonts w:asciiTheme="minorHAnsi" w:hAnsiTheme="minorHAnsi"/>
          <w:b/>
          <w:sz w:val="22"/>
          <w:szCs w:val="22"/>
        </w:rPr>
      </w:pPr>
    </w:p>
    <w:p w14:paraId="0BAAACE2" w14:textId="77777777" w:rsidR="00CB4397" w:rsidRPr="00C44D8C" w:rsidRDefault="00CB4397" w:rsidP="00CB4397">
      <w:pPr>
        <w:rPr>
          <w:rFonts w:asciiTheme="minorHAnsi" w:hAnsiTheme="minorHAnsi"/>
          <w:b/>
          <w:sz w:val="22"/>
          <w:szCs w:val="22"/>
        </w:rPr>
      </w:pPr>
    </w:p>
    <w:p w14:paraId="2DB70CD4" w14:textId="77777777" w:rsidR="00CB4397" w:rsidRPr="00C44D8C" w:rsidRDefault="00CB4397" w:rsidP="00FE1A56">
      <w:pPr>
        <w:spacing w:before="120"/>
        <w:rPr>
          <w:rFonts w:asciiTheme="minorHAnsi" w:hAnsiTheme="minorHAnsi"/>
          <w:bCs/>
          <w:sz w:val="22"/>
          <w:szCs w:val="22"/>
        </w:rPr>
      </w:pPr>
    </w:p>
    <w:p w14:paraId="6273F9BB" w14:textId="77777777" w:rsidR="00CB4397" w:rsidRPr="00C44D8C" w:rsidRDefault="00CB4397" w:rsidP="00CB4397">
      <w:pPr>
        <w:spacing w:before="120"/>
        <w:jc w:val="center"/>
        <w:rPr>
          <w:rFonts w:asciiTheme="minorHAnsi" w:hAnsiTheme="minorHAnsi"/>
          <w:b/>
          <w:sz w:val="32"/>
          <w:szCs w:val="32"/>
        </w:rPr>
      </w:pPr>
      <w:r w:rsidRPr="00C44D8C">
        <w:rPr>
          <w:rFonts w:asciiTheme="minorHAnsi" w:hAnsiTheme="minorHAnsi"/>
          <w:b/>
          <w:sz w:val="32"/>
          <w:szCs w:val="32"/>
        </w:rPr>
        <w:t xml:space="preserve">Supervisors:  </w:t>
      </w:r>
    </w:p>
    <w:p w14:paraId="1640572C" w14:textId="77777777" w:rsidR="00CB4397" w:rsidRPr="00C44D8C" w:rsidRDefault="00CB4397" w:rsidP="00CB4397">
      <w:pPr>
        <w:spacing w:before="120"/>
        <w:jc w:val="center"/>
        <w:rPr>
          <w:rFonts w:asciiTheme="minorHAnsi" w:hAnsiTheme="minorHAnsi"/>
          <w:bCs/>
          <w:sz w:val="32"/>
          <w:szCs w:val="32"/>
        </w:rPr>
      </w:pPr>
      <w:r w:rsidRPr="00C44D8C">
        <w:rPr>
          <w:rFonts w:asciiTheme="minorHAnsi" w:hAnsiTheme="minorHAnsi"/>
          <w:bCs/>
          <w:sz w:val="32"/>
          <w:szCs w:val="32"/>
        </w:rPr>
        <w:t>Prof. Catherine Biggs</w:t>
      </w:r>
    </w:p>
    <w:p w14:paraId="3D5CFD77" w14:textId="77777777" w:rsidR="00CB4397" w:rsidRPr="00C44D8C" w:rsidRDefault="00CB4397" w:rsidP="00CB4397">
      <w:pPr>
        <w:spacing w:before="120"/>
        <w:jc w:val="center"/>
        <w:rPr>
          <w:rFonts w:asciiTheme="minorHAnsi" w:hAnsiTheme="minorHAnsi"/>
          <w:bCs/>
          <w:sz w:val="32"/>
          <w:szCs w:val="32"/>
        </w:rPr>
      </w:pPr>
      <w:r w:rsidRPr="00C44D8C">
        <w:rPr>
          <w:rFonts w:asciiTheme="minorHAnsi" w:hAnsiTheme="minorHAnsi"/>
          <w:bCs/>
          <w:sz w:val="32"/>
          <w:szCs w:val="32"/>
        </w:rPr>
        <w:t>Dr. Gavin Collins</w:t>
      </w:r>
    </w:p>
    <w:p w14:paraId="337486D6" w14:textId="77777777" w:rsidR="00CB4397" w:rsidRPr="00C44D8C" w:rsidRDefault="00CB4397" w:rsidP="00CB4397">
      <w:pPr>
        <w:spacing w:before="120"/>
        <w:jc w:val="center"/>
        <w:rPr>
          <w:rFonts w:asciiTheme="minorHAnsi" w:hAnsiTheme="minorHAnsi"/>
          <w:bCs/>
          <w:sz w:val="32"/>
          <w:szCs w:val="32"/>
        </w:rPr>
      </w:pPr>
      <w:r w:rsidRPr="00C44D8C">
        <w:rPr>
          <w:rFonts w:asciiTheme="minorHAnsi" w:hAnsiTheme="minorHAnsi"/>
          <w:bCs/>
          <w:sz w:val="32"/>
          <w:szCs w:val="32"/>
        </w:rPr>
        <w:t>Dr. Henriette Jensen</w:t>
      </w:r>
    </w:p>
    <w:p w14:paraId="186599F5" w14:textId="77777777" w:rsidR="00CB4397" w:rsidRPr="00C44D8C" w:rsidRDefault="00CB4397" w:rsidP="00CB4397">
      <w:pPr>
        <w:jc w:val="center"/>
        <w:rPr>
          <w:rFonts w:asciiTheme="minorHAnsi" w:hAnsiTheme="minorHAnsi"/>
          <w:b/>
          <w:sz w:val="22"/>
          <w:szCs w:val="22"/>
        </w:rPr>
      </w:pPr>
    </w:p>
    <w:p w14:paraId="0CD01A28" w14:textId="77777777" w:rsidR="00CB4397" w:rsidRPr="00C44D8C" w:rsidRDefault="00CB4397" w:rsidP="00CB4397">
      <w:pPr>
        <w:jc w:val="center"/>
        <w:rPr>
          <w:rFonts w:asciiTheme="minorHAnsi" w:hAnsiTheme="minorHAnsi"/>
          <w:bCs/>
          <w:sz w:val="22"/>
          <w:szCs w:val="22"/>
        </w:rPr>
      </w:pPr>
    </w:p>
    <w:p w14:paraId="26883551" w14:textId="77777777" w:rsidR="00CB4397" w:rsidRPr="00C44D8C" w:rsidRDefault="00CB4397" w:rsidP="00CB4397">
      <w:pPr>
        <w:jc w:val="center"/>
        <w:rPr>
          <w:rFonts w:asciiTheme="minorHAnsi" w:hAnsiTheme="minorHAnsi"/>
          <w:bCs/>
          <w:sz w:val="22"/>
          <w:szCs w:val="22"/>
        </w:rPr>
      </w:pPr>
    </w:p>
    <w:p w14:paraId="52723486" w14:textId="77777777" w:rsidR="00CB4397" w:rsidRPr="00C44D8C" w:rsidRDefault="00CB4397" w:rsidP="00CB4397">
      <w:pPr>
        <w:jc w:val="center"/>
        <w:rPr>
          <w:rFonts w:asciiTheme="minorHAnsi" w:hAnsiTheme="minorHAnsi"/>
          <w:bCs/>
          <w:sz w:val="22"/>
          <w:szCs w:val="22"/>
        </w:rPr>
      </w:pPr>
    </w:p>
    <w:p w14:paraId="0255D931" w14:textId="77777777" w:rsidR="00CB4397" w:rsidRPr="00C44D8C" w:rsidRDefault="00CB4397" w:rsidP="00FE1A56">
      <w:pPr>
        <w:spacing w:line="276" w:lineRule="auto"/>
        <w:jc w:val="center"/>
        <w:rPr>
          <w:rFonts w:asciiTheme="minorHAnsi" w:hAnsiTheme="minorHAnsi"/>
          <w:bCs/>
          <w:sz w:val="28"/>
          <w:szCs w:val="28"/>
        </w:rPr>
      </w:pPr>
      <w:r w:rsidRPr="00C44D8C">
        <w:rPr>
          <w:rFonts w:asciiTheme="minorHAnsi" w:hAnsiTheme="minorHAnsi"/>
          <w:bCs/>
          <w:sz w:val="28"/>
          <w:szCs w:val="28"/>
        </w:rPr>
        <w:t xml:space="preserve">A thesis presented to the University of Sheffield in fulfilment of the thesis requirement for the degree of </w:t>
      </w:r>
    </w:p>
    <w:p w14:paraId="3279DE7B" w14:textId="77777777" w:rsidR="00CB4397" w:rsidRDefault="00CB4397" w:rsidP="00FE1A56">
      <w:pPr>
        <w:spacing w:line="276" w:lineRule="auto"/>
        <w:jc w:val="center"/>
        <w:rPr>
          <w:rFonts w:asciiTheme="minorHAnsi" w:hAnsiTheme="minorHAnsi"/>
          <w:bCs/>
          <w:sz w:val="28"/>
          <w:szCs w:val="28"/>
        </w:rPr>
      </w:pPr>
      <w:r w:rsidRPr="00C44D8C">
        <w:rPr>
          <w:rFonts w:asciiTheme="minorHAnsi" w:hAnsiTheme="minorHAnsi"/>
          <w:bCs/>
          <w:sz w:val="28"/>
          <w:szCs w:val="28"/>
        </w:rPr>
        <w:t>Doctor of Philosophy in Chemical and Biological Engineering</w:t>
      </w:r>
    </w:p>
    <w:p w14:paraId="4DEF7B4D" w14:textId="77777777" w:rsidR="00C44D8C" w:rsidRDefault="00C44D8C" w:rsidP="00FE1A56">
      <w:pPr>
        <w:spacing w:line="276" w:lineRule="auto"/>
        <w:jc w:val="center"/>
        <w:rPr>
          <w:rFonts w:asciiTheme="minorHAnsi" w:hAnsiTheme="minorHAnsi"/>
          <w:bCs/>
          <w:sz w:val="28"/>
          <w:szCs w:val="28"/>
        </w:rPr>
      </w:pPr>
    </w:p>
    <w:p w14:paraId="2E75918A" w14:textId="77777777" w:rsidR="002D6EBE" w:rsidRDefault="002D6EBE" w:rsidP="00FE1A56">
      <w:pPr>
        <w:spacing w:line="276" w:lineRule="auto"/>
        <w:jc w:val="center"/>
        <w:rPr>
          <w:rFonts w:asciiTheme="minorHAnsi" w:hAnsiTheme="minorHAnsi"/>
          <w:bCs/>
          <w:sz w:val="28"/>
          <w:szCs w:val="28"/>
        </w:rPr>
      </w:pPr>
    </w:p>
    <w:p w14:paraId="74D27349" w14:textId="77777777" w:rsidR="002D6EBE" w:rsidRDefault="002D6EBE" w:rsidP="00FE1A56">
      <w:pPr>
        <w:spacing w:line="276" w:lineRule="auto"/>
        <w:jc w:val="center"/>
        <w:rPr>
          <w:rFonts w:asciiTheme="minorHAnsi" w:hAnsiTheme="minorHAnsi"/>
          <w:bCs/>
          <w:sz w:val="28"/>
          <w:szCs w:val="28"/>
        </w:rPr>
        <w:sectPr w:rsidR="002D6EBE" w:rsidSect="00DF337D">
          <w:footerReference w:type="default" r:id="rId10"/>
          <w:pgSz w:w="11907" w:h="16840" w:code="9"/>
          <w:pgMar w:top="1418" w:right="1418" w:bottom="1418" w:left="2268" w:header="0" w:footer="578" w:gutter="0"/>
          <w:pgNumType w:fmt="lowerRoman" w:start="1"/>
          <w:cols w:space="720"/>
          <w:titlePg/>
        </w:sectPr>
      </w:pPr>
    </w:p>
    <w:p w14:paraId="6F5D3558" w14:textId="6B59F32A" w:rsidR="002D6EBE" w:rsidRDefault="002D6EBE" w:rsidP="00FE1A56">
      <w:pPr>
        <w:spacing w:line="276" w:lineRule="auto"/>
        <w:jc w:val="center"/>
        <w:rPr>
          <w:rFonts w:asciiTheme="minorHAnsi" w:hAnsiTheme="minorHAnsi"/>
          <w:bCs/>
          <w:sz w:val="28"/>
          <w:szCs w:val="28"/>
        </w:rPr>
      </w:pPr>
    </w:p>
    <w:p w14:paraId="775A23D1" w14:textId="31E45640" w:rsidR="00C44D8C" w:rsidRDefault="00C44D8C" w:rsidP="00FE1A56">
      <w:pPr>
        <w:spacing w:line="276" w:lineRule="auto"/>
        <w:jc w:val="center"/>
        <w:rPr>
          <w:rFonts w:asciiTheme="minorHAnsi" w:hAnsiTheme="minorHAnsi"/>
          <w:bCs/>
          <w:sz w:val="28"/>
          <w:szCs w:val="28"/>
        </w:rPr>
      </w:pPr>
    </w:p>
    <w:p w14:paraId="581D09E0" w14:textId="77777777" w:rsidR="00C44D8C" w:rsidRDefault="00C44D8C" w:rsidP="00FE1A56">
      <w:pPr>
        <w:spacing w:line="276" w:lineRule="auto"/>
        <w:jc w:val="center"/>
        <w:rPr>
          <w:rFonts w:asciiTheme="minorHAnsi" w:hAnsiTheme="minorHAnsi"/>
          <w:bCs/>
          <w:sz w:val="28"/>
          <w:szCs w:val="28"/>
        </w:rPr>
      </w:pPr>
    </w:p>
    <w:p w14:paraId="6D10C770" w14:textId="77777777" w:rsidR="00C44D8C" w:rsidRDefault="00C44D8C" w:rsidP="00FE1A56">
      <w:pPr>
        <w:spacing w:line="276" w:lineRule="auto"/>
        <w:jc w:val="center"/>
        <w:rPr>
          <w:rFonts w:asciiTheme="minorHAnsi" w:hAnsiTheme="minorHAnsi"/>
          <w:bCs/>
          <w:sz w:val="28"/>
          <w:szCs w:val="28"/>
        </w:rPr>
      </w:pPr>
    </w:p>
    <w:p w14:paraId="37C01790" w14:textId="77777777" w:rsidR="00C44D8C" w:rsidRDefault="00C44D8C" w:rsidP="00FE1A56">
      <w:pPr>
        <w:spacing w:line="276" w:lineRule="auto"/>
        <w:jc w:val="center"/>
        <w:rPr>
          <w:rFonts w:asciiTheme="minorHAnsi" w:hAnsiTheme="minorHAnsi"/>
          <w:bCs/>
          <w:sz w:val="28"/>
          <w:szCs w:val="28"/>
        </w:rPr>
      </w:pPr>
    </w:p>
    <w:p w14:paraId="5F54BD29" w14:textId="77777777" w:rsidR="00C44D8C" w:rsidRDefault="00C44D8C" w:rsidP="00C44D8C">
      <w:pPr>
        <w:spacing w:line="276" w:lineRule="auto"/>
        <w:rPr>
          <w:rFonts w:asciiTheme="minorHAnsi" w:hAnsiTheme="minorHAnsi"/>
          <w:bCs/>
          <w:sz w:val="28"/>
          <w:szCs w:val="28"/>
        </w:rPr>
      </w:pPr>
    </w:p>
    <w:p w14:paraId="50E9C388" w14:textId="77777777" w:rsidR="00C44D8C" w:rsidRDefault="00C44D8C" w:rsidP="00C44D8C">
      <w:pPr>
        <w:spacing w:line="276" w:lineRule="auto"/>
        <w:rPr>
          <w:rFonts w:asciiTheme="minorHAnsi" w:hAnsiTheme="minorHAnsi"/>
          <w:bCs/>
          <w:sz w:val="28"/>
          <w:szCs w:val="28"/>
        </w:rPr>
      </w:pPr>
    </w:p>
    <w:p w14:paraId="32FF18FD" w14:textId="77777777" w:rsidR="00C44D8C" w:rsidRDefault="00C44D8C" w:rsidP="00C44D8C">
      <w:pPr>
        <w:spacing w:line="276" w:lineRule="auto"/>
        <w:rPr>
          <w:rFonts w:asciiTheme="minorHAnsi" w:hAnsiTheme="minorHAnsi"/>
          <w:bCs/>
          <w:sz w:val="28"/>
          <w:szCs w:val="28"/>
        </w:rPr>
      </w:pPr>
    </w:p>
    <w:p w14:paraId="7F6E80EA" w14:textId="77777777" w:rsidR="00C44D8C" w:rsidRDefault="00C44D8C" w:rsidP="00C44D8C">
      <w:pPr>
        <w:spacing w:line="276" w:lineRule="auto"/>
        <w:rPr>
          <w:rFonts w:asciiTheme="minorHAnsi" w:hAnsiTheme="minorHAnsi"/>
          <w:bCs/>
          <w:sz w:val="28"/>
          <w:szCs w:val="28"/>
        </w:rPr>
      </w:pPr>
    </w:p>
    <w:p w14:paraId="4D549D7F" w14:textId="77777777" w:rsidR="00C44D8C" w:rsidRPr="00C44D8C" w:rsidRDefault="00C44D8C" w:rsidP="00C44D8C">
      <w:pPr>
        <w:spacing w:line="276" w:lineRule="auto"/>
        <w:rPr>
          <w:rFonts w:asciiTheme="minorHAnsi" w:hAnsiTheme="minorHAnsi"/>
          <w:bCs/>
          <w:sz w:val="28"/>
          <w:szCs w:val="28"/>
        </w:rPr>
        <w:sectPr w:rsidR="00C44D8C" w:rsidRPr="00C44D8C" w:rsidSect="00DF337D">
          <w:pgSz w:w="11907" w:h="16840" w:code="9"/>
          <w:pgMar w:top="1418" w:right="1418" w:bottom="1418" w:left="2268" w:header="0" w:footer="578" w:gutter="0"/>
          <w:pgNumType w:fmt="lowerRoman" w:start="1"/>
          <w:cols w:space="720"/>
          <w:titlePg/>
        </w:sectPr>
      </w:pPr>
    </w:p>
    <w:p w14:paraId="0858D893" w14:textId="2CEC1B55" w:rsidR="00CB4397" w:rsidRPr="009D6C7D" w:rsidRDefault="009D6C7D" w:rsidP="009D6C7D">
      <w:pPr>
        <w:pStyle w:val="Heading1"/>
      </w:pPr>
      <w:bookmarkStart w:id="12" w:name="_Toc462575243"/>
      <w:r w:rsidRPr="009D6C7D">
        <w:lastRenderedPageBreak/>
        <w:t xml:space="preserve">I. </w:t>
      </w:r>
      <w:r w:rsidR="00CB4397" w:rsidRPr="009D6C7D">
        <w:t>Declaration</w:t>
      </w:r>
      <w:bookmarkEnd w:id="12"/>
    </w:p>
    <w:p w14:paraId="5379393F" w14:textId="77777777" w:rsidR="00CB4397" w:rsidRPr="00C44D8C" w:rsidRDefault="00CB4397" w:rsidP="00DF337D">
      <w:pPr>
        <w:spacing w:line="360" w:lineRule="auto"/>
        <w:rPr>
          <w:rFonts w:asciiTheme="minorHAnsi" w:hAnsiTheme="minorHAnsi"/>
          <w:sz w:val="22"/>
          <w:szCs w:val="22"/>
        </w:rPr>
      </w:pPr>
      <w:r w:rsidRPr="00C44D8C">
        <w:rPr>
          <w:rFonts w:asciiTheme="minorHAnsi" w:hAnsiTheme="minorHAnsi"/>
          <w:sz w:val="22"/>
          <w:szCs w:val="22"/>
        </w:rPr>
        <w:t>I, Vi Nguyen, declare that I am the sole author of this thesis and that the research presented within is the result of my own efforts, unless acknowledged otherwise in the text. I confirm that this work has not been submitted for any other degrees.</w:t>
      </w:r>
    </w:p>
    <w:p w14:paraId="6C96086A" w14:textId="77777777" w:rsidR="00436CD0" w:rsidRPr="00C44D8C" w:rsidRDefault="00436CD0">
      <w:pPr>
        <w:rPr>
          <w:rFonts w:asciiTheme="minorHAnsi" w:hAnsiTheme="minorHAnsi"/>
          <w:sz w:val="22"/>
          <w:szCs w:val="22"/>
        </w:rPr>
      </w:pPr>
    </w:p>
    <w:p w14:paraId="52CDC53D" w14:textId="77777777" w:rsidR="00CB4397" w:rsidRPr="00C44D8C" w:rsidRDefault="00CB4397">
      <w:pPr>
        <w:rPr>
          <w:rFonts w:asciiTheme="minorHAnsi" w:hAnsiTheme="minorHAnsi"/>
          <w:sz w:val="22"/>
          <w:szCs w:val="22"/>
        </w:rPr>
      </w:pPr>
    </w:p>
    <w:p w14:paraId="3B14A361" w14:textId="77777777" w:rsidR="00CB4397" w:rsidRPr="00C44D8C" w:rsidRDefault="00CB4397">
      <w:pPr>
        <w:rPr>
          <w:rFonts w:asciiTheme="minorHAnsi" w:hAnsiTheme="minorHAnsi"/>
          <w:sz w:val="22"/>
          <w:szCs w:val="22"/>
        </w:rPr>
      </w:pPr>
    </w:p>
    <w:p w14:paraId="21CCA17F" w14:textId="77777777" w:rsidR="00CB4397" w:rsidRPr="00C44D8C" w:rsidRDefault="00CB4397">
      <w:pPr>
        <w:rPr>
          <w:rFonts w:asciiTheme="minorHAnsi" w:hAnsiTheme="minorHAnsi"/>
          <w:sz w:val="22"/>
          <w:szCs w:val="22"/>
        </w:rPr>
      </w:pPr>
    </w:p>
    <w:p w14:paraId="425C5622" w14:textId="77777777" w:rsidR="00CB4397" w:rsidRPr="00C44D8C" w:rsidRDefault="00CB4397">
      <w:pPr>
        <w:rPr>
          <w:rFonts w:asciiTheme="minorHAnsi" w:hAnsiTheme="minorHAnsi"/>
          <w:sz w:val="22"/>
          <w:szCs w:val="22"/>
        </w:rPr>
      </w:pPr>
    </w:p>
    <w:p w14:paraId="6B613DC0" w14:textId="77777777" w:rsidR="00CB4397" w:rsidRPr="00C44D8C" w:rsidRDefault="00CB4397">
      <w:pPr>
        <w:rPr>
          <w:rFonts w:asciiTheme="minorHAnsi" w:hAnsiTheme="minorHAnsi"/>
          <w:sz w:val="22"/>
          <w:szCs w:val="22"/>
        </w:rPr>
      </w:pPr>
    </w:p>
    <w:p w14:paraId="0C8AE211" w14:textId="77777777" w:rsidR="00CB4397" w:rsidRPr="00C44D8C" w:rsidRDefault="00CB4397">
      <w:pPr>
        <w:rPr>
          <w:rFonts w:asciiTheme="minorHAnsi" w:hAnsiTheme="minorHAnsi"/>
          <w:sz w:val="22"/>
          <w:szCs w:val="22"/>
        </w:rPr>
      </w:pPr>
    </w:p>
    <w:p w14:paraId="470F6EA2" w14:textId="77777777" w:rsidR="00CB4397" w:rsidRPr="00C44D8C" w:rsidRDefault="00CB4397">
      <w:pPr>
        <w:rPr>
          <w:rFonts w:asciiTheme="minorHAnsi" w:hAnsiTheme="minorHAnsi"/>
          <w:sz w:val="22"/>
          <w:szCs w:val="22"/>
        </w:rPr>
      </w:pPr>
    </w:p>
    <w:p w14:paraId="36140921" w14:textId="77777777" w:rsidR="00CB4397" w:rsidRPr="00C44D8C" w:rsidRDefault="00CB4397">
      <w:pPr>
        <w:rPr>
          <w:rFonts w:asciiTheme="minorHAnsi" w:hAnsiTheme="minorHAnsi"/>
          <w:sz w:val="22"/>
          <w:szCs w:val="22"/>
        </w:rPr>
      </w:pPr>
    </w:p>
    <w:p w14:paraId="39AF0D62" w14:textId="77777777" w:rsidR="00CB4397" w:rsidRPr="00C44D8C" w:rsidRDefault="00CB4397">
      <w:pPr>
        <w:rPr>
          <w:rFonts w:asciiTheme="minorHAnsi" w:hAnsiTheme="minorHAnsi"/>
          <w:sz w:val="22"/>
          <w:szCs w:val="22"/>
        </w:rPr>
      </w:pPr>
    </w:p>
    <w:p w14:paraId="0BA12CA4" w14:textId="77777777" w:rsidR="00CB4397" w:rsidRPr="00C44D8C" w:rsidRDefault="00CB4397">
      <w:pPr>
        <w:rPr>
          <w:rFonts w:asciiTheme="minorHAnsi" w:hAnsiTheme="minorHAnsi"/>
          <w:sz w:val="22"/>
          <w:szCs w:val="22"/>
        </w:rPr>
      </w:pPr>
    </w:p>
    <w:p w14:paraId="413A405B" w14:textId="77777777" w:rsidR="00CB4397" w:rsidRPr="00C44D8C" w:rsidRDefault="00CB4397">
      <w:pPr>
        <w:rPr>
          <w:rFonts w:asciiTheme="minorHAnsi" w:hAnsiTheme="minorHAnsi"/>
          <w:sz w:val="22"/>
          <w:szCs w:val="22"/>
        </w:rPr>
      </w:pPr>
    </w:p>
    <w:p w14:paraId="72C3C669" w14:textId="77777777" w:rsidR="00CB4397" w:rsidRPr="00C44D8C" w:rsidRDefault="00CB4397">
      <w:pPr>
        <w:rPr>
          <w:rFonts w:asciiTheme="minorHAnsi" w:hAnsiTheme="minorHAnsi"/>
          <w:sz w:val="22"/>
          <w:szCs w:val="22"/>
        </w:rPr>
      </w:pPr>
    </w:p>
    <w:p w14:paraId="5B9FA4CD" w14:textId="77777777" w:rsidR="00CB4397" w:rsidRPr="00C44D8C" w:rsidRDefault="00CB4397">
      <w:pPr>
        <w:rPr>
          <w:rFonts w:asciiTheme="minorHAnsi" w:hAnsiTheme="minorHAnsi"/>
          <w:sz w:val="22"/>
          <w:szCs w:val="22"/>
        </w:rPr>
      </w:pPr>
    </w:p>
    <w:p w14:paraId="168233A7" w14:textId="77777777" w:rsidR="00CB4397" w:rsidRPr="00C44D8C" w:rsidRDefault="00CB4397">
      <w:pPr>
        <w:rPr>
          <w:rFonts w:asciiTheme="minorHAnsi" w:hAnsiTheme="minorHAnsi"/>
          <w:sz w:val="22"/>
          <w:szCs w:val="22"/>
        </w:rPr>
      </w:pPr>
    </w:p>
    <w:p w14:paraId="1C0445B8" w14:textId="77777777" w:rsidR="00CB4397" w:rsidRPr="00C44D8C" w:rsidRDefault="00CB4397">
      <w:pPr>
        <w:rPr>
          <w:rFonts w:asciiTheme="minorHAnsi" w:hAnsiTheme="minorHAnsi"/>
          <w:sz w:val="22"/>
          <w:szCs w:val="22"/>
        </w:rPr>
      </w:pPr>
    </w:p>
    <w:p w14:paraId="6AF35239" w14:textId="77777777" w:rsidR="00CB4397" w:rsidRPr="00C44D8C" w:rsidRDefault="00CB4397">
      <w:pPr>
        <w:rPr>
          <w:rFonts w:asciiTheme="minorHAnsi" w:hAnsiTheme="minorHAnsi"/>
          <w:sz w:val="22"/>
          <w:szCs w:val="22"/>
        </w:rPr>
      </w:pPr>
    </w:p>
    <w:p w14:paraId="13A63F42" w14:textId="77777777" w:rsidR="00CB4397" w:rsidRPr="00C44D8C" w:rsidRDefault="00CB4397">
      <w:pPr>
        <w:rPr>
          <w:rFonts w:asciiTheme="minorHAnsi" w:hAnsiTheme="minorHAnsi"/>
          <w:sz w:val="22"/>
          <w:szCs w:val="22"/>
        </w:rPr>
      </w:pPr>
    </w:p>
    <w:p w14:paraId="6BD585D7" w14:textId="77777777" w:rsidR="00CB4397" w:rsidRPr="00C44D8C" w:rsidRDefault="00CB4397">
      <w:pPr>
        <w:rPr>
          <w:rFonts w:asciiTheme="minorHAnsi" w:hAnsiTheme="minorHAnsi"/>
          <w:sz w:val="22"/>
          <w:szCs w:val="22"/>
        </w:rPr>
      </w:pPr>
    </w:p>
    <w:p w14:paraId="797C7227" w14:textId="77777777" w:rsidR="00CB4397" w:rsidRPr="00C44D8C" w:rsidRDefault="00CB4397">
      <w:pPr>
        <w:rPr>
          <w:rFonts w:asciiTheme="minorHAnsi" w:hAnsiTheme="minorHAnsi"/>
          <w:sz w:val="22"/>
          <w:szCs w:val="22"/>
        </w:rPr>
      </w:pPr>
    </w:p>
    <w:p w14:paraId="3634357C" w14:textId="77777777" w:rsidR="00CB4397" w:rsidRPr="00C44D8C" w:rsidRDefault="00CB4397">
      <w:pPr>
        <w:rPr>
          <w:rFonts w:asciiTheme="minorHAnsi" w:hAnsiTheme="minorHAnsi"/>
          <w:sz w:val="22"/>
          <w:szCs w:val="22"/>
        </w:rPr>
      </w:pPr>
    </w:p>
    <w:p w14:paraId="0BF49E82" w14:textId="77777777" w:rsidR="00CB4397" w:rsidRPr="00C44D8C" w:rsidRDefault="00CB4397">
      <w:pPr>
        <w:rPr>
          <w:rFonts w:asciiTheme="minorHAnsi" w:hAnsiTheme="minorHAnsi"/>
          <w:sz w:val="22"/>
          <w:szCs w:val="22"/>
        </w:rPr>
      </w:pPr>
    </w:p>
    <w:p w14:paraId="42718724" w14:textId="77777777" w:rsidR="00CB4397" w:rsidRPr="00C44D8C" w:rsidRDefault="00CB4397">
      <w:pPr>
        <w:rPr>
          <w:rFonts w:asciiTheme="minorHAnsi" w:hAnsiTheme="minorHAnsi"/>
          <w:sz w:val="22"/>
          <w:szCs w:val="22"/>
        </w:rPr>
      </w:pPr>
    </w:p>
    <w:p w14:paraId="185A4679" w14:textId="77777777" w:rsidR="00CB4397" w:rsidRPr="00C44D8C" w:rsidRDefault="00CB4397">
      <w:pPr>
        <w:rPr>
          <w:rFonts w:asciiTheme="minorHAnsi" w:hAnsiTheme="minorHAnsi"/>
          <w:sz w:val="22"/>
          <w:szCs w:val="22"/>
        </w:rPr>
      </w:pPr>
    </w:p>
    <w:p w14:paraId="5A4E53FE" w14:textId="77777777" w:rsidR="00CB4397" w:rsidRPr="00C44D8C" w:rsidRDefault="00CB4397">
      <w:pPr>
        <w:rPr>
          <w:rFonts w:asciiTheme="minorHAnsi" w:hAnsiTheme="minorHAnsi"/>
          <w:sz w:val="22"/>
          <w:szCs w:val="22"/>
        </w:rPr>
      </w:pPr>
    </w:p>
    <w:p w14:paraId="09F90E6B" w14:textId="77777777" w:rsidR="00CB4397" w:rsidRPr="00C44D8C" w:rsidRDefault="00CB4397">
      <w:pPr>
        <w:rPr>
          <w:rFonts w:asciiTheme="minorHAnsi" w:hAnsiTheme="minorHAnsi"/>
          <w:sz w:val="22"/>
          <w:szCs w:val="22"/>
        </w:rPr>
      </w:pPr>
    </w:p>
    <w:p w14:paraId="32AADBDD" w14:textId="77777777" w:rsidR="00CB4397" w:rsidRPr="00C44D8C" w:rsidRDefault="00CB4397">
      <w:pPr>
        <w:rPr>
          <w:rFonts w:asciiTheme="minorHAnsi" w:hAnsiTheme="minorHAnsi"/>
          <w:sz w:val="22"/>
          <w:szCs w:val="22"/>
        </w:rPr>
      </w:pPr>
    </w:p>
    <w:p w14:paraId="5FC18194" w14:textId="77777777" w:rsidR="00CB4397" w:rsidRPr="00C44D8C" w:rsidRDefault="00CB4397">
      <w:pPr>
        <w:rPr>
          <w:rFonts w:asciiTheme="minorHAnsi" w:hAnsiTheme="minorHAnsi"/>
          <w:sz w:val="22"/>
          <w:szCs w:val="22"/>
        </w:rPr>
      </w:pPr>
    </w:p>
    <w:p w14:paraId="1D94F1DF" w14:textId="77777777" w:rsidR="00CB4397" w:rsidRPr="00C44D8C" w:rsidRDefault="00CB4397">
      <w:pPr>
        <w:rPr>
          <w:rFonts w:asciiTheme="minorHAnsi" w:hAnsiTheme="minorHAnsi"/>
          <w:sz w:val="22"/>
          <w:szCs w:val="22"/>
        </w:rPr>
      </w:pPr>
    </w:p>
    <w:p w14:paraId="760FA916" w14:textId="77777777" w:rsidR="00CB4397" w:rsidRPr="00C44D8C" w:rsidRDefault="00CB4397">
      <w:pPr>
        <w:rPr>
          <w:rFonts w:asciiTheme="minorHAnsi" w:hAnsiTheme="minorHAnsi"/>
          <w:sz w:val="22"/>
          <w:szCs w:val="22"/>
        </w:rPr>
      </w:pPr>
    </w:p>
    <w:p w14:paraId="51D6B038" w14:textId="77777777" w:rsidR="00CB4397" w:rsidRPr="00C44D8C" w:rsidRDefault="00CB4397">
      <w:pPr>
        <w:rPr>
          <w:rFonts w:asciiTheme="minorHAnsi" w:hAnsiTheme="minorHAnsi"/>
          <w:sz w:val="22"/>
          <w:szCs w:val="22"/>
        </w:rPr>
      </w:pPr>
    </w:p>
    <w:p w14:paraId="34333EAB" w14:textId="77777777" w:rsidR="00CB4397" w:rsidRPr="00C44D8C" w:rsidRDefault="00CB4397">
      <w:pPr>
        <w:rPr>
          <w:rFonts w:asciiTheme="minorHAnsi" w:hAnsiTheme="minorHAnsi"/>
          <w:sz w:val="22"/>
          <w:szCs w:val="22"/>
        </w:rPr>
      </w:pPr>
    </w:p>
    <w:p w14:paraId="2CF7F64C" w14:textId="77777777" w:rsidR="00CB4397" w:rsidRPr="00C44D8C" w:rsidRDefault="00CB4397">
      <w:pPr>
        <w:rPr>
          <w:rFonts w:asciiTheme="minorHAnsi" w:hAnsiTheme="minorHAnsi"/>
          <w:sz w:val="22"/>
          <w:szCs w:val="22"/>
        </w:rPr>
      </w:pPr>
    </w:p>
    <w:p w14:paraId="3FB082B9" w14:textId="77777777" w:rsidR="00CB4397" w:rsidRPr="00C44D8C" w:rsidRDefault="00CB4397">
      <w:pPr>
        <w:rPr>
          <w:rFonts w:asciiTheme="minorHAnsi" w:hAnsiTheme="minorHAnsi"/>
          <w:sz w:val="22"/>
          <w:szCs w:val="22"/>
        </w:rPr>
      </w:pPr>
    </w:p>
    <w:p w14:paraId="7193C720" w14:textId="77777777" w:rsidR="00CB4397" w:rsidRPr="00C44D8C" w:rsidRDefault="00CB4397">
      <w:pPr>
        <w:rPr>
          <w:rFonts w:asciiTheme="minorHAnsi" w:hAnsiTheme="minorHAnsi"/>
          <w:sz w:val="22"/>
          <w:szCs w:val="22"/>
        </w:rPr>
      </w:pPr>
    </w:p>
    <w:p w14:paraId="4D4B013F" w14:textId="77777777" w:rsidR="00CB4397" w:rsidRPr="00C44D8C" w:rsidRDefault="00CB4397">
      <w:pPr>
        <w:rPr>
          <w:rFonts w:asciiTheme="minorHAnsi" w:hAnsiTheme="minorHAnsi"/>
          <w:sz w:val="22"/>
          <w:szCs w:val="22"/>
        </w:rPr>
      </w:pPr>
    </w:p>
    <w:p w14:paraId="517BBA02" w14:textId="77777777" w:rsidR="00CB4397" w:rsidRPr="00C44D8C" w:rsidRDefault="00CB4397">
      <w:pPr>
        <w:rPr>
          <w:rFonts w:asciiTheme="minorHAnsi" w:hAnsiTheme="minorHAnsi"/>
          <w:sz w:val="22"/>
          <w:szCs w:val="22"/>
        </w:rPr>
      </w:pPr>
    </w:p>
    <w:p w14:paraId="129BBCB1" w14:textId="77777777" w:rsidR="00CB4397" w:rsidRPr="00C44D8C" w:rsidRDefault="00CB4397">
      <w:pPr>
        <w:rPr>
          <w:rFonts w:asciiTheme="minorHAnsi" w:hAnsiTheme="minorHAnsi"/>
          <w:sz w:val="22"/>
          <w:szCs w:val="22"/>
        </w:rPr>
      </w:pPr>
    </w:p>
    <w:p w14:paraId="7F201B9F" w14:textId="77777777" w:rsidR="002D6EBE" w:rsidRDefault="002D6EBE">
      <w:pPr>
        <w:rPr>
          <w:rFonts w:asciiTheme="minorHAnsi" w:hAnsiTheme="minorHAnsi"/>
          <w:sz w:val="22"/>
          <w:szCs w:val="22"/>
        </w:rPr>
      </w:pPr>
    </w:p>
    <w:p w14:paraId="0DD0A2D1" w14:textId="77777777" w:rsidR="002D6EBE" w:rsidRDefault="002D6EBE">
      <w:pPr>
        <w:rPr>
          <w:rFonts w:asciiTheme="minorHAnsi" w:hAnsiTheme="minorHAnsi"/>
          <w:sz w:val="22"/>
          <w:szCs w:val="22"/>
        </w:rPr>
        <w:sectPr w:rsidR="002D6EBE" w:rsidSect="00407344">
          <w:headerReference w:type="default" r:id="rId11"/>
          <w:pgSz w:w="11906" w:h="16838"/>
          <w:pgMar w:top="1418" w:right="1418" w:bottom="1418" w:left="2268" w:header="708" w:footer="708" w:gutter="0"/>
          <w:pgNumType w:fmt="lowerRoman" w:start="1"/>
          <w:cols w:space="708"/>
          <w:docGrid w:linePitch="360"/>
        </w:sectPr>
      </w:pPr>
    </w:p>
    <w:p w14:paraId="4496AF3F" w14:textId="5154B8CE" w:rsidR="00CB4397" w:rsidRPr="00C44D8C" w:rsidRDefault="00CB4397" w:rsidP="00C44D8C">
      <w:pPr>
        <w:pStyle w:val="Heading1"/>
      </w:pPr>
      <w:bookmarkStart w:id="13" w:name="_Toc462575244"/>
      <w:r w:rsidRPr="00C44D8C">
        <w:lastRenderedPageBreak/>
        <w:t>II. List of figures</w:t>
      </w:r>
      <w:bookmarkEnd w:id="13"/>
    </w:p>
    <w:p w14:paraId="63CDE6A4"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Fig. 2.1</w:t>
      </w:r>
      <w:r w:rsidRPr="00C44D8C">
        <w:rPr>
          <w:rFonts w:asciiTheme="minorHAnsi" w:eastAsia="Calibri" w:hAnsiTheme="minorHAnsi" w:cs="Calibri"/>
          <w:sz w:val="22"/>
          <w:szCs w:val="22"/>
        </w:rPr>
        <w:t xml:space="preserve"> Biochemical steps involved in anaerobic digestion.</w:t>
      </w:r>
    </w:p>
    <w:p w14:paraId="6D160ADA"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 xml:space="preserve">Fig. 2.2 </w:t>
      </w:r>
      <w:r w:rsidRPr="00C44D8C">
        <w:rPr>
          <w:rFonts w:asciiTheme="minorHAnsi" w:eastAsia="Calibri" w:hAnsiTheme="minorHAnsi" w:cs="Calibri"/>
          <w:sz w:val="22"/>
          <w:szCs w:val="22"/>
        </w:rPr>
        <w:t>The four methanogenic pathways found in the methanogenic archaea with their associated enzymes. The hydrogenotrophic pathway is shown in red (A). The aceticlastic pathway is shown in blue (B). The methylotrophic pathway is shown in green (C). The methyl reduction pathway is shown in orange (D). These four methanogenesis pathways overlap. The steps not used in each pathway are shaded in grey.</w:t>
      </w:r>
    </w:p>
    <w:p w14:paraId="01AB2EE8" w14:textId="77777777" w:rsidR="00CB4397" w:rsidRPr="00C44D8C" w:rsidRDefault="00CB4397" w:rsidP="00DF337D">
      <w:pPr>
        <w:spacing w:line="360" w:lineRule="auto"/>
        <w:rPr>
          <w:rFonts w:asciiTheme="minorHAnsi" w:eastAsia="Calibri" w:hAnsiTheme="minorHAnsi" w:cs="Calibri"/>
          <w:i/>
          <w:sz w:val="22"/>
          <w:szCs w:val="22"/>
        </w:rPr>
      </w:pPr>
      <w:r w:rsidRPr="00C44D8C">
        <w:rPr>
          <w:rFonts w:asciiTheme="minorHAnsi" w:eastAsia="Calibri" w:hAnsiTheme="minorHAnsi" w:cs="Calibri"/>
          <w:b/>
          <w:sz w:val="22"/>
          <w:szCs w:val="22"/>
        </w:rPr>
        <w:t>Fig. 2</w:t>
      </w:r>
      <w:r w:rsidRPr="00C44D8C">
        <w:rPr>
          <w:rFonts w:asciiTheme="minorHAnsi" w:eastAsia="Calibri" w:hAnsiTheme="minorHAnsi" w:cs="Calibri"/>
          <w:sz w:val="22"/>
          <w:szCs w:val="22"/>
        </w:rPr>
        <w:t>.</w:t>
      </w:r>
      <w:r w:rsidRPr="00C44D8C">
        <w:rPr>
          <w:rFonts w:asciiTheme="minorHAnsi" w:eastAsia="Calibri" w:hAnsiTheme="minorHAnsi" w:cs="Calibri"/>
          <w:b/>
          <w:sz w:val="22"/>
          <w:szCs w:val="22"/>
        </w:rPr>
        <w:t>3</w:t>
      </w:r>
      <w:r w:rsidRPr="00C44D8C">
        <w:rPr>
          <w:rFonts w:asciiTheme="minorHAnsi" w:eastAsia="Calibri" w:hAnsiTheme="minorHAnsi" w:cs="Calibri"/>
          <w:sz w:val="22"/>
          <w:szCs w:val="22"/>
        </w:rPr>
        <w:t xml:space="preserve"> Schematic of a potential AD system based on </w:t>
      </w:r>
      <w:r w:rsidRPr="00C44D8C">
        <w:rPr>
          <w:rFonts w:asciiTheme="minorHAnsi" w:eastAsia="Calibri" w:hAnsiTheme="minorHAnsi" w:cs="Calibri"/>
          <w:i/>
          <w:sz w:val="22"/>
          <w:szCs w:val="22"/>
        </w:rPr>
        <w:t>Methanosarcina.</w:t>
      </w:r>
    </w:p>
    <w:p w14:paraId="1F33285D"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Fig. 2.4</w:t>
      </w:r>
      <w:r w:rsidRPr="00C44D8C">
        <w:rPr>
          <w:rFonts w:asciiTheme="minorHAnsi" w:eastAsia="Calibri" w:hAnsiTheme="minorHAnsi" w:cs="Calibri"/>
          <w:sz w:val="22"/>
          <w:szCs w:val="22"/>
        </w:rPr>
        <w:t xml:space="preserve"> Diagram of the steps involved in biofilm formation: establishment of conditioning film (A), reversible adhesion mediated by physicochemical interactions (B), irreversible adhesion (C) and growth of mature biofilm (D).</w:t>
      </w:r>
    </w:p>
    <w:p w14:paraId="08A04677"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Fig. 2.5</w:t>
      </w:r>
      <w:r w:rsidRPr="00C44D8C">
        <w:rPr>
          <w:rFonts w:asciiTheme="minorHAnsi" w:eastAsia="Calibri" w:hAnsiTheme="minorHAnsi" w:cs="Calibri"/>
          <w:sz w:val="22"/>
          <w:szCs w:val="22"/>
        </w:rPr>
        <w:t xml:space="preserve"> Typical ATR-FTIR spectra of a biological sample.</w:t>
      </w:r>
    </w:p>
    <w:p w14:paraId="07BC0313"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Fig. 2.6</w:t>
      </w:r>
      <w:r w:rsidRPr="00C44D8C">
        <w:rPr>
          <w:rFonts w:asciiTheme="minorHAnsi" w:eastAsia="Calibri" w:hAnsiTheme="minorHAnsi" w:cs="Calibri"/>
          <w:sz w:val="22"/>
          <w:szCs w:val="22"/>
        </w:rPr>
        <w:t xml:space="preserve"> Schematic of the electric double layer and zeta potential.</w:t>
      </w:r>
    </w:p>
    <w:p w14:paraId="52CE9A16"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Fig. 2.7</w:t>
      </w:r>
      <w:r w:rsidRPr="00C44D8C">
        <w:rPr>
          <w:rFonts w:asciiTheme="minorHAnsi" w:eastAsia="Calibri" w:hAnsiTheme="minorHAnsi" w:cs="Calibri"/>
          <w:sz w:val="22"/>
          <w:szCs w:val="22"/>
        </w:rPr>
        <w:t xml:space="preserve"> Relationship between the contact angle and the interfacial interactions at the surface of a solid.</w:t>
      </w:r>
    </w:p>
    <w:p w14:paraId="5AFA21F2" w14:textId="77777777" w:rsidR="00CB4397" w:rsidRPr="00C44D8C" w:rsidRDefault="00CB4397" w:rsidP="00DF337D">
      <w:pPr>
        <w:spacing w:line="360" w:lineRule="auto"/>
        <w:rPr>
          <w:rFonts w:asciiTheme="minorHAnsi" w:hAnsiTheme="minorHAnsi"/>
          <w:sz w:val="22"/>
          <w:szCs w:val="22"/>
        </w:rPr>
      </w:pPr>
      <w:r w:rsidRPr="00C44D8C">
        <w:rPr>
          <w:rFonts w:asciiTheme="minorHAnsi" w:hAnsiTheme="minorHAnsi"/>
          <w:b/>
          <w:sz w:val="22"/>
          <w:szCs w:val="22"/>
        </w:rPr>
        <w:t xml:space="preserve">Fig. 2.8 </w:t>
      </w:r>
      <w:r w:rsidRPr="00C44D8C">
        <w:rPr>
          <w:rFonts w:asciiTheme="minorHAnsi" w:hAnsiTheme="minorHAnsi"/>
          <w:sz w:val="22"/>
          <w:szCs w:val="22"/>
        </w:rPr>
        <w:t>Typical DLVO interaction energy profiles and the influence of the electrostatic and van der Waals forces.</w:t>
      </w:r>
    </w:p>
    <w:p w14:paraId="48F52697" w14:textId="77777777" w:rsidR="00CB4397" w:rsidRPr="00C44D8C" w:rsidRDefault="00CB4397" w:rsidP="00DF337D">
      <w:pPr>
        <w:pStyle w:val="NormalWeb"/>
        <w:spacing w:before="0" w:beforeAutospacing="0" w:after="0" w:afterAutospacing="0"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 xml:space="preserve">Fig. 2.9 </w:t>
      </w:r>
      <w:r w:rsidRPr="00C44D8C">
        <w:rPr>
          <w:rFonts w:asciiTheme="minorHAnsi" w:eastAsia="Calibri" w:hAnsiTheme="minorHAnsi" w:cs="Calibri"/>
          <w:sz w:val="22"/>
          <w:szCs w:val="22"/>
        </w:rPr>
        <w:t xml:space="preserve">Typical proteomics workflow from a complex mixture of proteins from a cell culture, to protein analysis by MS.  </w:t>
      </w:r>
    </w:p>
    <w:p w14:paraId="7FD65B59" w14:textId="77777777" w:rsidR="00CB4397" w:rsidRPr="00C44D8C" w:rsidRDefault="00CB4397" w:rsidP="00DF337D">
      <w:pPr>
        <w:pStyle w:val="NormalWeb"/>
        <w:spacing w:before="0" w:beforeAutospacing="0" w:after="0" w:afterAutospacing="0"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 xml:space="preserve">Fig. 2.10 </w:t>
      </w:r>
      <w:r w:rsidRPr="00C44D8C">
        <w:rPr>
          <w:rFonts w:asciiTheme="minorHAnsi" w:eastAsia="Calibri" w:hAnsiTheme="minorHAnsi" w:cs="Calibri"/>
          <w:sz w:val="22"/>
          <w:szCs w:val="22"/>
        </w:rPr>
        <w:t xml:space="preserve">A typical iTRAQ workflow. The different intensities of each reporter ion in the depicted MS/MS spectrum in this diagram provides </w:t>
      </w:r>
      <w:r w:rsidRPr="00C44D8C">
        <w:rPr>
          <w:rFonts w:asciiTheme="minorHAnsi" w:hAnsiTheme="minorHAnsi"/>
          <w:color w:val="000000"/>
          <w:sz w:val="22"/>
          <w:szCs w:val="22"/>
        </w:rPr>
        <w:t>direct indication of the relative abundance of a protein in the sample.</w:t>
      </w:r>
      <w:r w:rsidRPr="00C44D8C">
        <w:rPr>
          <w:rFonts w:asciiTheme="minorHAnsi" w:eastAsia="Calibri" w:hAnsiTheme="minorHAnsi" w:cs="Calibri"/>
          <w:sz w:val="22"/>
          <w:szCs w:val="22"/>
        </w:rPr>
        <w:t xml:space="preserve"> </w:t>
      </w:r>
    </w:p>
    <w:p w14:paraId="5D7B6622" w14:textId="77777777" w:rsidR="00CB4397" w:rsidRPr="00C44D8C" w:rsidRDefault="00CB4397" w:rsidP="00DF337D">
      <w:pPr>
        <w:spacing w:line="360" w:lineRule="auto"/>
        <w:rPr>
          <w:rFonts w:asciiTheme="minorHAnsi" w:eastAsia="Calibri" w:hAnsiTheme="minorHAnsi" w:cs="Calibri"/>
          <w:b/>
          <w:sz w:val="22"/>
          <w:szCs w:val="22"/>
        </w:rPr>
      </w:pPr>
      <w:r w:rsidRPr="00C44D8C">
        <w:rPr>
          <w:rFonts w:asciiTheme="minorHAnsi" w:eastAsia="Calibri" w:hAnsiTheme="minorHAnsi" w:cs="Calibri"/>
          <w:b/>
          <w:sz w:val="22"/>
          <w:szCs w:val="22"/>
        </w:rPr>
        <w:t xml:space="preserve">Fig. 2.11 </w:t>
      </w:r>
      <w:r w:rsidRPr="00C44D8C">
        <w:rPr>
          <w:rFonts w:asciiTheme="minorHAnsi" w:eastAsia="Calibri" w:hAnsiTheme="minorHAnsi" w:cs="Calibri"/>
          <w:sz w:val="22"/>
          <w:szCs w:val="22"/>
        </w:rPr>
        <w:t>A summary of the main research areas examined in this thesis.</w:t>
      </w:r>
    </w:p>
    <w:p w14:paraId="620A097B" w14:textId="763B291C"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bCs/>
          <w:sz w:val="22"/>
          <w:szCs w:val="22"/>
        </w:rPr>
        <w:t>Fig. 3.1</w:t>
      </w:r>
      <w:r w:rsidRPr="00C44D8C">
        <w:rPr>
          <w:rFonts w:asciiTheme="minorHAnsi" w:eastAsia="Calibri" w:hAnsiTheme="minorHAnsi" w:cs="Calibri"/>
          <w:sz w:val="22"/>
          <w:szCs w:val="22"/>
        </w:rPr>
        <w:t xml:space="preserve"> Photo of (a) the gas sparging setup as adapted from </w:t>
      </w:r>
      <w:r w:rsidR="00060C8F">
        <w:rPr>
          <w:rFonts w:asciiTheme="minorHAnsi" w:eastAsia="Calibri" w:hAnsiTheme="minorHAnsi" w:cs="Calibri"/>
          <w:sz w:val="22"/>
          <w:szCs w:val="22"/>
        </w:rPr>
        <w:t xml:space="preserve">[172], </w:t>
      </w:r>
      <w:r w:rsidRPr="00C44D8C">
        <w:rPr>
          <w:rFonts w:asciiTheme="minorHAnsi" w:eastAsia="Calibri" w:hAnsiTheme="minorHAnsi" w:cs="Calibri"/>
          <w:sz w:val="22"/>
          <w:szCs w:val="22"/>
        </w:rPr>
        <w:t>with details of (b) the personalised cooling platform.</w:t>
      </w:r>
    </w:p>
    <w:p w14:paraId="361A9970"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bCs/>
          <w:sz w:val="22"/>
          <w:szCs w:val="22"/>
        </w:rPr>
        <w:t xml:space="preserve">Fig. 3.2 </w:t>
      </w:r>
      <w:r w:rsidRPr="00C44D8C">
        <w:rPr>
          <w:rFonts w:asciiTheme="minorHAnsi" w:eastAsia="Calibri" w:hAnsiTheme="minorHAnsi" w:cs="Calibri"/>
          <w:sz w:val="22"/>
          <w:szCs w:val="22"/>
        </w:rPr>
        <w:t>Modified pressure transducer used to measure the gas pressure in the headspace of cultures.</w:t>
      </w:r>
    </w:p>
    <w:p w14:paraId="357D2ACA" w14:textId="77777777" w:rsidR="00CB4397" w:rsidRPr="00C44D8C" w:rsidRDefault="00CB4397" w:rsidP="00DF337D">
      <w:pPr>
        <w:spacing w:line="360" w:lineRule="auto"/>
        <w:rPr>
          <w:rFonts w:asciiTheme="minorHAnsi" w:hAnsiTheme="minorHAnsi"/>
          <w:sz w:val="22"/>
          <w:szCs w:val="22"/>
        </w:rPr>
      </w:pPr>
      <w:r w:rsidRPr="00C44D8C">
        <w:rPr>
          <w:rFonts w:asciiTheme="minorHAnsi" w:hAnsiTheme="minorHAnsi"/>
          <w:b/>
          <w:sz w:val="22"/>
          <w:szCs w:val="22"/>
        </w:rPr>
        <w:t xml:space="preserve">Fig. 3.3 </w:t>
      </w:r>
      <w:r w:rsidRPr="00C44D8C">
        <w:rPr>
          <w:rFonts w:asciiTheme="minorHAnsi" w:hAnsiTheme="minorHAnsi"/>
          <w:sz w:val="22"/>
          <w:szCs w:val="22"/>
        </w:rPr>
        <w:t>General workflow of the initial adhesion and biofilm formation experiments used in this study.</w:t>
      </w:r>
    </w:p>
    <w:p w14:paraId="1DDF5DB4"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 xml:space="preserve">Fig. 3.4 </w:t>
      </w:r>
      <w:r w:rsidRPr="00C44D8C">
        <w:rPr>
          <w:rFonts w:asciiTheme="minorHAnsi" w:eastAsia="Calibri" w:hAnsiTheme="minorHAnsi" w:cs="Calibri"/>
          <w:sz w:val="22"/>
          <w:szCs w:val="22"/>
        </w:rPr>
        <w:t xml:space="preserve">Growth curve of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at 37˚C with methanol as monitored by optical density measurements at 600 nm (</w:t>
      </w:r>
      <w:r w:rsidRPr="00C44D8C">
        <w:rPr>
          <w:rFonts w:asciiTheme="minorHAnsi" w:eastAsia="Yu Gothic UI" w:hAnsiTheme="minorHAnsi" w:cs="Calibri"/>
          <w:sz w:val="22"/>
          <w:szCs w:val="22"/>
        </w:rPr>
        <w:sym w:font="Webdings" w:char="F03C"/>
      </w:r>
      <w:r w:rsidRPr="00C44D8C">
        <w:rPr>
          <w:rFonts w:asciiTheme="minorHAnsi" w:eastAsia="Calibri" w:hAnsiTheme="minorHAnsi" w:cs="Calibri"/>
          <w:sz w:val="22"/>
          <w:szCs w:val="22"/>
        </w:rPr>
        <w:t>) and gas pressure (</w:t>
      </w:r>
      <w:r w:rsidRPr="00C44D8C">
        <w:rPr>
          <w:rFonts w:asciiTheme="minorHAnsi" w:eastAsia="Calibri" w:hAnsiTheme="minorHAnsi" w:cs="Calibri"/>
          <w:sz w:val="22"/>
          <w:szCs w:val="22"/>
        </w:rPr>
        <w:sym w:font="Webdings" w:char="F03D"/>
      </w:r>
      <w:r w:rsidRPr="00C44D8C">
        <w:rPr>
          <w:rFonts w:asciiTheme="minorHAnsi" w:eastAsia="Calibri" w:hAnsiTheme="minorHAnsi" w:cs="Calibri"/>
          <w:sz w:val="22"/>
          <w:szCs w:val="22"/>
        </w:rPr>
        <w:t xml:space="preserve">). Error bars represent the standard deviation of 4 independent growth curve experiments. </w:t>
      </w:r>
    </w:p>
    <w:p w14:paraId="58BF1C35" w14:textId="77777777" w:rsidR="002D6EBE" w:rsidRDefault="00CB4397" w:rsidP="00DF337D">
      <w:pPr>
        <w:spacing w:line="360" w:lineRule="auto"/>
        <w:rPr>
          <w:rFonts w:asciiTheme="minorHAnsi" w:eastAsia="Calibri" w:hAnsiTheme="minorHAnsi" w:cs="Calibri"/>
          <w:sz w:val="22"/>
          <w:szCs w:val="22"/>
        </w:rPr>
        <w:sectPr w:rsidR="002D6EBE" w:rsidSect="00407344">
          <w:pgSz w:w="11906" w:h="16838"/>
          <w:pgMar w:top="1418" w:right="1418" w:bottom="1418" w:left="2268" w:header="708" w:footer="708" w:gutter="0"/>
          <w:pgNumType w:fmt="lowerRoman"/>
          <w:cols w:space="708"/>
          <w:docGrid w:linePitch="360"/>
        </w:sectPr>
      </w:pPr>
      <w:r w:rsidRPr="00C44D8C">
        <w:rPr>
          <w:rFonts w:asciiTheme="minorHAnsi" w:eastAsia="Calibri" w:hAnsiTheme="minorHAnsi" w:cs="Calibri"/>
          <w:b/>
          <w:bCs/>
          <w:sz w:val="22"/>
          <w:szCs w:val="22"/>
        </w:rPr>
        <w:t>Fig. 3.5</w:t>
      </w:r>
      <w:r w:rsidRPr="00C44D8C">
        <w:rPr>
          <w:rFonts w:asciiTheme="minorHAnsi" w:eastAsia="Calibri" w:hAnsiTheme="minorHAnsi" w:cs="Calibri"/>
          <w:sz w:val="22"/>
          <w:szCs w:val="22"/>
        </w:rPr>
        <w:t xml:space="preserve"> Total interaction energy for the approach of </w:t>
      </w:r>
      <w:r w:rsidRPr="00C44D8C">
        <w:rPr>
          <w:rFonts w:asciiTheme="minorHAnsi" w:eastAsia="Calibri" w:hAnsiTheme="minorHAnsi" w:cs="Calibri"/>
          <w:i/>
          <w:sz w:val="22"/>
          <w:szCs w:val="22"/>
        </w:rPr>
        <w:t>M. barkeri</w:t>
      </w:r>
      <w:r w:rsidRPr="00C44D8C">
        <w:rPr>
          <w:rFonts w:asciiTheme="minorHAnsi" w:eastAsia="Calibri" w:hAnsiTheme="minorHAnsi" w:cs="Calibri"/>
          <w:sz w:val="22"/>
          <w:szCs w:val="22"/>
        </w:rPr>
        <w:t xml:space="preserve"> to the support materials (PE, PP, PVC, PETG, PVDF, PTFE) at 100 mM KCl, pH 7 as a function of separation distance (Å).</w:t>
      </w:r>
    </w:p>
    <w:p w14:paraId="1C9886C5"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bCs/>
          <w:sz w:val="22"/>
          <w:szCs w:val="22"/>
        </w:rPr>
        <w:lastRenderedPageBreak/>
        <w:t>Fig. 3.6</w:t>
      </w:r>
      <w:r w:rsidRPr="00C44D8C">
        <w:rPr>
          <w:rFonts w:asciiTheme="minorHAnsi" w:eastAsia="Calibri" w:hAnsiTheme="minorHAnsi" w:cs="Calibri"/>
          <w:sz w:val="22"/>
          <w:szCs w:val="22"/>
        </w:rPr>
        <w:t xml:space="preserve"> Calculated interaction energies for the Lifshitz-van der Waals (</w:t>
      </w:r>
      <w:r w:rsidRPr="00C44D8C">
        <w:rPr>
          <w:rFonts w:asciiTheme="minorHAnsi" w:hAnsiTheme="minorHAnsi"/>
          <w:sz w:val="22"/>
          <w:szCs w:val="22"/>
        </w:rPr>
        <w:t>G</w:t>
      </w:r>
      <w:r w:rsidRPr="00C44D8C">
        <w:rPr>
          <w:rFonts w:asciiTheme="minorHAnsi" w:hAnsiTheme="minorHAnsi"/>
          <w:sz w:val="22"/>
          <w:szCs w:val="22"/>
          <w:vertAlign w:val="superscript"/>
        </w:rPr>
        <w:t>LW</w:t>
      </w:r>
      <w:r w:rsidRPr="00C44D8C">
        <w:rPr>
          <w:rFonts w:asciiTheme="minorHAnsi" w:eastAsia="Calibri" w:hAnsiTheme="minorHAnsi" w:cs="Calibri"/>
          <w:sz w:val="22"/>
          <w:szCs w:val="22"/>
        </w:rPr>
        <w:t>), electrostatic (</w:t>
      </w:r>
      <w:r w:rsidRPr="00C44D8C">
        <w:rPr>
          <w:rFonts w:asciiTheme="minorHAnsi" w:hAnsiTheme="minorHAnsi"/>
          <w:sz w:val="22"/>
          <w:szCs w:val="22"/>
        </w:rPr>
        <w:t>G</w:t>
      </w:r>
      <w:r w:rsidRPr="00C44D8C">
        <w:rPr>
          <w:rFonts w:asciiTheme="minorHAnsi" w:hAnsiTheme="minorHAnsi"/>
          <w:sz w:val="22"/>
          <w:szCs w:val="22"/>
          <w:vertAlign w:val="superscript"/>
        </w:rPr>
        <w:t>EL</w:t>
      </w:r>
      <w:r w:rsidRPr="00C44D8C">
        <w:rPr>
          <w:rFonts w:asciiTheme="minorHAnsi" w:eastAsia="Calibri" w:hAnsiTheme="minorHAnsi" w:cs="Calibri"/>
          <w:sz w:val="22"/>
          <w:szCs w:val="22"/>
        </w:rPr>
        <w:t>), acid-base (</w:t>
      </w:r>
      <w:r w:rsidRPr="00C44D8C">
        <w:rPr>
          <w:rFonts w:asciiTheme="minorHAnsi" w:hAnsiTheme="minorHAnsi"/>
          <w:sz w:val="22"/>
          <w:szCs w:val="22"/>
        </w:rPr>
        <w:t>G</w:t>
      </w:r>
      <w:r w:rsidRPr="00C44D8C">
        <w:rPr>
          <w:rFonts w:asciiTheme="minorHAnsi" w:hAnsiTheme="minorHAnsi"/>
          <w:sz w:val="22"/>
          <w:szCs w:val="22"/>
          <w:vertAlign w:val="superscript"/>
        </w:rPr>
        <w:t>AB</w:t>
      </w:r>
      <w:r w:rsidRPr="00C44D8C">
        <w:rPr>
          <w:rFonts w:asciiTheme="minorHAnsi" w:eastAsia="Calibri" w:hAnsiTheme="minorHAnsi" w:cs="Calibri"/>
          <w:sz w:val="22"/>
          <w:szCs w:val="22"/>
        </w:rPr>
        <w:t>) and total interaction energy (</w:t>
      </w:r>
      <w:r w:rsidRPr="00C44D8C">
        <w:rPr>
          <w:rFonts w:asciiTheme="minorHAnsi" w:hAnsiTheme="minorHAnsi"/>
          <w:bCs/>
          <w:sz w:val="22"/>
          <w:szCs w:val="22"/>
        </w:rPr>
        <w:t>G</w:t>
      </w:r>
      <w:r w:rsidRPr="00C44D8C">
        <w:rPr>
          <w:rFonts w:asciiTheme="minorHAnsi" w:hAnsiTheme="minorHAnsi"/>
          <w:bCs/>
          <w:sz w:val="22"/>
          <w:szCs w:val="22"/>
          <w:vertAlign w:val="superscript"/>
        </w:rPr>
        <w:t>TOT</w:t>
      </w:r>
      <w:r w:rsidRPr="00C44D8C">
        <w:rPr>
          <w:rFonts w:asciiTheme="minorHAnsi" w:eastAsia="Calibri" w:hAnsiTheme="minorHAnsi" w:cs="Calibri"/>
          <w:sz w:val="22"/>
          <w:szCs w:val="22"/>
        </w:rPr>
        <w:t xml:space="preserve">) of the initial adhesion of </w:t>
      </w:r>
      <w:r w:rsidRPr="00C44D8C">
        <w:rPr>
          <w:rFonts w:asciiTheme="minorHAnsi" w:eastAsia="Calibri" w:hAnsiTheme="minorHAnsi" w:cs="Calibri"/>
          <w:i/>
          <w:sz w:val="22"/>
          <w:szCs w:val="22"/>
        </w:rPr>
        <w:t>M. barkeri</w:t>
      </w:r>
      <w:r w:rsidRPr="00C44D8C">
        <w:rPr>
          <w:rFonts w:asciiTheme="minorHAnsi" w:eastAsia="Calibri" w:hAnsiTheme="minorHAnsi" w:cs="Calibri"/>
          <w:sz w:val="22"/>
          <w:szCs w:val="22"/>
        </w:rPr>
        <w:t xml:space="preserve"> to a) PE, b) PETG, c) PP, d) PTFE, e) PVC and f) PVDF in 100 mM KCl solution, pH 7.</w:t>
      </w:r>
    </w:p>
    <w:p w14:paraId="2276F02F" w14:textId="77777777" w:rsidR="00CB4397" w:rsidRPr="00C44D8C" w:rsidRDefault="00CB4397" w:rsidP="00DF337D">
      <w:pPr>
        <w:spacing w:line="360" w:lineRule="auto"/>
        <w:rPr>
          <w:rFonts w:asciiTheme="minorHAnsi" w:eastAsia="Calibri" w:hAnsiTheme="minorHAnsi" w:cs="Calibri"/>
          <w:b/>
          <w:bCs/>
          <w:noProof/>
          <w:sz w:val="22"/>
          <w:szCs w:val="22"/>
          <w:lang w:eastAsia="en-GB"/>
        </w:rPr>
      </w:pPr>
      <w:r w:rsidRPr="00C44D8C">
        <w:rPr>
          <w:rFonts w:asciiTheme="minorHAnsi" w:eastAsia="Calibri" w:hAnsiTheme="minorHAnsi" w:cs="Calibri"/>
          <w:b/>
          <w:bCs/>
          <w:sz w:val="22"/>
          <w:szCs w:val="22"/>
        </w:rPr>
        <w:t>Fig. 3.7</w:t>
      </w:r>
      <w:r w:rsidRPr="00C44D8C">
        <w:rPr>
          <w:rFonts w:asciiTheme="minorHAnsi" w:eastAsia="Calibri" w:hAnsiTheme="minorHAnsi" w:cs="Calibri"/>
          <w:sz w:val="22"/>
          <w:szCs w:val="22"/>
        </w:rPr>
        <w:t xml:space="preserve"> Average percentage surface coverage of support materials from </w:t>
      </w:r>
      <w:r w:rsidRPr="00C44D8C">
        <w:rPr>
          <w:rFonts w:asciiTheme="minorHAnsi" w:eastAsia="Calibri" w:hAnsiTheme="minorHAnsi" w:cs="Calibri"/>
          <w:i/>
          <w:sz w:val="22"/>
          <w:szCs w:val="22"/>
        </w:rPr>
        <w:t>M. barkeri</w:t>
      </w:r>
      <w:r w:rsidRPr="00C44D8C">
        <w:rPr>
          <w:rFonts w:asciiTheme="minorHAnsi" w:eastAsia="Calibri" w:hAnsiTheme="minorHAnsi" w:cs="Calibri"/>
          <w:sz w:val="22"/>
          <w:szCs w:val="22"/>
        </w:rPr>
        <w:t xml:space="preserve"> after an exposure time of a) 2 h in 100 mM pH 7 KCl and b) 72 h and 96 h in basal media after staining with DAPI. Error values represent 95 % confidence intervals from 3 independent experiments. </w:t>
      </w:r>
    </w:p>
    <w:p w14:paraId="47E912E4" w14:textId="77777777" w:rsidR="00CB4397" w:rsidRPr="00C44D8C" w:rsidRDefault="00CB4397" w:rsidP="00DF337D">
      <w:pPr>
        <w:spacing w:line="360" w:lineRule="auto"/>
        <w:rPr>
          <w:rFonts w:asciiTheme="minorHAnsi" w:hAnsiTheme="minorHAnsi"/>
          <w:sz w:val="22"/>
          <w:szCs w:val="22"/>
        </w:rPr>
      </w:pPr>
      <w:r w:rsidRPr="00C44D8C">
        <w:rPr>
          <w:rFonts w:asciiTheme="minorHAnsi" w:eastAsia="Calibri" w:hAnsiTheme="minorHAnsi" w:cs="Calibri"/>
          <w:b/>
          <w:sz w:val="22"/>
          <w:szCs w:val="22"/>
        </w:rPr>
        <w:t>Fig. 3.8</w:t>
      </w:r>
      <w:r w:rsidRPr="00C44D8C">
        <w:rPr>
          <w:rFonts w:asciiTheme="minorHAnsi" w:eastAsia="Calibri" w:hAnsiTheme="minorHAnsi" w:cs="Calibri"/>
          <w:sz w:val="22"/>
          <w:szCs w:val="22"/>
        </w:rPr>
        <w:t xml:space="preserve"> Scanning electron microscopy images of initial adhesion of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 xml:space="preserve">to support materials after 2 h in 100 mM KCl at pH 7 corresponding to (a-f): PE, PP, PVC, PETG, PVDF and PTFE. </w:t>
      </w:r>
    </w:p>
    <w:p w14:paraId="53868A2C" w14:textId="77777777" w:rsidR="00CB4397" w:rsidRPr="00C44D8C" w:rsidRDefault="00CB4397" w:rsidP="00DF337D">
      <w:pPr>
        <w:spacing w:line="360" w:lineRule="auto"/>
        <w:rPr>
          <w:rFonts w:asciiTheme="minorHAnsi" w:hAnsiTheme="minorHAnsi"/>
          <w:sz w:val="22"/>
          <w:szCs w:val="22"/>
        </w:rPr>
      </w:pPr>
      <w:r w:rsidRPr="00C44D8C">
        <w:rPr>
          <w:rFonts w:asciiTheme="minorHAnsi" w:eastAsia="Calibri" w:hAnsiTheme="minorHAnsi" w:cs="Calibri"/>
          <w:b/>
          <w:sz w:val="22"/>
          <w:szCs w:val="22"/>
        </w:rPr>
        <w:t>Fig. 3.9</w:t>
      </w:r>
      <w:r w:rsidRPr="00C44D8C">
        <w:rPr>
          <w:rFonts w:asciiTheme="minorHAnsi" w:eastAsia="Calibri" w:hAnsiTheme="minorHAnsi" w:cs="Calibri"/>
          <w:sz w:val="22"/>
          <w:szCs w:val="22"/>
        </w:rPr>
        <w:t xml:space="preserve"> Scanning electron microscopy images of biofilm formation of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to support materials after 72 h in basal media corresponding to (a-f): PE, PP, PVC, PETG, PVDF and PTFE.</w:t>
      </w:r>
    </w:p>
    <w:p w14:paraId="6B6F8F8D"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Fig. 3.10</w:t>
      </w:r>
      <w:r w:rsidRPr="00C44D8C">
        <w:rPr>
          <w:rFonts w:asciiTheme="minorHAnsi" w:eastAsia="Calibri" w:hAnsiTheme="minorHAnsi" w:cs="Calibri"/>
          <w:sz w:val="22"/>
          <w:szCs w:val="22"/>
        </w:rPr>
        <w:t xml:space="preserve"> Scanning electron microscopy images of biofilm formation of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to support materials after 96 h in basal media corresponding to (a-f): PE, PP, PVC, PETG, PVDF and PTFE.</w:t>
      </w:r>
    </w:p>
    <w:p w14:paraId="31E2FEB2"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Fig. 3.11</w:t>
      </w:r>
      <w:r w:rsidRPr="00C44D8C">
        <w:rPr>
          <w:rFonts w:asciiTheme="minorHAnsi" w:eastAsia="Calibri" w:hAnsiTheme="minorHAnsi" w:cs="Calibri"/>
          <w:sz w:val="22"/>
          <w:szCs w:val="22"/>
        </w:rPr>
        <w:t xml:space="preserve"> Scanning electron microscopy images of control coupons after 72 h in sterile basal media only, corresponding to (a-f): PE, PP, PVC, PETG, PVDF and PTFE.</w:t>
      </w:r>
    </w:p>
    <w:p w14:paraId="6C51D0D9" w14:textId="77777777" w:rsidR="00CB4397" w:rsidRPr="00C44D8C" w:rsidRDefault="00CB4397" w:rsidP="00DF337D">
      <w:pPr>
        <w:spacing w:line="360" w:lineRule="auto"/>
        <w:rPr>
          <w:rFonts w:asciiTheme="minorHAnsi" w:hAnsiTheme="minorHAnsi"/>
          <w:sz w:val="22"/>
          <w:szCs w:val="22"/>
        </w:rPr>
      </w:pPr>
      <w:r w:rsidRPr="00C44D8C">
        <w:rPr>
          <w:rFonts w:asciiTheme="minorHAnsi" w:hAnsiTheme="minorHAnsi"/>
          <w:b/>
          <w:bCs/>
          <w:sz w:val="22"/>
          <w:szCs w:val="22"/>
        </w:rPr>
        <w:t>Fig. 4.1</w:t>
      </w:r>
      <w:r w:rsidRPr="00C44D8C">
        <w:rPr>
          <w:rFonts w:asciiTheme="minorHAnsi" w:hAnsiTheme="minorHAnsi"/>
          <w:sz w:val="22"/>
          <w:szCs w:val="22"/>
        </w:rPr>
        <w:t xml:space="preserve"> Schematic of the batch setup for growth of biofilms on support material.</w:t>
      </w:r>
    </w:p>
    <w:p w14:paraId="19C5FB09" w14:textId="77777777" w:rsidR="00CB4397" w:rsidRPr="00C44D8C" w:rsidRDefault="00CB4397" w:rsidP="00DF337D">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Fig. 4.2</w:t>
      </w:r>
      <w:r w:rsidRPr="00C44D8C">
        <w:rPr>
          <w:rFonts w:asciiTheme="minorHAnsi" w:eastAsia="Calibri" w:hAnsiTheme="minorHAnsi" w:cs="Calibri"/>
          <w:sz w:val="22"/>
          <w:szCs w:val="22"/>
        </w:rPr>
        <w:t xml:space="preserve"> Growth curves of the four parent cultures over 96 h in the biofilm setup, with each parent culture staggered over 8 days from the same stock culture. </w:t>
      </w:r>
    </w:p>
    <w:p w14:paraId="5B3C58D1" w14:textId="77777777" w:rsidR="00CB4397" w:rsidRPr="00C44D8C" w:rsidRDefault="00CB4397" w:rsidP="00DF337D">
      <w:pPr>
        <w:spacing w:line="360" w:lineRule="auto"/>
        <w:rPr>
          <w:rFonts w:asciiTheme="minorHAnsi" w:hAnsiTheme="minorHAnsi"/>
          <w:sz w:val="22"/>
          <w:szCs w:val="22"/>
        </w:rPr>
      </w:pPr>
      <w:r w:rsidRPr="00C44D8C">
        <w:rPr>
          <w:rFonts w:asciiTheme="minorHAnsi" w:hAnsiTheme="minorHAnsi"/>
          <w:b/>
          <w:bCs/>
          <w:sz w:val="22"/>
          <w:szCs w:val="22"/>
        </w:rPr>
        <w:t>Fig. 4.3</w:t>
      </w:r>
      <w:r w:rsidRPr="00C44D8C">
        <w:rPr>
          <w:rFonts w:asciiTheme="minorHAnsi" w:hAnsiTheme="minorHAnsi"/>
          <w:sz w:val="22"/>
          <w:szCs w:val="22"/>
        </w:rPr>
        <w:t xml:space="preserve"> Comparison between a) the FTIR spectra of PETG-biofilm (blue line) and PVC-biofilm cells (red line) of </w:t>
      </w:r>
      <w:r w:rsidRPr="00C44D8C">
        <w:rPr>
          <w:rFonts w:asciiTheme="minorHAnsi" w:hAnsiTheme="minorHAnsi"/>
          <w:i/>
          <w:iCs/>
          <w:sz w:val="22"/>
          <w:szCs w:val="22"/>
        </w:rPr>
        <w:t xml:space="preserve">M. barkeri, </w:t>
      </w:r>
      <w:r w:rsidRPr="00C44D8C">
        <w:rPr>
          <w:rFonts w:asciiTheme="minorHAnsi" w:hAnsiTheme="minorHAnsi"/>
          <w:sz w:val="22"/>
          <w:szCs w:val="22"/>
        </w:rPr>
        <w:t>and b) the principal component analysis of FTIR spectra of biofilms formed on PETG and PVC.</w:t>
      </w:r>
    </w:p>
    <w:p w14:paraId="35282DE2" w14:textId="77777777" w:rsidR="00CB4397" w:rsidRPr="00C44D8C" w:rsidRDefault="00CB4397" w:rsidP="00DF337D">
      <w:pPr>
        <w:spacing w:line="360" w:lineRule="auto"/>
        <w:rPr>
          <w:rFonts w:asciiTheme="minorHAnsi" w:eastAsia="Calibri" w:hAnsiTheme="minorHAnsi" w:cs="Calibri"/>
          <w:bCs/>
          <w:sz w:val="22"/>
          <w:szCs w:val="22"/>
        </w:rPr>
      </w:pPr>
      <w:r w:rsidRPr="00C44D8C">
        <w:rPr>
          <w:rFonts w:asciiTheme="minorHAnsi" w:eastAsia="Calibri" w:hAnsiTheme="minorHAnsi" w:cs="Calibri"/>
          <w:b/>
          <w:sz w:val="22"/>
          <w:szCs w:val="22"/>
        </w:rPr>
        <w:t xml:space="preserve">Fig. 4.4 </w:t>
      </w:r>
      <w:r w:rsidRPr="00C44D8C">
        <w:rPr>
          <w:rFonts w:asciiTheme="minorHAnsi" w:eastAsia="Calibri" w:hAnsiTheme="minorHAnsi" w:cs="Calibri"/>
          <w:bCs/>
          <w:sz w:val="22"/>
          <w:szCs w:val="22"/>
        </w:rPr>
        <w:t xml:space="preserve">Quantification of proteins, polysaccharides and hydrocarbon-like compounds on the cell surface of </w:t>
      </w:r>
      <w:r w:rsidRPr="00C44D8C">
        <w:rPr>
          <w:rFonts w:asciiTheme="minorHAnsi" w:eastAsia="Calibri" w:hAnsiTheme="minorHAnsi" w:cs="Calibri"/>
          <w:bCs/>
          <w:i/>
          <w:iCs/>
          <w:sz w:val="22"/>
          <w:szCs w:val="22"/>
        </w:rPr>
        <w:t xml:space="preserve">M. barkeri </w:t>
      </w:r>
      <w:r w:rsidRPr="00C44D8C">
        <w:rPr>
          <w:rFonts w:asciiTheme="minorHAnsi" w:eastAsia="Calibri" w:hAnsiTheme="minorHAnsi" w:cs="Calibri"/>
          <w:bCs/>
          <w:sz w:val="22"/>
          <w:szCs w:val="22"/>
        </w:rPr>
        <w:t xml:space="preserve">grown as a biofilm on PVC or PETG, as calculated from XPS spectral data. Errors represent standard deviation of two independent experiments. </w:t>
      </w:r>
    </w:p>
    <w:p w14:paraId="6174F66A" w14:textId="77777777" w:rsidR="00CB4397" w:rsidRPr="00C44D8C" w:rsidRDefault="00CB4397" w:rsidP="00DF337D">
      <w:pPr>
        <w:spacing w:line="360" w:lineRule="auto"/>
        <w:rPr>
          <w:rFonts w:asciiTheme="minorHAnsi" w:hAnsiTheme="minorHAnsi"/>
          <w:sz w:val="22"/>
          <w:szCs w:val="22"/>
        </w:rPr>
      </w:pPr>
      <w:r w:rsidRPr="00C44D8C">
        <w:rPr>
          <w:rFonts w:asciiTheme="minorHAnsi" w:hAnsiTheme="minorHAnsi"/>
          <w:b/>
          <w:bCs/>
          <w:sz w:val="22"/>
          <w:szCs w:val="22"/>
        </w:rPr>
        <w:t>Fig. 4.5</w:t>
      </w:r>
      <w:r w:rsidRPr="00C44D8C">
        <w:rPr>
          <w:rFonts w:asciiTheme="minorHAnsi" w:hAnsiTheme="minorHAnsi"/>
          <w:sz w:val="22"/>
          <w:szCs w:val="22"/>
        </w:rPr>
        <w:t xml:space="preserve"> The zeta potentials (mV) of </w:t>
      </w:r>
      <w:r w:rsidRPr="00C44D8C">
        <w:rPr>
          <w:rFonts w:asciiTheme="minorHAnsi" w:hAnsiTheme="minorHAnsi"/>
          <w:i/>
          <w:iCs/>
          <w:sz w:val="22"/>
          <w:szCs w:val="22"/>
        </w:rPr>
        <w:t xml:space="preserve">M. barkeri </w:t>
      </w:r>
      <w:r w:rsidRPr="00C44D8C">
        <w:rPr>
          <w:rFonts w:asciiTheme="minorHAnsi" w:hAnsiTheme="minorHAnsi"/>
          <w:sz w:val="22"/>
          <w:szCs w:val="22"/>
        </w:rPr>
        <w:t xml:space="preserve">grown as a biofilm on either PVC (blue line) or PETG (red line) as a function of pH, at pH 2, 4, 6, 7, 8 and 10. Error bars represent the standard deviation of two independent experiments. </w:t>
      </w:r>
    </w:p>
    <w:p w14:paraId="5F1E2D01" w14:textId="77777777" w:rsidR="00CB4397" w:rsidRPr="00C44D8C" w:rsidRDefault="00CB4397" w:rsidP="00DF337D">
      <w:pPr>
        <w:spacing w:line="360" w:lineRule="auto"/>
        <w:rPr>
          <w:rFonts w:asciiTheme="minorHAnsi" w:hAnsiTheme="minorHAnsi"/>
          <w:b/>
          <w:bCs/>
          <w:color w:val="FF0000"/>
          <w:sz w:val="22"/>
          <w:szCs w:val="22"/>
        </w:rPr>
      </w:pPr>
      <w:r w:rsidRPr="00C44D8C">
        <w:rPr>
          <w:rFonts w:asciiTheme="minorHAnsi" w:hAnsiTheme="minorHAnsi"/>
          <w:b/>
          <w:sz w:val="22"/>
          <w:szCs w:val="22"/>
        </w:rPr>
        <w:t>Fig. 4.6.</w:t>
      </w:r>
      <w:r w:rsidRPr="00C44D8C">
        <w:rPr>
          <w:rFonts w:asciiTheme="minorHAnsi" w:hAnsiTheme="minorHAnsi"/>
          <w:sz w:val="22"/>
          <w:szCs w:val="22"/>
        </w:rPr>
        <w:t xml:space="preserve"> Quantification of cellular DNA and surface-associated α-mannopyranosyl and α -glucopyranosyl sugar residues by fluorescently staining 96 h cultures of </w:t>
      </w:r>
      <w:r w:rsidRPr="00C44D8C">
        <w:rPr>
          <w:rFonts w:asciiTheme="minorHAnsi" w:hAnsiTheme="minorHAnsi"/>
          <w:i/>
          <w:sz w:val="22"/>
          <w:szCs w:val="22"/>
        </w:rPr>
        <w:t xml:space="preserve">M. barkeri </w:t>
      </w:r>
      <w:r w:rsidRPr="00C44D8C">
        <w:rPr>
          <w:rFonts w:asciiTheme="minorHAnsi" w:hAnsiTheme="minorHAnsi"/>
          <w:sz w:val="22"/>
          <w:szCs w:val="22"/>
        </w:rPr>
        <w:t>with a) DAPI and b) ConA-Rho respectively, when grown as a biofilm on PVC and PETG. Error bars represent standard deviation of two independent experiments.</w:t>
      </w:r>
    </w:p>
    <w:p w14:paraId="6D60FE12" w14:textId="77777777" w:rsidR="00A9324D" w:rsidRDefault="00CB4397" w:rsidP="00DF337D">
      <w:pPr>
        <w:spacing w:line="360" w:lineRule="auto"/>
        <w:rPr>
          <w:rFonts w:asciiTheme="minorHAnsi" w:hAnsiTheme="minorHAnsi"/>
          <w:sz w:val="22"/>
          <w:szCs w:val="22"/>
          <w:lang w:eastAsia="en-GB"/>
        </w:rPr>
        <w:sectPr w:rsidR="00A9324D" w:rsidSect="00407344">
          <w:pgSz w:w="11906" w:h="16838"/>
          <w:pgMar w:top="1418" w:right="1418" w:bottom="1418" w:left="2268" w:header="708" w:footer="708" w:gutter="0"/>
          <w:pgNumType w:fmt="lowerRoman"/>
          <w:cols w:space="708"/>
          <w:docGrid w:linePitch="360"/>
        </w:sectPr>
      </w:pPr>
      <w:r w:rsidRPr="00C44D8C">
        <w:rPr>
          <w:rFonts w:asciiTheme="minorHAnsi" w:hAnsiTheme="minorHAnsi"/>
          <w:b/>
          <w:sz w:val="22"/>
          <w:szCs w:val="22"/>
          <w:lang w:eastAsia="en-GB"/>
        </w:rPr>
        <w:t>Fig. 5.1</w:t>
      </w:r>
      <w:r w:rsidRPr="00C44D8C">
        <w:rPr>
          <w:rFonts w:asciiTheme="minorHAnsi" w:hAnsiTheme="minorHAnsi"/>
          <w:sz w:val="22"/>
          <w:szCs w:val="22"/>
          <w:lang w:eastAsia="en-GB"/>
        </w:rPr>
        <w:t xml:space="preserve"> Workflow for the iTRAQ-based quantitative proteomics used in this study.</w:t>
      </w:r>
    </w:p>
    <w:p w14:paraId="65CEF087" w14:textId="77777777" w:rsidR="00CB4397" w:rsidRPr="00C44D8C" w:rsidRDefault="00CB4397" w:rsidP="00DF337D">
      <w:pPr>
        <w:spacing w:line="360" w:lineRule="auto"/>
        <w:rPr>
          <w:rFonts w:asciiTheme="minorHAnsi" w:hAnsiTheme="minorHAnsi"/>
          <w:bCs/>
          <w:iCs/>
          <w:color w:val="000000"/>
          <w:sz w:val="22"/>
          <w:szCs w:val="22"/>
          <w:lang w:eastAsia="en-GB"/>
        </w:rPr>
      </w:pPr>
      <w:r w:rsidRPr="00C44D8C">
        <w:rPr>
          <w:rFonts w:asciiTheme="minorHAnsi" w:hAnsiTheme="minorHAnsi"/>
          <w:b/>
          <w:bCs/>
          <w:iCs/>
          <w:color w:val="000000"/>
          <w:sz w:val="22"/>
          <w:szCs w:val="22"/>
          <w:lang w:eastAsia="en-GB"/>
        </w:rPr>
        <w:lastRenderedPageBreak/>
        <w:t xml:space="preserve">Fig. 5.2 </w:t>
      </w:r>
      <w:r w:rsidRPr="00C44D8C">
        <w:rPr>
          <w:rFonts w:asciiTheme="minorHAnsi" w:hAnsiTheme="minorHAnsi"/>
          <w:bCs/>
          <w:iCs/>
          <w:color w:val="000000"/>
          <w:sz w:val="22"/>
          <w:szCs w:val="22"/>
          <w:lang w:eastAsia="en-GB"/>
        </w:rPr>
        <w:t xml:space="preserve">Percentage surface coverage of PVC and PETG by cells (stained by DAPI) and mannose and glucose residues (stained by ConA-Rho) of </w:t>
      </w:r>
      <w:r w:rsidRPr="00C44D8C">
        <w:rPr>
          <w:rFonts w:asciiTheme="minorHAnsi" w:hAnsiTheme="minorHAnsi"/>
          <w:bCs/>
          <w:i/>
          <w:iCs/>
          <w:color w:val="000000"/>
          <w:sz w:val="22"/>
          <w:szCs w:val="22"/>
          <w:lang w:eastAsia="en-GB"/>
        </w:rPr>
        <w:t xml:space="preserve">M. barkeri </w:t>
      </w:r>
      <w:r w:rsidRPr="00C44D8C">
        <w:rPr>
          <w:rFonts w:asciiTheme="minorHAnsi" w:hAnsiTheme="minorHAnsi"/>
          <w:bCs/>
          <w:iCs/>
          <w:color w:val="000000"/>
          <w:sz w:val="22"/>
          <w:szCs w:val="22"/>
          <w:lang w:eastAsia="en-GB"/>
        </w:rPr>
        <w:t>over 6 days as an indication of biofilm accumulation over time. Error bars represent the standard deviation of 3 independent experiments.</w:t>
      </w:r>
    </w:p>
    <w:p w14:paraId="4EEE49D4" w14:textId="77777777" w:rsidR="00CB4397" w:rsidRPr="00C44D8C" w:rsidRDefault="00CB4397" w:rsidP="00DF337D">
      <w:pPr>
        <w:spacing w:line="360" w:lineRule="auto"/>
        <w:rPr>
          <w:rFonts w:asciiTheme="minorHAnsi" w:hAnsiTheme="minorHAnsi"/>
          <w:bCs/>
          <w:iCs/>
          <w:color w:val="000000"/>
          <w:sz w:val="22"/>
          <w:szCs w:val="22"/>
          <w:lang w:eastAsia="en-GB"/>
        </w:rPr>
      </w:pPr>
      <w:r w:rsidRPr="00C44D8C">
        <w:rPr>
          <w:rFonts w:asciiTheme="minorHAnsi" w:hAnsiTheme="minorHAnsi"/>
          <w:b/>
          <w:iCs/>
          <w:color w:val="000000"/>
          <w:sz w:val="22"/>
          <w:szCs w:val="22"/>
          <w:lang w:eastAsia="en-GB"/>
        </w:rPr>
        <w:t xml:space="preserve">Fig. 5.3 </w:t>
      </w:r>
      <w:r w:rsidRPr="00C44D8C">
        <w:rPr>
          <w:rFonts w:asciiTheme="minorHAnsi" w:hAnsiTheme="minorHAnsi"/>
          <w:bCs/>
          <w:iCs/>
          <w:color w:val="000000"/>
          <w:sz w:val="22"/>
          <w:szCs w:val="22"/>
          <w:lang w:eastAsia="en-GB"/>
        </w:rPr>
        <w:t xml:space="preserve">Epifluorescence images taken of DAPI stained cells (blue) and ConA-Rho stained mannose and glucose residues (red) for biofilms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iCs/>
          <w:color w:val="000000"/>
          <w:sz w:val="22"/>
          <w:szCs w:val="22"/>
          <w:lang w:eastAsia="en-GB"/>
        </w:rPr>
        <w:t>attached to PVC and PETG after 2, 4 and 6 days at 37°C.</w:t>
      </w:r>
    </w:p>
    <w:p w14:paraId="26931B3D" w14:textId="5C8FE036" w:rsidR="00CB4397" w:rsidRPr="00C44D8C" w:rsidRDefault="00CB4397" w:rsidP="00DF337D">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 xml:space="preserve">Fig. 5.4 </w:t>
      </w:r>
      <w:r w:rsidRPr="00C44D8C">
        <w:rPr>
          <w:rFonts w:asciiTheme="minorHAnsi" w:hAnsiTheme="minorHAnsi"/>
          <w:color w:val="000000"/>
          <w:sz w:val="22"/>
          <w:szCs w:val="22"/>
          <w:lang w:eastAsia="en-GB"/>
        </w:rPr>
        <w:t>SDS-PAGE analysis of 4 µg of extracted proteins from four replicates of a) PVC biofilm experimental condition and b) PETG-biofilm experimental condition.</w:t>
      </w:r>
    </w:p>
    <w:p w14:paraId="7488C91A" w14:textId="77777777" w:rsidR="00CB4397" w:rsidRPr="00C44D8C" w:rsidRDefault="00CB4397" w:rsidP="00DF337D">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 xml:space="preserve">Fig. 5.5 </w:t>
      </w:r>
      <w:r w:rsidRPr="00C44D8C">
        <w:rPr>
          <w:rFonts w:asciiTheme="minorHAnsi" w:hAnsiTheme="minorHAnsi"/>
          <w:color w:val="000000"/>
          <w:sz w:val="22"/>
          <w:szCs w:val="22"/>
          <w:lang w:eastAsia="en-GB"/>
        </w:rPr>
        <w:t>SDS-PAGE analysis of 2 µg of extracted proteins from four replicates of a) PVC biofilm experimental condition and b) PETG-biofilm experimental condition.</w:t>
      </w:r>
    </w:p>
    <w:p w14:paraId="3E97D166" w14:textId="77777777" w:rsidR="00CB4397" w:rsidRPr="00C44D8C" w:rsidRDefault="00CB4397" w:rsidP="00DF337D">
      <w:pPr>
        <w:spacing w:line="360" w:lineRule="auto"/>
        <w:rPr>
          <w:rFonts w:asciiTheme="minorHAnsi" w:hAnsiTheme="minorHAnsi"/>
          <w:sz w:val="22"/>
          <w:szCs w:val="22"/>
        </w:rPr>
      </w:pPr>
      <w:r w:rsidRPr="00C44D8C">
        <w:rPr>
          <w:rFonts w:asciiTheme="minorHAnsi" w:hAnsiTheme="minorHAnsi"/>
          <w:b/>
          <w:sz w:val="22"/>
          <w:szCs w:val="22"/>
        </w:rPr>
        <w:t>Fig. 5.6</w:t>
      </w:r>
      <w:r w:rsidRPr="00C44D8C">
        <w:rPr>
          <w:rFonts w:asciiTheme="minorHAnsi" w:hAnsiTheme="minorHAnsi"/>
          <w:sz w:val="22"/>
          <w:szCs w:val="22"/>
        </w:rPr>
        <w:t xml:space="preserve"> PCA analysis of the relative reporter intensities of each iTRAQ label shows distinct clustering of labels 113 and 114 (corresponding to two PETG-biofilm replicates) from labels 117 and 118 (corresponding to two PVC-biofilm replicates).</w:t>
      </w:r>
    </w:p>
    <w:p w14:paraId="6148FFB5" w14:textId="77777777" w:rsidR="00CB4397" w:rsidRPr="00C44D8C" w:rsidRDefault="00CB4397" w:rsidP="00DF337D">
      <w:pPr>
        <w:spacing w:line="360" w:lineRule="auto"/>
        <w:rPr>
          <w:rFonts w:asciiTheme="minorHAnsi" w:hAnsiTheme="minorHAnsi"/>
          <w:b/>
          <w:color w:val="000000"/>
          <w:sz w:val="22"/>
          <w:szCs w:val="22"/>
          <w:lang w:eastAsia="en-GB"/>
        </w:rPr>
      </w:pPr>
      <w:r w:rsidRPr="00C44D8C">
        <w:rPr>
          <w:rFonts w:asciiTheme="minorHAnsi" w:hAnsiTheme="minorHAnsi"/>
          <w:b/>
          <w:color w:val="000000"/>
          <w:sz w:val="22"/>
          <w:szCs w:val="22"/>
          <w:lang w:eastAsia="en-GB"/>
        </w:rPr>
        <w:t>Fig. 5.7</w:t>
      </w:r>
      <w:r w:rsidRPr="00C44D8C">
        <w:rPr>
          <w:rFonts w:asciiTheme="minorHAnsi" w:hAnsiTheme="minorHAnsi"/>
          <w:color w:val="000000"/>
          <w:sz w:val="22"/>
          <w:szCs w:val="22"/>
          <w:lang w:eastAsia="en-GB"/>
        </w:rPr>
        <w:t xml:space="preserve"> The main functions assigned to the identified proteins from iTRAQ analysis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cells attached to PVC and PETG.</w:t>
      </w:r>
    </w:p>
    <w:p w14:paraId="4886B1CC" w14:textId="0FA5BD72" w:rsidR="00CB4397" w:rsidRPr="00C44D8C" w:rsidRDefault="00CB4397" w:rsidP="00DF337D">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Fig. 5.8</w:t>
      </w:r>
      <w:r w:rsidRPr="00C44D8C">
        <w:rPr>
          <w:rFonts w:asciiTheme="minorHAnsi" w:hAnsiTheme="minorHAnsi"/>
          <w:color w:val="000000"/>
          <w:sz w:val="22"/>
          <w:szCs w:val="22"/>
          <w:lang w:eastAsia="en-GB"/>
        </w:rPr>
        <w:t xml:space="preserve"> Schematic of some</w:t>
      </w:r>
      <w:r w:rsidR="000A4C69">
        <w:rPr>
          <w:rFonts w:asciiTheme="minorHAnsi" w:hAnsiTheme="minorHAnsi"/>
          <w:color w:val="000000"/>
          <w:sz w:val="22"/>
          <w:szCs w:val="22"/>
          <w:lang w:eastAsia="en-GB"/>
        </w:rPr>
        <w:t xml:space="preserve"> of</w:t>
      </w:r>
      <w:r w:rsidRPr="00C44D8C">
        <w:rPr>
          <w:rFonts w:asciiTheme="minorHAnsi" w:hAnsiTheme="minorHAnsi"/>
          <w:color w:val="000000"/>
          <w:sz w:val="22"/>
          <w:szCs w:val="22"/>
          <w:lang w:eastAsia="en-GB"/>
        </w:rPr>
        <w:t xml:space="preserve"> the proteins </w:t>
      </w:r>
      <w:r w:rsidR="000A4C69">
        <w:rPr>
          <w:rFonts w:asciiTheme="minorHAnsi" w:hAnsiTheme="minorHAnsi"/>
          <w:color w:val="000000"/>
          <w:sz w:val="22"/>
          <w:szCs w:val="22"/>
          <w:lang w:eastAsia="en-GB"/>
        </w:rPr>
        <w:t xml:space="preserve">in higher relative abundance </w:t>
      </w:r>
      <w:r w:rsidRPr="00C44D8C">
        <w:rPr>
          <w:rFonts w:asciiTheme="minorHAnsi" w:hAnsiTheme="minorHAnsi"/>
          <w:color w:val="000000"/>
          <w:sz w:val="22"/>
          <w:szCs w:val="22"/>
          <w:lang w:eastAsia="en-GB"/>
        </w:rPr>
        <w:t xml:space="preserve">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when attached to PVC (A) and the 2 proteins </w:t>
      </w:r>
      <w:r w:rsidR="00ED0E70">
        <w:rPr>
          <w:rFonts w:asciiTheme="minorHAnsi" w:hAnsiTheme="minorHAnsi"/>
          <w:color w:val="000000"/>
          <w:sz w:val="22"/>
          <w:szCs w:val="22"/>
          <w:lang w:eastAsia="en-GB"/>
        </w:rPr>
        <w:t>in higher relative abundance</w:t>
      </w:r>
      <w:r w:rsidR="00ED0E70"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in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attached to PETG (B) after 96 h.</w:t>
      </w:r>
    </w:p>
    <w:p w14:paraId="5844F537" w14:textId="64617D21" w:rsidR="000A4C69" w:rsidRDefault="00CB4397" w:rsidP="00DF337D">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 xml:space="preserve">Fig. 5.9 </w:t>
      </w:r>
      <w:r w:rsidRPr="00C44D8C">
        <w:rPr>
          <w:rFonts w:asciiTheme="minorHAnsi" w:hAnsiTheme="minorHAnsi"/>
          <w:color w:val="000000"/>
          <w:sz w:val="22"/>
          <w:szCs w:val="22"/>
          <w:lang w:eastAsia="en-GB"/>
        </w:rPr>
        <w:t xml:space="preserve">A schematic of the </w:t>
      </w:r>
      <w:r w:rsidR="00ED0E70">
        <w:rPr>
          <w:rFonts w:asciiTheme="minorHAnsi" w:hAnsiTheme="minorHAnsi"/>
          <w:color w:val="000000"/>
          <w:sz w:val="22"/>
          <w:szCs w:val="22"/>
          <w:lang w:eastAsia="en-GB"/>
        </w:rPr>
        <w:t>higher relative abundance</w:t>
      </w:r>
      <w:r w:rsidR="00ED0E70"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proteins involved in the different methanogenesis pathways from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w:t>
      </w:r>
    </w:p>
    <w:p w14:paraId="725FC04A" w14:textId="688015E5" w:rsidR="00CB4397" w:rsidRPr="00C44D8C" w:rsidRDefault="00CB4397" w:rsidP="00DF337D">
      <w:pPr>
        <w:spacing w:line="360" w:lineRule="auto"/>
        <w:rPr>
          <w:rFonts w:asciiTheme="minorHAnsi" w:hAnsiTheme="minorHAnsi"/>
          <w:color w:val="000000"/>
          <w:sz w:val="22"/>
          <w:szCs w:val="22"/>
          <w:lang w:eastAsia="en-GB"/>
        </w:rPr>
      </w:pPr>
      <w:r w:rsidRPr="00C44D8C">
        <w:rPr>
          <w:rFonts w:asciiTheme="minorHAnsi" w:hAnsiTheme="minorHAnsi"/>
          <w:b/>
          <w:color w:val="FF0000"/>
          <w:sz w:val="22"/>
          <w:szCs w:val="22"/>
          <w:lang w:eastAsia="en-GB"/>
        </w:rPr>
        <w:t>Red</w:t>
      </w:r>
      <w:r w:rsidRPr="00C44D8C">
        <w:rPr>
          <w:rFonts w:asciiTheme="minorHAnsi" w:hAnsiTheme="minorHAnsi"/>
          <w:color w:val="000000"/>
          <w:sz w:val="22"/>
          <w:szCs w:val="22"/>
          <w:lang w:eastAsia="en-GB"/>
        </w:rPr>
        <w:t xml:space="preserve"> boxes correspond to proteins involved in methylamine methanogenesis, </w:t>
      </w:r>
      <w:r w:rsidRPr="00C44D8C">
        <w:rPr>
          <w:rFonts w:asciiTheme="minorHAnsi" w:hAnsiTheme="minorHAnsi"/>
          <w:b/>
          <w:color w:val="00B050"/>
          <w:sz w:val="22"/>
          <w:szCs w:val="22"/>
          <w:lang w:eastAsia="en-GB"/>
        </w:rPr>
        <w:t>green</w:t>
      </w:r>
      <w:r w:rsidRPr="00C44D8C">
        <w:rPr>
          <w:rFonts w:asciiTheme="minorHAnsi" w:hAnsiTheme="minorHAnsi"/>
          <w:color w:val="000000"/>
          <w:sz w:val="22"/>
          <w:szCs w:val="22"/>
          <w:lang w:eastAsia="en-GB"/>
        </w:rPr>
        <w:t xml:space="preserve"> boxes correspond to proteins involved in CO</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methanogenesis, </w:t>
      </w:r>
      <w:r w:rsidRPr="00C44D8C">
        <w:rPr>
          <w:rFonts w:asciiTheme="minorHAnsi" w:hAnsiTheme="minorHAnsi"/>
          <w:b/>
          <w:color w:val="0070C0"/>
          <w:sz w:val="22"/>
          <w:szCs w:val="22"/>
          <w:lang w:eastAsia="en-GB"/>
        </w:rPr>
        <w:t>blue</w:t>
      </w:r>
      <w:r w:rsidRPr="00C44D8C">
        <w:rPr>
          <w:rFonts w:asciiTheme="minorHAnsi" w:hAnsiTheme="minorHAnsi"/>
          <w:color w:val="000000"/>
          <w:sz w:val="22"/>
          <w:szCs w:val="22"/>
          <w:lang w:eastAsia="en-GB"/>
        </w:rPr>
        <w:t xml:space="preserve"> boxes correspond to proteins involved in methanol methanogenesis, and </w:t>
      </w:r>
      <w:r w:rsidRPr="00C44D8C">
        <w:rPr>
          <w:rFonts w:asciiTheme="minorHAnsi" w:hAnsiTheme="minorHAnsi"/>
          <w:b/>
          <w:color w:val="FF3399"/>
          <w:sz w:val="22"/>
          <w:szCs w:val="22"/>
          <w:lang w:eastAsia="en-GB"/>
        </w:rPr>
        <w:t>pink</w:t>
      </w:r>
      <w:r w:rsidRPr="00C44D8C">
        <w:rPr>
          <w:rFonts w:asciiTheme="minorHAnsi" w:hAnsiTheme="minorHAnsi"/>
          <w:color w:val="000000"/>
          <w:sz w:val="22"/>
          <w:szCs w:val="22"/>
          <w:lang w:eastAsia="en-GB"/>
        </w:rPr>
        <w:t xml:space="preserve"> boxes correspond to proteins common to all methanogenesis pathways.</w:t>
      </w:r>
    </w:p>
    <w:p w14:paraId="5E60C746" w14:textId="77777777" w:rsidR="005C5F28" w:rsidRPr="00C44D8C" w:rsidRDefault="005C5F28" w:rsidP="00DF337D">
      <w:pPr>
        <w:spacing w:line="360" w:lineRule="auto"/>
        <w:rPr>
          <w:rFonts w:asciiTheme="minorHAnsi" w:hAnsiTheme="minorHAnsi"/>
          <w:b/>
          <w:bCs/>
          <w:sz w:val="22"/>
          <w:szCs w:val="22"/>
        </w:rPr>
      </w:pPr>
    </w:p>
    <w:p w14:paraId="41C9B3F4" w14:textId="77777777" w:rsidR="005C5F28" w:rsidRPr="00C44D8C" w:rsidRDefault="005C5F28" w:rsidP="00DF337D">
      <w:pPr>
        <w:spacing w:line="360" w:lineRule="auto"/>
        <w:rPr>
          <w:rFonts w:asciiTheme="minorHAnsi" w:hAnsiTheme="minorHAnsi"/>
          <w:b/>
          <w:bCs/>
          <w:sz w:val="22"/>
          <w:szCs w:val="22"/>
        </w:rPr>
      </w:pPr>
    </w:p>
    <w:p w14:paraId="72096437" w14:textId="77777777" w:rsidR="005C5F28" w:rsidRPr="00C44D8C" w:rsidRDefault="005C5F28" w:rsidP="00DF337D">
      <w:pPr>
        <w:spacing w:line="360" w:lineRule="auto"/>
        <w:rPr>
          <w:rFonts w:asciiTheme="minorHAnsi" w:hAnsiTheme="minorHAnsi"/>
          <w:b/>
          <w:bCs/>
          <w:sz w:val="22"/>
          <w:szCs w:val="22"/>
        </w:rPr>
      </w:pPr>
    </w:p>
    <w:p w14:paraId="6D56843E" w14:textId="77777777" w:rsidR="005C5F28" w:rsidRPr="00C44D8C" w:rsidRDefault="005C5F28" w:rsidP="00CB4397">
      <w:pPr>
        <w:spacing w:line="360" w:lineRule="auto"/>
        <w:rPr>
          <w:rFonts w:asciiTheme="minorHAnsi" w:hAnsiTheme="minorHAnsi"/>
          <w:b/>
          <w:bCs/>
          <w:sz w:val="22"/>
          <w:szCs w:val="22"/>
        </w:rPr>
      </w:pPr>
    </w:p>
    <w:p w14:paraId="2B1C3EE1" w14:textId="77777777" w:rsidR="005C5F28" w:rsidRPr="00C44D8C" w:rsidRDefault="005C5F28" w:rsidP="00CB4397">
      <w:pPr>
        <w:spacing w:line="360" w:lineRule="auto"/>
        <w:rPr>
          <w:rFonts w:asciiTheme="minorHAnsi" w:hAnsiTheme="minorHAnsi"/>
          <w:b/>
          <w:bCs/>
          <w:sz w:val="22"/>
          <w:szCs w:val="22"/>
        </w:rPr>
      </w:pPr>
    </w:p>
    <w:p w14:paraId="75A4F70E" w14:textId="77777777" w:rsidR="005C5F28" w:rsidRPr="00C44D8C" w:rsidRDefault="005C5F28" w:rsidP="00CB4397">
      <w:pPr>
        <w:spacing w:line="360" w:lineRule="auto"/>
        <w:rPr>
          <w:rFonts w:asciiTheme="minorHAnsi" w:hAnsiTheme="minorHAnsi"/>
          <w:b/>
          <w:bCs/>
          <w:sz w:val="22"/>
          <w:szCs w:val="22"/>
        </w:rPr>
      </w:pPr>
    </w:p>
    <w:p w14:paraId="54A6D290" w14:textId="77777777" w:rsidR="005C5F28" w:rsidRPr="00C44D8C" w:rsidRDefault="005C5F28" w:rsidP="00CB4397">
      <w:pPr>
        <w:spacing w:line="360" w:lineRule="auto"/>
        <w:rPr>
          <w:rFonts w:asciiTheme="minorHAnsi" w:hAnsiTheme="minorHAnsi"/>
          <w:b/>
          <w:bCs/>
          <w:sz w:val="22"/>
          <w:szCs w:val="22"/>
        </w:rPr>
      </w:pPr>
    </w:p>
    <w:p w14:paraId="1EE8CF88" w14:textId="77777777" w:rsidR="005C5F28" w:rsidRPr="00C44D8C" w:rsidRDefault="005C5F28" w:rsidP="00CB4397">
      <w:pPr>
        <w:spacing w:line="360" w:lineRule="auto"/>
        <w:rPr>
          <w:rFonts w:asciiTheme="minorHAnsi" w:hAnsiTheme="minorHAnsi"/>
          <w:b/>
          <w:bCs/>
          <w:sz w:val="22"/>
          <w:szCs w:val="22"/>
        </w:rPr>
      </w:pPr>
    </w:p>
    <w:p w14:paraId="646E597D" w14:textId="77777777" w:rsidR="005C5F28" w:rsidRPr="00C44D8C" w:rsidRDefault="005C5F28" w:rsidP="00CB4397">
      <w:pPr>
        <w:spacing w:line="360" w:lineRule="auto"/>
        <w:rPr>
          <w:rFonts w:asciiTheme="minorHAnsi" w:hAnsiTheme="minorHAnsi"/>
          <w:b/>
          <w:bCs/>
          <w:sz w:val="22"/>
          <w:szCs w:val="22"/>
        </w:rPr>
      </w:pPr>
    </w:p>
    <w:p w14:paraId="42106D1E" w14:textId="77777777" w:rsidR="00A9324D" w:rsidRDefault="00A9324D" w:rsidP="00CB4397">
      <w:pPr>
        <w:spacing w:line="360" w:lineRule="auto"/>
        <w:rPr>
          <w:rFonts w:asciiTheme="minorHAnsi" w:hAnsiTheme="minorHAnsi"/>
          <w:b/>
          <w:bCs/>
          <w:sz w:val="22"/>
          <w:szCs w:val="22"/>
        </w:rPr>
        <w:sectPr w:rsidR="00A9324D" w:rsidSect="00407344">
          <w:pgSz w:w="11906" w:h="16838"/>
          <w:pgMar w:top="1418" w:right="1418" w:bottom="1418" w:left="2268" w:header="708" w:footer="708" w:gutter="0"/>
          <w:pgNumType w:fmt="lowerRoman"/>
          <w:cols w:space="708"/>
          <w:docGrid w:linePitch="360"/>
        </w:sectPr>
      </w:pPr>
    </w:p>
    <w:p w14:paraId="6B51E47E" w14:textId="4A1B795C" w:rsidR="00CB4397" w:rsidRPr="00C44D8C" w:rsidRDefault="00CB4397" w:rsidP="00C44D8C">
      <w:pPr>
        <w:pStyle w:val="Heading1"/>
      </w:pPr>
      <w:bookmarkStart w:id="14" w:name="_Toc462575245"/>
      <w:r w:rsidRPr="00C44D8C">
        <w:lastRenderedPageBreak/>
        <w:t>III. List of tables</w:t>
      </w:r>
      <w:bookmarkEnd w:id="14"/>
    </w:p>
    <w:p w14:paraId="3FB7A7BD"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Table 2.1</w:t>
      </w:r>
      <w:r w:rsidRPr="00C44D8C">
        <w:rPr>
          <w:rFonts w:asciiTheme="minorHAnsi" w:eastAsia="Calibri" w:hAnsiTheme="minorHAnsi" w:cs="Calibri"/>
          <w:sz w:val="22"/>
          <w:szCs w:val="22"/>
        </w:rPr>
        <w:t xml:space="preserve"> Specialised metabolic pathways of the methanogen archaea.</w:t>
      </w:r>
    </w:p>
    <w:p w14:paraId="03AAE225"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Table 2.2</w:t>
      </w:r>
      <w:r w:rsidRPr="00C44D8C">
        <w:rPr>
          <w:rFonts w:asciiTheme="minorHAnsi" w:eastAsia="Calibri" w:hAnsiTheme="minorHAnsi" w:cs="Calibri"/>
          <w:sz w:val="22"/>
          <w:szCs w:val="22"/>
        </w:rPr>
        <w:t xml:space="preserve"> Methods commonly used in the laboratory to analyse the physicochemical factors governing microbial initial adhesion to abiotic surfaces.</w:t>
      </w:r>
    </w:p>
    <w:p w14:paraId="4DB248CF"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Table 3.1</w:t>
      </w:r>
      <w:r w:rsidRPr="00C44D8C">
        <w:rPr>
          <w:rFonts w:asciiTheme="minorHAnsi" w:eastAsia="Calibri" w:hAnsiTheme="minorHAnsi" w:cs="Calibri"/>
          <w:sz w:val="22"/>
          <w:szCs w:val="22"/>
        </w:rPr>
        <w:t xml:space="preserve"> Surface tension components (mJm</w:t>
      </w:r>
      <w:r w:rsidRPr="00C44D8C">
        <w:rPr>
          <w:rFonts w:asciiTheme="minorHAnsi" w:eastAsia="Calibri" w:hAnsiTheme="minorHAnsi" w:cs="Calibri"/>
          <w:sz w:val="22"/>
          <w:szCs w:val="22"/>
          <w:vertAlign w:val="superscript"/>
        </w:rPr>
        <w:t>-2</w:t>
      </w:r>
      <w:r w:rsidRPr="00C44D8C">
        <w:rPr>
          <w:rFonts w:asciiTheme="minorHAnsi" w:eastAsia="Calibri" w:hAnsiTheme="minorHAnsi" w:cs="Calibri"/>
          <w:sz w:val="22"/>
          <w:szCs w:val="22"/>
        </w:rPr>
        <w:t>) of three commonly used probe liquids for measuring contact angles for the calculation of SFE.</w:t>
      </w:r>
    </w:p>
    <w:p w14:paraId="4B9FFCD9"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b/>
          <w:sz w:val="22"/>
          <w:szCs w:val="22"/>
        </w:rPr>
        <w:t xml:space="preserve">Table 3.2 </w:t>
      </w:r>
      <w:r w:rsidRPr="00C44D8C">
        <w:rPr>
          <w:rFonts w:asciiTheme="minorHAnsi" w:eastAsia="Calibri" w:hAnsiTheme="minorHAnsi" w:cs="Calibri"/>
          <w:sz w:val="22"/>
          <w:szCs w:val="22"/>
        </w:rPr>
        <w:t xml:space="preserve">Contact angles, hydrophobicity, surface free energy components and zeta potential measurements of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 xml:space="preserve">and support materials (100 mM, pH 7 potassium chloride). Error values represent standard deviations of 3 independent experiments. </w:t>
      </w:r>
    </w:p>
    <w:p w14:paraId="53B3EDE4" w14:textId="77777777" w:rsidR="00CB4397" w:rsidRPr="00C44D8C" w:rsidRDefault="00CB4397" w:rsidP="00CB4397">
      <w:pPr>
        <w:spacing w:line="360" w:lineRule="auto"/>
        <w:rPr>
          <w:rFonts w:asciiTheme="minorHAnsi" w:eastAsia="Calibri" w:hAnsiTheme="minorHAnsi" w:cs="Calibri"/>
          <w:bCs/>
          <w:sz w:val="22"/>
          <w:szCs w:val="22"/>
        </w:rPr>
      </w:pPr>
      <w:r w:rsidRPr="00C44D8C">
        <w:rPr>
          <w:rFonts w:asciiTheme="minorHAnsi" w:hAnsiTheme="minorHAnsi"/>
          <w:b/>
          <w:bCs/>
          <w:sz w:val="22"/>
          <w:szCs w:val="22"/>
        </w:rPr>
        <w:t>Table 4.1</w:t>
      </w:r>
      <w:r w:rsidRPr="00C44D8C">
        <w:rPr>
          <w:rFonts w:asciiTheme="minorHAnsi" w:hAnsiTheme="minorHAnsi"/>
          <w:sz w:val="22"/>
          <w:szCs w:val="22"/>
        </w:rPr>
        <w:t xml:space="preserve"> Quantification of the elemental surface composition of </w:t>
      </w:r>
      <w:r w:rsidRPr="00C44D8C">
        <w:rPr>
          <w:rFonts w:asciiTheme="minorHAnsi" w:hAnsiTheme="minorHAnsi"/>
          <w:i/>
          <w:iCs/>
          <w:sz w:val="22"/>
          <w:szCs w:val="22"/>
        </w:rPr>
        <w:t xml:space="preserve">M. barkeri </w:t>
      </w:r>
      <w:r w:rsidRPr="00C44D8C">
        <w:rPr>
          <w:rFonts w:asciiTheme="minorHAnsi" w:hAnsiTheme="minorHAnsi"/>
          <w:sz w:val="22"/>
          <w:szCs w:val="22"/>
        </w:rPr>
        <w:t xml:space="preserve">grown as a biofilm attached to either PVC or PETG. </w:t>
      </w:r>
      <w:r w:rsidRPr="00C44D8C">
        <w:rPr>
          <w:rFonts w:asciiTheme="minorHAnsi" w:eastAsia="Calibri" w:hAnsiTheme="minorHAnsi" w:cs="Calibri"/>
          <w:bCs/>
          <w:sz w:val="22"/>
          <w:szCs w:val="22"/>
        </w:rPr>
        <w:t xml:space="preserve">Errors represent standard deviation of two independent experiments. </w:t>
      </w:r>
    </w:p>
    <w:p w14:paraId="38BA3499" w14:textId="21CA587E"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Table 5.1</w:t>
      </w:r>
      <w:r w:rsidRPr="00C44D8C">
        <w:rPr>
          <w:rFonts w:asciiTheme="minorHAnsi" w:hAnsiTheme="minorHAnsi"/>
          <w:color w:val="000000"/>
          <w:sz w:val="22"/>
          <w:szCs w:val="22"/>
          <w:lang w:eastAsia="en-GB"/>
        </w:rPr>
        <w:t xml:space="preserve"> Proteins involved in methanogenesis and </w:t>
      </w:r>
      <w:r w:rsidR="00ED0E70">
        <w:rPr>
          <w:rFonts w:asciiTheme="minorHAnsi" w:hAnsiTheme="minorHAnsi"/>
          <w:color w:val="000000"/>
          <w:sz w:val="22"/>
          <w:szCs w:val="22"/>
          <w:lang w:eastAsia="en-GB"/>
        </w:rPr>
        <w:t>found in higher relative abundance</w:t>
      </w:r>
      <w:r w:rsidR="00ED0E70"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in biofilms on PVC with significant fold changes (p ≤ 0.05).</w:t>
      </w:r>
    </w:p>
    <w:p w14:paraId="5A809338" w14:textId="6AB193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Table 5.2</w:t>
      </w:r>
      <w:r w:rsidRPr="00C44D8C">
        <w:rPr>
          <w:rFonts w:asciiTheme="minorHAnsi" w:hAnsiTheme="minorHAnsi"/>
          <w:color w:val="000000"/>
          <w:sz w:val="22"/>
          <w:szCs w:val="22"/>
          <w:lang w:eastAsia="en-GB"/>
        </w:rPr>
        <w:t xml:space="preserve"> Proteins involved in cell wall and membrane biogenesis and cell growth and </w:t>
      </w:r>
      <w:r w:rsidR="00ED0E70">
        <w:rPr>
          <w:rFonts w:asciiTheme="minorHAnsi" w:hAnsiTheme="minorHAnsi"/>
          <w:color w:val="000000"/>
          <w:sz w:val="22"/>
          <w:szCs w:val="22"/>
          <w:lang w:eastAsia="en-GB"/>
        </w:rPr>
        <w:t>found in higher relative abundance</w:t>
      </w:r>
      <w:r w:rsidR="00ED0E70"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in biofilms on PVC with significant fold changes (p ≤ 0.05).</w:t>
      </w:r>
    </w:p>
    <w:p w14:paraId="119CA9AE" w14:textId="39733730"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Table 5.3</w:t>
      </w:r>
      <w:r w:rsidRPr="00C44D8C">
        <w:rPr>
          <w:rFonts w:asciiTheme="minorHAnsi" w:hAnsiTheme="minorHAnsi"/>
          <w:color w:val="000000"/>
          <w:sz w:val="22"/>
          <w:szCs w:val="22"/>
          <w:lang w:eastAsia="en-GB"/>
        </w:rPr>
        <w:t xml:space="preserve"> Proteins involved in signalling mechanisms and </w:t>
      </w:r>
      <w:r w:rsidR="00ED0E70">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 (p ≤ 0.05).</w:t>
      </w:r>
    </w:p>
    <w:p w14:paraId="422645FD" w14:textId="1419090D"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Table 5.4</w:t>
      </w:r>
      <w:r w:rsidRPr="00C44D8C">
        <w:rPr>
          <w:rFonts w:asciiTheme="minorHAnsi" w:hAnsiTheme="minorHAnsi"/>
          <w:color w:val="000000"/>
          <w:sz w:val="22"/>
          <w:szCs w:val="22"/>
          <w:lang w:eastAsia="en-GB"/>
        </w:rPr>
        <w:t xml:space="preserve"> Proteins involved in cellular processes and </w:t>
      </w:r>
      <w:r w:rsidR="00ED0E70">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 (p ≤ 0.05).</w:t>
      </w:r>
    </w:p>
    <w:p w14:paraId="5157C337" w14:textId="1F7CFEAF"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Table 5.5</w:t>
      </w:r>
      <w:r w:rsidRPr="00C44D8C">
        <w:rPr>
          <w:rFonts w:asciiTheme="minorHAnsi" w:hAnsiTheme="minorHAnsi"/>
          <w:color w:val="000000"/>
          <w:sz w:val="22"/>
          <w:szCs w:val="22"/>
          <w:lang w:eastAsia="en-GB"/>
        </w:rPr>
        <w:t xml:space="preserve"> Proteins involved in substrate transport and folding and </w:t>
      </w:r>
      <w:r w:rsidR="00ED0E70">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 (p ≤ 0.05).</w:t>
      </w:r>
    </w:p>
    <w:p w14:paraId="2EE8F9AF" w14:textId="421E6A7D"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 xml:space="preserve">Table 5.6 </w:t>
      </w:r>
      <w:r w:rsidRPr="00C44D8C">
        <w:rPr>
          <w:rFonts w:asciiTheme="minorHAnsi" w:hAnsiTheme="minorHAnsi"/>
          <w:color w:val="000000"/>
          <w:sz w:val="22"/>
          <w:szCs w:val="22"/>
          <w:lang w:eastAsia="en-GB"/>
        </w:rPr>
        <w:t xml:space="preserve">Proteins involved in metabolism and </w:t>
      </w:r>
      <w:r w:rsidR="00ED0E70">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 (p ≤ 0.05).</w:t>
      </w:r>
    </w:p>
    <w:p w14:paraId="3ABF8D36" w14:textId="77777777" w:rsidR="00CB4397" w:rsidRPr="00C44D8C" w:rsidRDefault="00CB4397" w:rsidP="00CB4397">
      <w:pPr>
        <w:spacing w:line="360" w:lineRule="auto"/>
        <w:rPr>
          <w:rFonts w:asciiTheme="minorHAnsi" w:eastAsia="Calibri" w:hAnsiTheme="minorHAnsi" w:cs="Calibri"/>
          <w:bCs/>
          <w:sz w:val="22"/>
          <w:szCs w:val="22"/>
        </w:rPr>
      </w:pPr>
    </w:p>
    <w:p w14:paraId="619913E7" w14:textId="77777777" w:rsidR="00CB4397" w:rsidRPr="00C44D8C" w:rsidRDefault="00CB4397" w:rsidP="00CB4397">
      <w:pPr>
        <w:spacing w:after="120" w:line="360" w:lineRule="auto"/>
        <w:rPr>
          <w:rFonts w:asciiTheme="minorHAnsi" w:hAnsiTheme="minorHAnsi"/>
          <w:sz w:val="22"/>
          <w:szCs w:val="22"/>
        </w:rPr>
      </w:pPr>
    </w:p>
    <w:p w14:paraId="489D631A" w14:textId="77777777" w:rsidR="00CB4397" w:rsidRPr="00C44D8C" w:rsidRDefault="00CB4397" w:rsidP="00CB4397">
      <w:pPr>
        <w:spacing w:line="360" w:lineRule="auto"/>
        <w:rPr>
          <w:rFonts w:asciiTheme="minorHAnsi" w:hAnsiTheme="minorHAnsi"/>
          <w:b/>
          <w:bCs/>
          <w:sz w:val="22"/>
          <w:szCs w:val="22"/>
        </w:rPr>
      </w:pPr>
    </w:p>
    <w:p w14:paraId="58EFC2A5" w14:textId="77777777" w:rsidR="00CB4397" w:rsidRPr="00C44D8C" w:rsidRDefault="00CB4397" w:rsidP="00CB4397">
      <w:pPr>
        <w:rPr>
          <w:rFonts w:asciiTheme="minorHAnsi" w:hAnsiTheme="minorHAnsi"/>
          <w:b/>
          <w:bCs/>
          <w:sz w:val="22"/>
          <w:szCs w:val="22"/>
        </w:rPr>
      </w:pPr>
    </w:p>
    <w:p w14:paraId="010B2ADB" w14:textId="77777777" w:rsidR="00CB4397" w:rsidRPr="00C44D8C" w:rsidRDefault="00CB4397">
      <w:pPr>
        <w:rPr>
          <w:rFonts w:asciiTheme="minorHAnsi" w:hAnsiTheme="minorHAnsi"/>
          <w:sz w:val="22"/>
          <w:szCs w:val="22"/>
        </w:rPr>
      </w:pPr>
    </w:p>
    <w:p w14:paraId="2477D127" w14:textId="77777777" w:rsidR="00CB4397" w:rsidRPr="00C44D8C" w:rsidRDefault="00CB4397">
      <w:pPr>
        <w:rPr>
          <w:rFonts w:asciiTheme="minorHAnsi" w:hAnsiTheme="minorHAnsi"/>
          <w:sz w:val="22"/>
          <w:szCs w:val="22"/>
        </w:rPr>
      </w:pPr>
    </w:p>
    <w:p w14:paraId="239F847C" w14:textId="77777777" w:rsidR="00CB4397" w:rsidRPr="00C44D8C" w:rsidRDefault="00CB4397">
      <w:pPr>
        <w:rPr>
          <w:rFonts w:asciiTheme="minorHAnsi" w:hAnsiTheme="minorHAnsi"/>
          <w:sz w:val="22"/>
          <w:szCs w:val="22"/>
        </w:rPr>
      </w:pPr>
    </w:p>
    <w:p w14:paraId="5488E0FB" w14:textId="77777777" w:rsidR="00A9324D" w:rsidRDefault="00A9324D" w:rsidP="00CB4397">
      <w:pPr>
        <w:spacing w:line="360" w:lineRule="auto"/>
        <w:rPr>
          <w:rFonts w:asciiTheme="minorHAnsi" w:hAnsiTheme="minorHAnsi"/>
          <w:b/>
          <w:bCs/>
          <w:sz w:val="22"/>
          <w:szCs w:val="22"/>
        </w:rPr>
        <w:sectPr w:rsidR="00A9324D" w:rsidSect="00407344">
          <w:pgSz w:w="11906" w:h="16838"/>
          <w:pgMar w:top="1418" w:right="1418" w:bottom="1418" w:left="2268" w:header="708" w:footer="708" w:gutter="0"/>
          <w:pgNumType w:fmt="lowerRoman"/>
          <w:cols w:space="708"/>
          <w:docGrid w:linePitch="360"/>
        </w:sectPr>
      </w:pPr>
    </w:p>
    <w:p w14:paraId="5765AE4C" w14:textId="230CDC21" w:rsidR="00CB4397" w:rsidRPr="00C44D8C" w:rsidRDefault="00CB4397" w:rsidP="00C44D8C">
      <w:pPr>
        <w:pStyle w:val="Heading1"/>
      </w:pPr>
      <w:bookmarkStart w:id="15" w:name="_Toc462575246"/>
      <w:r w:rsidRPr="00C44D8C">
        <w:lastRenderedPageBreak/>
        <w:t>IV. List of abbreviations</w:t>
      </w:r>
      <w:bookmarkEnd w:id="15"/>
    </w:p>
    <w:p w14:paraId="72DC7D1D"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2D-LC</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Two-dimensional liquid chromatography</w:t>
      </w:r>
    </w:p>
    <w:p w14:paraId="0FB8A3C5"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AB</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Lewis acid-base</w:t>
      </w:r>
    </w:p>
    <w:p w14:paraId="396F7523"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ABC</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t>ATP-binding cassette</w:t>
      </w:r>
    </w:p>
    <w:p w14:paraId="03ED9EE1"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hAnsiTheme="minorHAnsi"/>
          <w:sz w:val="22"/>
          <w:szCs w:val="22"/>
        </w:rPr>
        <w:t>AD</w:t>
      </w:r>
      <w:r w:rsidRPr="00C44D8C">
        <w:rPr>
          <w:rFonts w:asciiTheme="minorHAnsi" w:hAnsiTheme="minorHAnsi"/>
          <w:sz w:val="22"/>
          <w:szCs w:val="22"/>
        </w:rPr>
        <w:tab/>
      </w:r>
      <w:r w:rsidRPr="00C44D8C">
        <w:rPr>
          <w:rFonts w:asciiTheme="minorHAnsi" w:hAnsiTheme="minorHAnsi"/>
          <w:sz w:val="22"/>
          <w:szCs w:val="22"/>
        </w:rPr>
        <w:tab/>
      </w:r>
      <w:r w:rsidRPr="00C44D8C">
        <w:rPr>
          <w:rFonts w:asciiTheme="minorHAnsi" w:eastAsia="Calibri" w:hAnsiTheme="minorHAnsi" w:cs="Calibri"/>
          <w:sz w:val="22"/>
          <w:szCs w:val="22"/>
        </w:rPr>
        <w:t>Anaerobic digestion</w:t>
      </w:r>
    </w:p>
    <w:p w14:paraId="4DF4C513" w14:textId="2DDDE117" w:rsidR="00CB4397" w:rsidRPr="00C44D8C" w:rsidRDefault="00CB4397" w:rsidP="00CB4397">
      <w:pPr>
        <w:spacing w:line="360" w:lineRule="auto"/>
        <w:rPr>
          <w:rFonts w:asciiTheme="minorHAnsi" w:hAnsiTheme="minorHAnsi"/>
          <w:sz w:val="22"/>
          <w:szCs w:val="22"/>
        </w:rPr>
      </w:pPr>
      <w:r w:rsidRPr="00C44D8C">
        <w:rPr>
          <w:rFonts w:asciiTheme="minorHAnsi" w:hAnsiTheme="minorHAnsi"/>
          <w:sz w:val="22"/>
          <w:szCs w:val="22"/>
        </w:rPr>
        <w:t>ANOVA</w:t>
      </w:r>
      <w:r w:rsidRPr="00C44D8C">
        <w:rPr>
          <w:rFonts w:asciiTheme="minorHAnsi" w:hAnsiTheme="minorHAnsi"/>
          <w:sz w:val="22"/>
          <w:szCs w:val="22"/>
        </w:rPr>
        <w:tab/>
      </w:r>
      <w:r w:rsidR="00C44D8C">
        <w:rPr>
          <w:rFonts w:asciiTheme="minorHAnsi" w:hAnsiTheme="minorHAnsi"/>
          <w:sz w:val="22"/>
          <w:szCs w:val="22"/>
        </w:rPr>
        <w:tab/>
      </w:r>
      <w:r w:rsidRPr="00C44D8C">
        <w:rPr>
          <w:rFonts w:asciiTheme="minorHAnsi" w:hAnsiTheme="minorHAnsi"/>
          <w:sz w:val="22"/>
          <w:szCs w:val="22"/>
        </w:rPr>
        <w:t>Analysis of variance</w:t>
      </w:r>
    </w:p>
    <w:p w14:paraId="4239519A" w14:textId="77777777" w:rsidR="00CB4397" w:rsidRPr="00C44D8C" w:rsidRDefault="00CB4397" w:rsidP="00CB4397">
      <w:pPr>
        <w:spacing w:line="360" w:lineRule="auto"/>
        <w:rPr>
          <w:rFonts w:asciiTheme="minorHAnsi" w:hAnsiTheme="minorHAnsi"/>
          <w:bCs/>
          <w:sz w:val="22"/>
          <w:szCs w:val="22"/>
        </w:rPr>
      </w:pPr>
      <w:r w:rsidRPr="00C44D8C">
        <w:rPr>
          <w:rFonts w:asciiTheme="minorHAnsi" w:eastAsia="Calibri" w:hAnsiTheme="minorHAnsi" w:cs="Calibri"/>
          <w:sz w:val="22"/>
          <w:szCs w:val="22"/>
        </w:rPr>
        <w:t>ATP</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r>
      <w:r w:rsidRPr="00C44D8C">
        <w:rPr>
          <w:rFonts w:asciiTheme="minorHAnsi" w:hAnsiTheme="minorHAnsi"/>
          <w:bCs/>
          <w:sz w:val="22"/>
          <w:szCs w:val="22"/>
        </w:rPr>
        <w:t>Adenosine triphosphate</w:t>
      </w:r>
    </w:p>
    <w:p w14:paraId="2BFC69C6"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ATR</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Attenuated total reflectance</w:t>
      </w:r>
    </w:p>
    <w:p w14:paraId="0D7288D4"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hAnsiTheme="minorHAnsi"/>
          <w:bCs/>
          <w:sz w:val="22"/>
          <w:szCs w:val="22"/>
        </w:rPr>
        <w:t>CLSM</w:t>
      </w:r>
      <w:r w:rsidRPr="00C44D8C">
        <w:rPr>
          <w:rFonts w:asciiTheme="minorHAnsi" w:hAnsiTheme="minorHAnsi"/>
          <w:bCs/>
          <w:sz w:val="22"/>
          <w:szCs w:val="22"/>
        </w:rPr>
        <w:tab/>
      </w:r>
      <w:r w:rsidRPr="00C44D8C">
        <w:rPr>
          <w:rFonts w:asciiTheme="minorHAnsi" w:hAnsiTheme="minorHAnsi"/>
          <w:bCs/>
          <w:sz w:val="22"/>
          <w:szCs w:val="22"/>
        </w:rPr>
        <w:tab/>
      </w:r>
      <w:r w:rsidRPr="00C44D8C">
        <w:rPr>
          <w:rFonts w:asciiTheme="minorHAnsi" w:eastAsia="Calibri" w:hAnsiTheme="minorHAnsi" w:cs="Calibri"/>
          <w:sz w:val="22"/>
          <w:szCs w:val="22"/>
        </w:rPr>
        <w:t>Confocal laser scanning microscopy</w:t>
      </w:r>
    </w:p>
    <w:p w14:paraId="7DF7F3D2"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hAnsiTheme="minorHAnsi"/>
          <w:sz w:val="22"/>
          <w:szCs w:val="22"/>
        </w:rPr>
        <w:t>COD</w:t>
      </w:r>
      <w:r w:rsidRPr="00C44D8C">
        <w:rPr>
          <w:rFonts w:asciiTheme="minorHAnsi" w:hAnsiTheme="minorHAnsi"/>
          <w:sz w:val="22"/>
          <w:szCs w:val="22"/>
        </w:rPr>
        <w:tab/>
      </w:r>
      <w:r w:rsidRPr="00C44D8C">
        <w:rPr>
          <w:rFonts w:asciiTheme="minorHAnsi" w:hAnsiTheme="minorHAnsi"/>
          <w:sz w:val="22"/>
          <w:szCs w:val="22"/>
        </w:rPr>
        <w:tab/>
      </w:r>
      <w:r w:rsidRPr="00C44D8C">
        <w:rPr>
          <w:rFonts w:asciiTheme="minorHAnsi" w:eastAsia="Calibri" w:hAnsiTheme="minorHAnsi" w:cs="Calibri"/>
          <w:sz w:val="22"/>
          <w:szCs w:val="22"/>
        </w:rPr>
        <w:t>Chemical oxygen demand</w:t>
      </w:r>
    </w:p>
    <w:p w14:paraId="2C51B215"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ConA-Rho</w:t>
      </w:r>
      <w:r w:rsidRPr="00C44D8C">
        <w:rPr>
          <w:rFonts w:asciiTheme="minorHAnsi" w:eastAsia="Calibri" w:hAnsiTheme="minorHAnsi" w:cs="Calibri"/>
          <w:sz w:val="22"/>
          <w:szCs w:val="22"/>
        </w:rPr>
        <w:tab/>
        <w:t>Concanavalin A-rhodamine</w:t>
      </w:r>
    </w:p>
    <w:p w14:paraId="55298D98"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CTC</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t>Tartarate carbonate</w:t>
      </w:r>
    </w:p>
    <w:p w14:paraId="3629E260" w14:textId="77777777" w:rsidR="00CB4397" w:rsidRPr="00224A2D" w:rsidRDefault="00CB4397" w:rsidP="00CB4397">
      <w:pPr>
        <w:spacing w:line="360" w:lineRule="auto"/>
        <w:rPr>
          <w:rFonts w:asciiTheme="minorHAnsi" w:eastAsia="Calibri" w:hAnsiTheme="minorHAnsi" w:cs="Calibri"/>
          <w:sz w:val="22"/>
          <w:szCs w:val="22"/>
          <w:lang w:val="nl-NL"/>
        </w:rPr>
      </w:pPr>
      <w:r w:rsidRPr="00224A2D">
        <w:rPr>
          <w:rFonts w:asciiTheme="minorHAnsi" w:eastAsia="Calibri" w:hAnsiTheme="minorHAnsi" w:cs="Calibri"/>
          <w:sz w:val="22"/>
          <w:szCs w:val="22"/>
          <w:lang w:val="nl-NL"/>
        </w:rPr>
        <w:t>DAPI</w:t>
      </w:r>
      <w:r w:rsidRPr="00224A2D">
        <w:rPr>
          <w:rFonts w:asciiTheme="minorHAnsi" w:eastAsia="Calibri" w:hAnsiTheme="minorHAnsi" w:cs="Calibri"/>
          <w:sz w:val="22"/>
          <w:szCs w:val="22"/>
          <w:lang w:val="nl-NL"/>
        </w:rPr>
        <w:tab/>
      </w:r>
      <w:r w:rsidRPr="00224A2D">
        <w:rPr>
          <w:rFonts w:asciiTheme="minorHAnsi" w:eastAsia="Calibri" w:hAnsiTheme="minorHAnsi" w:cs="Calibri"/>
          <w:sz w:val="22"/>
          <w:szCs w:val="22"/>
          <w:lang w:val="nl-NL"/>
        </w:rPr>
        <w:tab/>
        <w:t>4',6-diamidino-2-phenylindole</w:t>
      </w:r>
    </w:p>
    <w:p w14:paraId="0F66BF85" w14:textId="77777777" w:rsidR="00CB4397" w:rsidRPr="00224A2D" w:rsidRDefault="00CB4397" w:rsidP="00CB4397">
      <w:pPr>
        <w:spacing w:line="360" w:lineRule="auto"/>
        <w:rPr>
          <w:rFonts w:asciiTheme="minorHAnsi" w:eastAsia="Calibri" w:hAnsiTheme="minorHAnsi" w:cs="Calibri"/>
          <w:sz w:val="22"/>
          <w:szCs w:val="22"/>
          <w:lang w:val="nl-NL"/>
        </w:rPr>
      </w:pPr>
      <w:r w:rsidRPr="00224A2D">
        <w:rPr>
          <w:rFonts w:asciiTheme="minorHAnsi" w:eastAsia="Calibri" w:hAnsiTheme="minorHAnsi" w:cs="Calibri"/>
          <w:sz w:val="22"/>
          <w:szCs w:val="22"/>
          <w:lang w:val="nl-NL"/>
        </w:rPr>
        <w:t>DLVO</w:t>
      </w:r>
      <w:r w:rsidRPr="00224A2D">
        <w:rPr>
          <w:rFonts w:asciiTheme="minorHAnsi" w:eastAsia="Calibri" w:hAnsiTheme="minorHAnsi" w:cs="Calibri"/>
          <w:sz w:val="22"/>
          <w:szCs w:val="22"/>
          <w:lang w:val="nl-NL"/>
        </w:rPr>
        <w:tab/>
      </w:r>
      <w:r w:rsidRPr="00224A2D">
        <w:rPr>
          <w:rFonts w:asciiTheme="minorHAnsi" w:eastAsia="Calibri" w:hAnsiTheme="minorHAnsi" w:cs="Calibri"/>
          <w:sz w:val="22"/>
          <w:szCs w:val="22"/>
          <w:lang w:val="nl-NL"/>
        </w:rPr>
        <w:tab/>
        <w:t>Derjaguin, Landau, Verwey, and Overbeek model</w:t>
      </w:r>
    </w:p>
    <w:p w14:paraId="73CDFC66"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eastAsia="Calibri" w:hAnsiTheme="minorHAnsi" w:cs="Calibri"/>
          <w:sz w:val="22"/>
          <w:szCs w:val="22"/>
        </w:rPr>
        <w:t>DTT</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r>
      <w:r w:rsidRPr="00C44D8C">
        <w:rPr>
          <w:rFonts w:asciiTheme="minorHAnsi" w:hAnsiTheme="minorHAnsi"/>
          <w:color w:val="000000"/>
          <w:sz w:val="22"/>
          <w:szCs w:val="22"/>
          <w:lang w:eastAsia="en-GB"/>
        </w:rPr>
        <w:t>Dithiothreitol</w:t>
      </w:r>
    </w:p>
    <w:p w14:paraId="4058BFE7" w14:textId="77777777" w:rsidR="00CB4397" w:rsidRPr="00C44D8C" w:rsidRDefault="00CB4397" w:rsidP="00CB4397">
      <w:pPr>
        <w:spacing w:line="360" w:lineRule="auto"/>
        <w:rPr>
          <w:rFonts w:asciiTheme="minorHAnsi" w:hAnsiTheme="minorHAnsi"/>
          <w:color w:val="000000"/>
          <w:sz w:val="22"/>
          <w:szCs w:val="22"/>
          <w:shd w:val="clear" w:color="auto" w:fill="FFFFFF"/>
          <w:lang w:eastAsia="en-GB"/>
        </w:rPr>
      </w:pPr>
      <w:r w:rsidRPr="00C44D8C">
        <w:rPr>
          <w:rFonts w:asciiTheme="minorHAnsi" w:hAnsiTheme="minorHAnsi"/>
          <w:color w:val="000000"/>
          <w:sz w:val="22"/>
          <w:szCs w:val="22"/>
          <w:lang w:eastAsia="en-GB"/>
        </w:rPr>
        <w:t>EDTA</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r>
      <w:r w:rsidRPr="00C44D8C">
        <w:rPr>
          <w:rFonts w:asciiTheme="minorHAnsi" w:hAnsiTheme="minorHAnsi"/>
          <w:color w:val="000000"/>
          <w:sz w:val="22"/>
          <w:szCs w:val="22"/>
          <w:shd w:val="clear" w:color="auto" w:fill="FFFFFF"/>
          <w:lang w:eastAsia="en-GB"/>
        </w:rPr>
        <w:t>Ethylenediaminetetraacetic acid</w:t>
      </w:r>
    </w:p>
    <w:p w14:paraId="27C6DBA8"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EL</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Electrostatic</w:t>
      </w:r>
    </w:p>
    <w:p w14:paraId="12E59499"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EPM</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Electrophoretic mobility</w:t>
      </w:r>
    </w:p>
    <w:p w14:paraId="0C827FE3"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EPS</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Extracellular polymeric substances</w:t>
      </w:r>
    </w:p>
    <w:p w14:paraId="0570D3D4" w14:textId="77777777" w:rsidR="00CB4397" w:rsidRPr="00C44D8C" w:rsidRDefault="00CB4397" w:rsidP="00CB4397">
      <w:pPr>
        <w:spacing w:line="360" w:lineRule="auto"/>
        <w:rPr>
          <w:rFonts w:asciiTheme="minorHAnsi" w:hAnsiTheme="minorHAnsi"/>
          <w:iCs/>
          <w:color w:val="000000"/>
          <w:sz w:val="22"/>
          <w:szCs w:val="22"/>
          <w:lang w:eastAsia="en-GB"/>
        </w:rPr>
      </w:pPr>
      <w:r w:rsidRPr="00C44D8C">
        <w:rPr>
          <w:rFonts w:asciiTheme="minorHAnsi" w:hAnsiTheme="minorHAnsi" w:cs="Calibri"/>
          <w:color w:val="000000"/>
          <w:sz w:val="22"/>
          <w:szCs w:val="22"/>
        </w:rPr>
        <w:t>FDR</w:t>
      </w:r>
      <w:r w:rsidRPr="00C44D8C">
        <w:rPr>
          <w:rFonts w:asciiTheme="minorHAnsi" w:hAnsiTheme="minorHAnsi" w:cs="Calibri"/>
          <w:color w:val="000000"/>
          <w:sz w:val="22"/>
          <w:szCs w:val="22"/>
        </w:rPr>
        <w:tab/>
      </w:r>
      <w:r w:rsidRPr="00C44D8C">
        <w:rPr>
          <w:rFonts w:asciiTheme="minorHAnsi" w:hAnsiTheme="minorHAnsi" w:cs="Calibri"/>
          <w:color w:val="000000"/>
          <w:sz w:val="22"/>
          <w:szCs w:val="22"/>
        </w:rPr>
        <w:tab/>
      </w:r>
      <w:r w:rsidRPr="00C44D8C">
        <w:rPr>
          <w:rFonts w:asciiTheme="minorHAnsi" w:hAnsiTheme="minorHAnsi"/>
          <w:iCs/>
          <w:color w:val="000000"/>
          <w:sz w:val="22"/>
          <w:szCs w:val="22"/>
          <w:lang w:eastAsia="en-GB"/>
        </w:rPr>
        <w:t>False discovery rate</w:t>
      </w:r>
    </w:p>
    <w:p w14:paraId="547B0D82"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FITC</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Fluorescein-5-isothiocyanate</w:t>
      </w:r>
    </w:p>
    <w:p w14:paraId="0FC2157D"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FTIR</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Fourier transform infrared spectroscopy</w:t>
      </w:r>
    </w:p>
    <w:p w14:paraId="23BF070C"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GAPDH</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t>Glyceraldehyde-3-phosphate dehydrogenase</w:t>
      </w:r>
    </w:p>
    <w:p w14:paraId="727E1865" w14:textId="77777777" w:rsidR="00CB4397" w:rsidRPr="00C44D8C" w:rsidRDefault="00CB4397" w:rsidP="00CB4397">
      <w:pPr>
        <w:spacing w:line="360" w:lineRule="auto"/>
        <w:rPr>
          <w:rFonts w:asciiTheme="minorHAnsi" w:hAnsiTheme="minorHAnsi" w:cs="Calibri"/>
          <w:color w:val="000000"/>
          <w:sz w:val="22"/>
          <w:szCs w:val="22"/>
        </w:rPr>
      </w:pPr>
      <w:r w:rsidRPr="00C44D8C">
        <w:rPr>
          <w:rFonts w:asciiTheme="minorHAnsi" w:hAnsiTheme="minorHAnsi"/>
          <w:color w:val="000000"/>
          <w:sz w:val="22"/>
          <w:szCs w:val="22"/>
        </w:rPr>
        <w:t>HCD</w:t>
      </w:r>
      <w:r w:rsidRPr="00C44D8C">
        <w:rPr>
          <w:rFonts w:asciiTheme="minorHAnsi" w:hAnsiTheme="minorHAnsi"/>
          <w:color w:val="000000"/>
          <w:sz w:val="22"/>
          <w:szCs w:val="22"/>
        </w:rPr>
        <w:tab/>
      </w:r>
      <w:r w:rsidRPr="00C44D8C">
        <w:rPr>
          <w:rFonts w:asciiTheme="minorHAnsi" w:hAnsiTheme="minorHAnsi"/>
          <w:color w:val="000000"/>
          <w:sz w:val="22"/>
          <w:szCs w:val="22"/>
        </w:rPr>
        <w:tab/>
      </w:r>
      <w:r w:rsidRPr="00C44D8C">
        <w:rPr>
          <w:rFonts w:asciiTheme="minorHAnsi" w:hAnsiTheme="minorHAnsi" w:cs="Calibri"/>
          <w:color w:val="000000"/>
          <w:sz w:val="22"/>
          <w:szCs w:val="22"/>
        </w:rPr>
        <w:t>High collision dissociation</w:t>
      </w:r>
    </w:p>
    <w:p w14:paraId="6A7ACE01"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HPLC</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t>High-performance liquid chromatography</w:t>
      </w:r>
    </w:p>
    <w:p w14:paraId="043DEB30" w14:textId="5F0293D8"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IEP</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r>
      <w:r w:rsidR="00650B38" w:rsidRPr="00C44D8C">
        <w:rPr>
          <w:rFonts w:asciiTheme="minorHAnsi" w:eastAsia="Calibri" w:hAnsiTheme="minorHAnsi" w:cs="Calibri"/>
          <w:sz w:val="22"/>
          <w:szCs w:val="22"/>
        </w:rPr>
        <w:t>Isoelectric</w:t>
      </w:r>
      <w:r w:rsidRPr="00C44D8C">
        <w:rPr>
          <w:rFonts w:asciiTheme="minorHAnsi" w:eastAsia="Calibri" w:hAnsiTheme="minorHAnsi" w:cs="Calibri"/>
          <w:sz w:val="22"/>
          <w:szCs w:val="22"/>
        </w:rPr>
        <w:t xml:space="preserve"> point</w:t>
      </w:r>
    </w:p>
    <w:p w14:paraId="5674365A"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IPP</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t>Isopentenyl pyrophosphate</w:t>
      </w:r>
    </w:p>
    <w:p w14:paraId="4355F116"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IR</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Infrared</w:t>
      </w:r>
    </w:p>
    <w:p w14:paraId="530EC364"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iTRAQ</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Isobaric tags for relative and absolute quantification</w:t>
      </w:r>
    </w:p>
    <w:p w14:paraId="786AAA77"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LC</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Liquid chromatography</w:t>
      </w:r>
    </w:p>
    <w:p w14:paraId="2F1AA0F3" w14:textId="77777777" w:rsidR="00CB4397" w:rsidRPr="00C44D8C" w:rsidRDefault="00CB4397" w:rsidP="00CB4397">
      <w:pPr>
        <w:spacing w:line="360" w:lineRule="auto"/>
        <w:rPr>
          <w:rFonts w:asciiTheme="minorHAnsi" w:hAnsiTheme="minorHAnsi"/>
          <w:color w:val="000000"/>
          <w:sz w:val="22"/>
          <w:szCs w:val="22"/>
        </w:rPr>
      </w:pPr>
      <w:r w:rsidRPr="00C44D8C">
        <w:rPr>
          <w:rFonts w:asciiTheme="minorHAnsi" w:hAnsiTheme="minorHAnsi"/>
          <w:color w:val="000000"/>
          <w:sz w:val="22"/>
          <w:szCs w:val="22"/>
        </w:rPr>
        <w:t>LC-MS/MS</w:t>
      </w:r>
      <w:r w:rsidRPr="00C44D8C">
        <w:rPr>
          <w:rFonts w:asciiTheme="minorHAnsi" w:hAnsiTheme="minorHAnsi"/>
          <w:color w:val="000000"/>
          <w:sz w:val="22"/>
          <w:szCs w:val="22"/>
        </w:rPr>
        <w:tab/>
        <w:t>Liquid chromatography-tandem mass spectrometry</w:t>
      </w:r>
    </w:p>
    <w:p w14:paraId="2B9D5EB9" w14:textId="77777777" w:rsidR="00CB4397" w:rsidRPr="00224A2D" w:rsidRDefault="00CB4397" w:rsidP="00CB4397">
      <w:pPr>
        <w:spacing w:line="360" w:lineRule="auto"/>
        <w:rPr>
          <w:rFonts w:asciiTheme="minorHAnsi" w:eastAsia="Calibri" w:hAnsiTheme="minorHAnsi" w:cs="Calibri"/>
          <w:sz w:val="22"/>
          <w:szCs w:val="22"/>
          <w:lang w:val="nl-NL"/>
        </w:rPr>
      </w:pPr>
      <w:r w:rsidRPr="00224A2D">
        <w:rPr>
          <w:rFonts w:asciiTheme="minorHAnsi" w:eastAsia="Calibri" w:hAnsiTheme="minorHAnsi" w:cs="Calibri"/>
          <w:sz w:val="22"/>
          <w:szCs w:val="22"/>
          <w:lang w:val="nl-NL"/>
        </w:rPr>
        <w:t>LW</w:t>
      </w:r>
      <w:r w:rsidRPr="00224A2D">
        <w:rPr>
          <w:rFonts w:asciiTheme="minorHAnsi" w:eastAsia="Calibri" w:hAnsiTheme="minorHAnsi" w:cs="Calibri"/>
          <w:sz w:val="22"/>
          <w:szCs w:val="22"/>
          <w:lang w:val="nl-NL"/>
        </w:rPr>
        <w:tab/>
      </w:r>
      <w:r w:rsidRPr="00224A2D">
        <w:rPr>
          <w:rFonts w:asciiTheme="minorHAnsi" w:eastAsia="Calibri" w:hAnsiTheme="minorHAnsi" w:cs="Calibri"/>
          <w:sz w:val="22"/>
          <w:szCs w:val="22"/>
          <w:lang w:val="nl-NL"/>
        </w:rPr>
        <w:tab/>
        <w:t>Lifshitz-van der Waals</w:t>
      </w:r>
    </w:p>
    <w:p w14:paraId="63229936" w14:textId="77777777" w:rsidR="00A9324D" w:rsidRPr="00224A2D" w:rsidRDefault="00CB4397" w:rsidP="00CB4397">
      <w:pPr>
        <w:spacing w:line="360" w:lineRule="auto"/>
        <w:rPr>
          <w:rFonts w:asciiTheme="minorHAnsi" w:eastAsia="Calibri" w:hAnsiTheme="minorHAnsi" w:cs="Calibri"/>
          <w:sz w:val="22"/>
          <w:szCs w:val="22"/>
          <w:lang w:val="nl-NL"/>
        </w:rPr>
        <w:sectPr w:rsidR="00A9324D" w:rsidRPr="00224A2D" w:rsidSect="00407344">
          <w:pgSz w:w="11906" w:h="16838"/>
          <w:pgMar w:top="1418" w:right="1418" w:bottom="1418" w:left="2268" w:header="708" w:footer="708" w:gutter="0"/>
          <w:pgNumType w:fmt="lowerRoman"/>
          <w:cols w:space="708"/>
          <w:docGrid w:linePitch="360"/>
        </w:sectPr>
      </w:pPr>
      <w:r w:rsidRPr="00224A2D">
        <w:rPr>
          <w:rFonts w:asciiTheme="minorHAnsi" w:eastAsia="Calibri" w:hAnsiTheme="minorHAnsi" w:cs="Calibri"/>
          <w:sz w:val="22"/>
          <w:szCs w:val="22"/>
          <w:lang w:val="nl-NL"/>
        </w:rPr>
        <w:t>LW-AB</w:t>
      </w:r>
      <w:r w:rsidRPr="00224A2D">
        <w:rPr>
          <w:rFonts w:asciiTheme="minorHAnsi" w:eastAsia="Calibri" w:hAnsiTheme="minorHAnsi" w:cs="Calibri"/>
          <w:sz w:val="22"/>
          <w:szCs w:val="22"/>
          <w:lang w:val="nl-NL"/>
        </w:rPr>
        <w:tab/>
      </w:r>
      <w:r w:rsidRPr="00224A2D">
        <w:rPr>
          <w:rFonts w:asciiTheme="minorHAnsi" w:eastAsia="Calibri" w:hAnsiTheme="minorHAnsi" w:cs="Calibri"/>
          <w:sz w:val="22"/>
          <w:szCs w:val="22"/>
          <w:lang w:val="nl-NL"/>
        </w:rPr>
        <w:tab/>
        <w:t>Lifshitz-van der Waals and acid-base model</w:t>
      </w:r>
    </w:p>
    <w:p w14:paraId="0BE6864E"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shd w:val="clear" w:color="auto" w:fill="FDFDFD"/>
          <w:lang w:eastAsia="en-GB"/>
        </w:rPr>
        <w:lastRenderedPageBreak/>
        <w:t>MMTS</w:t>
      </w:r>
      <w:r w:rsidRPr="00C44D8C">
        <w:rPr>
          <w:rFonts w:asciiTheme="minorHAnsi" w:hAnsiTheme="minorHAnsi"/>
          <w:color w:val="000000"/>
          <w:sz w:val="22"/>
          <w:szCs w:val="22"/>
          <w:shd w:val="clear" w:color="auto" w:fill="FDFDFD"/>
          <w:lang w:eastAsia="en-GB"/>
        </w:rPr>
        <w:tab/>
      </w:r>
      <w:r w:rsidRPr="00C44D8C">
        <w:rPr>
          <w:rFonts w:asciiTheme="minorHAnsi" w:hAnsiTheme="minorHAnsi"/>
          <w:color w:val="000000"/>
          <w:sz w:val="22"/>
          <w:szCs w:val="22"/>
          <w:shd w:val="clear" w:color="auto" w:fill="FDFDFD"/>
          <w:lang w:eastAsia="en-GB"/>
        </w:rPr>
        <w:tab/>
      </w:r>
      <w:r w:rsidRPr="00C44D8C">
        <w:rPr>
          <w:rFonts w:asciiTheme="minorHAnsi" w:hAnsiTheme="minorHAnsi"/>
          <w:color w:val="000000"/>
          <w:sz w:val="22"/>
          <w:szCs w:val="22"/>
          <w:lang w:eastAsia="en-GB"/>
        </w:rPr>
        <w:t>Methyl methanethiosulfonate</w:t>
      </w:r>
    </w:p>
    <w:p w14:paraId="25BB1197"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MS</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Mass spectrometry</w:t>
      </w:r>
    </w:p>
    <w:p w14:paraId="149E8AA0" w14:textId="34110A9F"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MS/MS</w:t>
      </w:r>
      <w:r w:rsidRPr="00C44D8C">
        <w:rPr>
          <w:rFonts w:asciiTheme="minorHAnsi" w:eastAsia="Calibri" w:hAnsiTheme="minorHAnsi" w:cs="Calibri"/>
          <w:sz w:val="22"/>
          <w:szCs w:val="22"/>
        </w:rPr>
        <w:tab/>
      </w:r>
      <w:r w:rsidR="00C44D8C">
        <w:rPr>
          <w:rFonts w:asciiTheme="minorHAnsi" w:eastAsia="Calibri" w:hAnsiTheme="minorHAnsi" w:cs="Calibri"/>
          <w:sz w:val="22"/>
          <w:szCs w:val="22"/>
        </w:rPr>
        <w:tab/>
      </w:r>
      <w:r w:rsidRPr="00C44D8C">
        <w:rPr>
          <w:rFonts w:asciiTheme="minorHAnsi" w:eastAsia="Calibri" w:hAnsiTheme="minorHAnsi" w:cs="Calibri"/>
          <w:sz w:val="22"/>
          <w:szCs w:val="22"/>
        </w:rPr>
        <w:t>Tandem mass spectrometry</w:t>
      </w:r>
    </w:p>
    <w:p w14:paraId="2138DB84"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MtaA</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t>Methylcobamide:coenzyme M methyltransferase</w:t>
      </w:r>
    </w:p>
    <w:p w14:paraId="1D4A240F"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MtaB</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t>Methanol-corrinoid co-methyltransferase</w:t>
      </w:r>
    </w:p>
    <w:p w14:paraId="40560367"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MtaC</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t>Methanol-corrinoid protein</w:t>
      </w:r>
    </w:p>
    <w:p w14:paraId="3ECD69D9" w14:textId="77777777" w:rsidR="00CB4397" w:rsidRPr="00C44D8C" w:rsidRDefault="00CB4397" w:rsidP="00CB4397">
      <w:pPr>
        <w:spacing w:line="360" w:lineRule="auto"/>
        <w:rPr>
          <w:rFonts w:asciiTheme="minorHAnsi" w:hAnsiTheme="minorHAnsi"/>
          <w:sz w:val="22"/>
          <w:szCs w:val="22"/>
        </w:rPr>
      </w:pPr>
      <w:r w:rsidRPr="00C44D8C">
        <w:rPr>
          <w:rFonts w:asciiTheme="minorHAnsi" w:hAnsiTheme="minorHAnsi"/>
          <w:sz w:val="22"/>
          <w:szCs w:val="22"/>
        </w:rPr>
        <w:t>NAD</w:t>
      </w:r>
      <w:r w:rsidRPr="00C44D8C">
        <w:rPr>
          <w:rFonts w:asciiTheme="minorHAnsi" w:hAnsiTheme="minorHAnsi"/>
          <w:sz w:val="22"/>
          <w:szCs w:val="22"/>
        </w:rPr>
        <w:tab/>
      </w:r>
      <w:r w:rsidRPr="00C44D8C">
        <w:rPr>
          <w:rFonts w:asciiTheme="minorHAnsi" w:hAnsiTheme="minorHAnsi"/>
          <w:sz w:val="22"/>
          <w:szCs w:val="22"/>
        </w:rPr>
        <w:tab/>
        <w:t>Nicotinamide adenine dinucleotide</w:t>
      </w:r>
    </w:p>
    <w:p w14:paraId="69628518" w14:textId="77777777" w:rsidR="00CB4397" w:rsidRPr="00C44D8C" w:rsidRDefault="00CB4397" w:rsidP="00CB4397">
      <w:pPr>
        <w:spacing w:line="360" w:lineRule="auto"/>
        <w:rPr>
          <w:rFonts w:asciiTheme="minorHAnsi" w:hAnsiTheme="minorHAnsi"/>
          <w:sz w:val="22"/>
          <w:szCs w:val="22"/>
        </w:rPr>
      </w:pPr>
      <w:r w:rsidRPr="00C44D8C">
        <w:rPr>
          <w:rFonts w:asciiTheme="minorHAnsi" w:hAnsiTheme="minorHAnsi"/>
          <w:iCs/>
          <w:color w:val="000000"/>
          <w:sz w:val="22"/>
          <w:szCs w:val="22"/>
          <w:lang w:eastAsia="en-GB"/>
        </w:rPr>
        <w:t>NADH</w:t>
      </w:r>
      <w:r w:rsidRPr="00C44D8C">
        <w:rPr>
          <w:rFonts w:asciiTheme="minorHAnsi" w:hAnsiTheme="minorHAnsi"/>
          <w:iCs/>
          <w:color w:val="000000"/>
          <w:sz w:val="22"/>
          <w:szCs w:val="22"/>
          <w:lang w:eastAsia="en-GB"/>
        </w:rPr>
        <w:tab/>
      </w:r>
      <w:r w:rsidRPr="00C44D8C">
        <w:rPr>
          <w:rFonts w:asciiTheme="minorHAnsi" w:hAnsiTheme="minorHAnsi"/>
          <w:iCs/>
          <w:color w:val="000000"/>
          <w:sz w:val="22"/>
          <w:szCs w:val="22"/>
          <w:lang w:eastAsia="en-GB"/>
        </w:rPr>
        <w:tab/>
        <w:t xml:space="preserve">Reduced </w:t>
      </w:r>
      <w:r w:rsidRPr="00C44D8C">
        <w:rPr>
          <w:rFonts w:asciiTheme="minorHAnsi" w:hAnsiTheme="minorHAnsi"/>
          <w:sz w:val="22"/>
          <w:szCs w:val="22"/>
        </w:rPr>
        <w:t>nicotinamide adenine dinucleotide</w:t>
      </w:r>
    </w:p>
    <w:p w14:paraId="0398CCB4"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PBS</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Phosphate-buffered saline</w:t>
      </w:r>
    </w:p>
    <w:p w14:paraId="17F1C6D9" w14:textId="77777777" w:rsidR="00CB4397" w:rsidRPr="00C44D8C" w:rsidRDefault="00CB4397" w:rsidP="00CB4397">
      <w:pPr>
        <w:spacing w:line="360" w:lineRule="auto"/>
        <w:rPr>
          <w:rFonts w:asciiTheme="minorHAnsi" w:eastAsia="Calibri" w:hAnsiTheme="minorHAnsi" w:cs="Calibri"/>
          <w:sz w:val="22"/>
          <w:szCs w:val="22"/>
          <w:lang w:val="fr-FR"/>
        </w:rPr>
      </w:pPr>
      <w:r w:rsidRPr="00C44D8C">
        <w:rPr>
          <w:rFonts w:asciiTheme="minorHAnsi" w:hAnsiTheme="minorHAnsi"/>
          <w:sz w:val="22"/>
          <w:szCs w:val="22"/>
          <w:lang w:val="fr-FR"/>
        </w:rPr>
        <w:t>PCA</w:t>
      </w:r>
      <w:r w:rsidRPr="00C44D8C">
        <w:rPr>
          <w:rFonts w:asciiTheme="minorHAnsi" w:hAnsiTheme="minorHAnsi"/>
          <w:sz w:val="22"/>
          <w:szCs w:val="22"/>
          <w:lang w:val="fr-FR"/>
        </w:rPr>
        <w:tab/>
      </w:r>
      <w:r w:rsidRPr="00C44D8C">
        <w:rPr>
          <w:rFonts w:asciiTheme="minorHAnsi" w:hAnsiTheme="minorHAnsi"/>
          <w:sz w:val="22"/>
          <w:szCs w:val="22"/>
          <w:lang w:val="fr-FR"/>
        </w:rPr>
        <w:tab/>
      </w:r>
      <w:r w:rsidRPr="00C44D8C">
        <w:rPr>
          <w:rFonts w:asciiTheme="minorHAnsi" w:eastAsia="Calibri" w:hAnsiTheme="minorHAnsi" w:cs="Calibri"/>
          <w:sz w:val="22"/>
          <w:szCs w:val="22"/>
          <w:lang w:val="fr-FR"/>
        </w:rPr>
        <w:t>Principal component analysis</w:t>
      </w:r>
    </w:p>
    <w:p w14:paraId="316621D0" w14:textId="77777777" w:rsidR="00CB4397" w:rsidRPr="00C44D8C" w:rsidRDefault="00CB4397" w:rsidP="00CB4397">
      <w:pPr>
        <w:spacing w:line="360" w:lineRule="auto"/>
        <w:rPr>
          <w:rFonts w:asciiTheme="minorHAnsi" w:eastAsia="Calibri" w:hAnsiTheme="minorHAnsi" w:cs="Calibri"/>
          <w:sz w:val="22"/>
          <w:szCs w:val="22"/>
          <w:lang w:val="fr-FR"/>
        </w:rPr>
      </w:pPr>
      <w:r w:rsidRPr="00C44D8C">
        <w:rPr>
          <w:rFonts w:asciiTheme="minorHAnsi" w:eastAsia="Calibri" w:hAnsiTheme="minorHAnsi" w:cs="Calibri"/>
          <w:sz w:val="22"/>
          <w:szCs w:val="22"/>
          <w:lang w:val="fr-FR"/>
        </w:rPr>
        <w:t>PE</w:t>
      </w:r>
      <w:r w:rsidRPr="00C44D8C">
        <w:rPr>
          <w:rFonts w:asciiTheme="minorHAnsi" w:eastAsia="Calibri" w:hAnsiTheme="minorHAnsi" w:cs="Calibri"/>
          <w:sz w:val="22"/>
          <w:szCs w:val="22"/>
          <w:lang w:val="fr-FR"/>
        </w:rPr>
        <w:tab/>
      </w:r>
      <w:r w:rsidRPr="00C44D8C">
        <w:rPr>
          <w:rFonts w:asciiTheme="minorHAnsi" w:eastAsia="Calibri" w:hAnsiTheme="minorHAnsi" w:cs="Calibri"/>
          <w:sz w:val="22"/>
          <w:szCs w:val="22"/>
          <w:lang w:val="fr-FR"/>
        </w:rPr>
        <w:tab/>
        <w:t>Polyethylene</w:t>
      </w:r>
    </w:p>
    <w:p w14:paraId="362BFE22" w14:textId="77777777" w:rsidR="00CB4397" w:rsidRPr="00C44D8C" w:rsidRDefault="00CB4397" w:rsidP="00CB4397">
      <w:pPr>
        <w:spacing w:line="360" w:lineRule="auto"/>
        <w:rPr>
          <w:rFonts w:asciiTheme="minorHAnsi" w:eastAsia="Calibri" w:hAnsiTheme="minorHAnsi" w:cs="Calibri"/>
          <w:sz w:val="22"/>
          <w:szCs w:val="22"/>
          <w:lang w:val="fr-FR"/>
        </w:rPr>
      </w:pPr>
      <w:r w:rsidRPr="00C44D8C">
        <w:rPr>
          <w:rFonts w:asciiTheme="minorHAnsi" w:eastAsia="Calibri" w:hAnsiTheme="minorHAnsi" w:cs="Calibri"/>
          <w:sz w:val="22"/>
          <w:szCs w:val="22"/>
          <w:lang w:val="fr-FR"/>
        </w:rPr>
        <w:t>PETG</w:t>
      </w:r>
      <w:r w:rsidRPr="00C44D8C">
        <w:rPr>
          <w:rFonts w:asciiTheme="minorHAnsi" w:eastAsia="Calibri" w:hAnsiTheme="minorHAnsi" w:cs="Calibri"/>
          <w:sz w:val="22"/>
          <w:szCs w:val="22"/>
          <w:lang w:val="fr-FR"/>
        </w:rPr>
        <w:tab/>
      </w:r>
      <w:r w:rsidRPr="00C44D8C">
        <w:rPr>
          <w:rFonts w:asciiTheme="minorHAnsi" w:eastAsia="Calibri" w:hAnsiTheme="minorHAnsi" w:cs="Calibri"/>
          <w:sz w:val="22"/>
          <w:szCs w:val="22"/>
          <w:lang w:val="fr-FR"/>
        </w:rPr>
        <w:tab/>
        <w:t>Polyethylene terephthalate glycol</w:t>
      </w:r>
    </w:p>
    <w:p w14:paraId="50C12276" w14:textId="77777777" w:rsidR="00CB4397" w:rsidRPr="00C44D8C" w:rsidRDefault="00CB4397" w:rsidP="00CB4397">
      <w:pPr>
        <w:spacing w:line="360" w:lineRule="auto"/>
        <w:rPr>
          <w:rFonts w:asciiTheme="minorHAnsi" w:eastAsia="Calibri" w:hAnsiTheme="minorHAnsi" w:cs="Calibri"/>
          <w:sz w:val="22"/>
          <w:szCs w:val="22"/>
          <w:lang w:val="fr-FR"/>
        </w:rPr>
      </w:pPr>
      <w:r w:rsidRPr="00C44D8C">
        <w:rPr>
          <w:rFonts w:asciiTheme="minorHAnsi" w:eastAsia="Calibri" w:hAnsiTheme="minorHAnsi" w:cs="Calibri"/>
          <w:sz w:val="22"/>
          <w:szCs w:val="22"/>
          <w:lang w:val="fr-FR"/>
        </w:rPr>
        <w:t>PP</w:t>
      </w:r>
      <w:r w:rsidRPr="00C44D8C">
        <w:rPr>
          <w:rFonts w:asciiTheme="minorHAnsi" w:eastAsia="Calibri" w:hAnsiTheme="minorHAnsi" w:cs="Calibri"/>
          <w:sz w:val="22"/>
          <w:szCs w:val="22"/>
          <w:lang w:val="fr-FR"/>
        </w:rPr>
        <w:tab/>
      </w:r>
      <w:r w:rsidRPr="00C44D8C">
        <w:rPr>
          <w:rFonts w:asciiTheme="minorHAnsi" w:eastAsia="Calibri" w:hAnsiTheme="minorHAnsi" w:cs="Calibri"/>
          <w:sz w:val="22"/>
          <w:szCs w:val="22"/>
          <w:lang w:val="fr-FR"/>
        </w:rPr>
        <w:tab/>
        <w:t>Polypropylene</w:t>
      </w:r>
    </w:p>
    <w:p w14:paraId="1C53E6FB" w14:textId="77777777" w:rsidR="00CB4397" w:rsidRPr="00C44D8C" w:rsidRDefault="00CB4397" w:rsidP="00CB4397">
      <w:pPr>
        <w:spacing w:line="360" w:lineRule="auto"/>
        <w:rPr>
          <w:rFonts w:asciiTheme="minorHAnsi" w:eastAsia="Calibri" w:hAnsiTheme="minorHAnsi" w:cs="Calibri"/>
          <w:sz w:val="22"/>
          <w:szCs w:val="22"/>
          <w:lang w:val="fr-FR"/>
        </w:rPr>
      </w:pPr>
      <w:r w:rsidRPr="00C44D8C">
        <w:rPr>
          <w:rFonts w:asciiTheme="minorHAnsi" w:eastAsia="Calibri" w:hAnsiTheme="minorHAnsi" w:cs="Calibri"/>
          <w:sz w:val="22"/>
          <w:szCs w:val="22"/>
          <w:lang w:val="fr-FR"/>
        </w:rPr>
        <w:t>PTFE</w:t>
      </w:r>
      <w:r w:rsidRPr="00C44D8C">
        <w:rPr>
          <w:rFonts w:asciiTheme="minorHAnsi" w:eastAsia="Calibri" w:hAnsiTheme="minorHAnsi" w:cs="Calibri"/>
          <w:sz w:val="22"/>
          <w:szCs w:val="22"/>
          <w:lang w:val="fr-FR"/>
        </w:rPr>
        <w:tab/>
      </w:r>
      <w:r w:rsidRPr="00C44D8C">
        <w:rPr>
          <w:rFonts w:asciiTheme="minorHAnsi" w:eastAsia="Calibri" w:hAnsiTheme="minorHAnsi" w:cs="Calibri"/>
          <w:sz w:val="22"/>
          <w:szCs w:val="22"/>
          <w:lang w:val="fr-FR"/>
        </w:rPr>
        <w:tab/>
        <w:t>Polytetrafluoroethylene</w:t>
      </w:r>
    </w:p>
    <w:p w14:paraId="59D0E40E" w14:textId="77777777" w:rsidR="00CB4397" w:rsidRPr="00C44D8C" w:rsidRDefault="00CB4397" w:rsidP="00CB4397">
      <w:pPr>
        <w:spacing w:line="360" w:lineRule="auto"/>
        <w:rPr>
          <w:rFonts w:asciiTheme="minorHAnsi" w:eastAsia="Calibri" w:hAnsiTheme="minorHAnsi" w:cs="Calibri"/>
          <w:sz w:val="22"/>
          <w:szCs w:val="22"/>
          <w:lang w:val="fr-FR"/>
        </w:rPr>
      </w:pPr>
      <w:r w:rsidRPr="00C44D8C">
        <w:rPr>
          <w:rFonts w:asciiTheme="minorHAnsi" w:eastAsia="Calibri" w:hAnsiTheme="minorHAnsi" w:cs="Calibri"/>
          <w:sz w:val="22"/>
          <w:szCs w:val="22"/>
          <w:lang w:val="fr-FR"/>
        </w:rPr>
        <w:t>PVC</w:t>
      </w:r>
      <w:r w:rsidRPr="00C44D8C">
        <w:rPr>
          <w:rFonts w:asciiTheme="minorHAnsi" w:eastAsia="Calibri" w:hAnsiTheme="minorHAnsi" w:cs="Calibri"/>
          <w:sz w:val="22"/>
          <w:szCs w:val="22"/>
          <w:lang w:val="fr-FR"/>
        </w:rPr>
        <w:tab/>
      </w:r>
      <w:r w:rsidRPr="00C44D8C">
        <w:rPr>
          <w:rFonts w:asciiTheme="minorHAnsi" w:eastAsia="Calibri" w:hAnsiTheme="minorHAnsi" w:cs="Calibri"/>
          <w:sz w:val="22"/>
          <w:szCs w:val="22"/>
          <w:lang w:val="fr-FR"/>
        </w:rPr>
        <w:tab/>
        <w:t>Polyvinylchloride</w:t>
      </w:r>
    </w:p>
    <w:p w14:paraId="3DC9C1C1" w14:textId="77777777" w:rsidR="00CB4397" w:rsidRPr="00C44D8C" w:rsidRDefault="00CB4397" w:rsidP="00CB4397">
      <w:pPr>
        <w:spacing w:line="360" w:lineRule="auto"/>
        <w:rPr>
          <w:rFonts w:asciiTheme="minorHAnsi" w:eastAsia="Calibri" w:hAnsiTheme="minorHAnsi" w:cs="Calibri"/>
          <w:sz w:val="22"/>
          <w:szCs w:val="22"/>
          <w:lang w:val="fr-FR"/>
        </w:rPr>
      </w:pPr>
      <w:r w:rsidRPr="00C44D8C">
        <w:rPr>
          <w:rFonts w:asciiTheme="minorHAnsi" w:eastAsia="Calibri" w:hAnsiTheme="minorHAnsi" w:cs="Calibri"/>
          <w:sz w:val="22"/>
          <w:szCs w:val="22"/>
          <w:lang w:val="fr-FR"/>
        </w:rPr>
        <w:t>PVDF</w:t>
      </w:r>
      <w:r w:rsidRPr="00C44D8C">
        <w:rPr>
          <w:rFonts w:asciiTheme="minorHAnsi" w:eastAsia="Calibri" w:hAnsiTheme="minorHAnsi" w:cs="Calibri"/>
          <w:sz w:val="22"/>
          <w:szCs w:val="22"/>
          <w:lang w:val="fr-FR"/>
        </w:rPr>
        <w:tab/>
      </w:r>
      <w:r w:rsidRPr="00C44D8C">
        <w:rPr>
          <w:rFonts w:asciiTheme="minorHAnsi" w:eastAsia="Calibri" w:hAnsiTheme="minorHAnsi" w:cs="Calibri"/>
          <w:sz w:val="22"/>
          <w:szCs w:val="22"/>
          <w:lang w:val="fr-FR"/>
        </w:rPr>
        <w:tab/>
        <w:t>Polyvinylidene fluoride</w:t>
      </w:r>
    </w:p>
    <w:p w14:paraId="001AECB2" w14:textId="77777777" w:rsidR="00CB4397" w:rsidRPr="00C44D8C" w:rsidRDefault="00CB4397" w:rsidP="00CB4397">
      <w:pPr>
        <w:spacing w:line="360" w:lineRule="auto"/>
        <w:rPr>
          <w:rFonts w:asciiTheme="minorHAnsi" w:hAnsiTheme="minorHAnsi"/>
          <w:sz w:val="22"/>
          <w:szCs w:val="22"/>
          <w:lang w:val="fr-FR"/>
        </w:rPr>
      </w:pPr>
      <w:r w:rsidRPr="00C44D8C">
        <w:rPr>
          <w:rFonts w:asciiTheme="minorHAnsi" w:hAnsiTheme="minorHAnsi"/>
          <w:sz w:val="22"/>
          <w:szCs w:val="22"/>
          <w:lang w:val="fr-FR"/>
        </w:rPr>
        <w:t>RPLC</w:t>
      </w:r>
      <w:r w:rsidRPr="00C44D8C">
        <w:rPr>
          <w:rFonts w:asciiTheme="minorHAnsi" w:hAnsiTheme="minorHAnsi"/>
          <w:sz w:val="22"/>
          <w:szCs w:val="22"/>
          <w:lang w:val="fr-FR"/>
        </w:rPr>
        <w:tab/>
      </w:r>
      <w:r w:rsidRPr="00C44D8C">
        <w:rPr>
          <w:rFonts w:asciiTheme="minorHAnsi" w:hAnsiTheme="minorHAnsi"/>
          <w:sz w:val="22"/>
          <w:szCs w:val="22"/>
          <w:lang w:val="fr-FR"/>
        </w:rPr>
        <w:tab/>
        <w:t>Reverse-phase liquid chromatography</w:t>
      </w:r>
    </w:p>
    <w:p w14:paraId="5C4CA83D" w14:textId="77777777" w:rsidR="00CB4397" w:rsidRPr="00C44D8C" w:rsidRDefault="00CB4397" w:rsidP="00CB4397">
      <w:pPr>
        <w:spacing w:line="360" w:lineRule="auto"/>
        <w:rPr>
          <w:rFonts w:asciiTheme="minorHAnsi" w:eastAsia="Calibri" w:hAnsiTheme="minorHAnsi" w:cs="Calibri"/>
          <w:sz w:val="22"/>
          <w:szCs w:val="22"/>
          <w:lang w:val="fr-FR"/>
        </w:rPr>
      </w:pPr>
      <w:r w:rsidRPr="00C44D8C">
        <w:rPr>
          <w:rFonts w:asciiTheme="minorHAnsi" w:eastAsia="Calibri" w:hAnsiTheme="minorHAnsi" w:cs="Calibri"/>
          <w:sz w:val="22"/>
          <w:szCs w:val="22"/>
          <w:lang w:val="fr-FR"/>
        </w:rPr>
        <w:t>SDS</w:t>
      </w:r>
      <w:r w:rsidRPr="00C44D8C">
        <w:rPr>
          <w:rFonts w:asciiTheme="minorHAnsi" w:eastAsia="Calibri" w:hAnsiTheme="minorHAnsi" w:cs="Calibri"/>
          <w:sz w:val="22"/>
          <w:szCs w:val="22"/>
          <w:lang w:val="fr-FR"/>
        </w:rPr>
        <w:tab/>
      </w:r>
      <w:r w:rsidRPr="00C44D8C">
        <w:rPr>
          <w:rFonts w:asciiTheme="minorHAnsi" w:eastAsia="Calibri" w:hAnsiTheme="minorHAnsi" w:cs="Calibri"/>
          <w:sz w:val="22"/>
          <w:szCs w:val="22"/>
          <w:lang w:val="fr-FR"/>
        </w:rPr>
        <w:tab/>
        <w:t>Sodium dodecyl sulphate</w:t>
      </w:r>
    </w:p>
    <w:p w14:paraId="03DF131E" w14:textId="77777777" w:rsidR="00CB4397" w:rsidRPr="00C44D8C" w:rsidRDefault="00CB4397" w:rsidP="00CB4397">
      <w:pPr>
        <w:spacing w:line="360" w:lineRule="auto"/>
        <w:rPr>
          <w:rStyle w:val="tgc"/>
          <w:rFonts w:asciiTheme="minorHAnsi" w:hAnsiTheme="minorHAnsi"/>
          <w:sz w:val="22"/>
          <w:szCs w:val="22"/>
          <w:lang w:val="fr-FR"/>
        </w:rPr>
      </w:pPr>
      <w:r w:rsidRPr="00C44D8C">
        <w:rPr>
          <w:rFonts w:asciiTheme="minorHAnsi" w:eastAsia="Calibri" w:hAnsiTheme="minorHAnsi" w:cs="Calibri"/>
          <w:sz w:val="22"/>
          <w:szCs w:val="22"/>
          <w:lang w:val="fr-FR"/>
        </w:rPr>
        <w:t>SDS-PAGE</w:t>
      </w:r>
      <w:r w:rsidRPr="00C44D8C">
        <w:rPr>
          <w:rFonts w:asciiTheme="minorHAnsi" w:eastAsia="Calibri" w:hAnsiTheme="minorHAnsi" w:cs="Calibri"/>
          <w:sz w:val="22"/>
          <w:szCs w:val="22"/>
          <w:lang w:val="fr-FR"/>
        </w:rPr>
        <w:tab/>
      </w:r>
      <w:r w:rsidRPr="00C44D8C">
        <w:rPr>
          <w:rStyle w:val="tgc"/>
          <w:rFonts w:asciiTheme="minorHAnsi" w:hAnsiTheme="minorHAnsi"/>
          <w:sz w:val="22"/>
          <w:szCs w:val="22"/>
          <w:lang w:val="fr-FR"/>
        </w:rPr>
        <w:t>Sodium dodecyl sulphate-polyacrylamide gel electrophoresis</w:t>
      </w:r>
    </w:p>
    <w:p w14:paraId="1FED090B"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SEM</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Scanning electron microscopy</w:t>
      </w:r>
    </w:p>
    <w:p w14:paraId="6380A5BD"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hAnsiTheme="minorHAnsi"/>
          <w:sz w:val="22"/>
          <w:szCs w:val="22"/>
        </w:rPr>
        <w:t>SFE</w:t>
      </w:r>
      <w:r w:rsidRPr="00C44D8C">
        <w:rPr>
          <w:rFonts w:asciiTheme="minorHAnsi" w:hAnsiTheme="minorHAnsi"/>
          <w:sz w:val="22"/>
          <w:szCs w:val="22"/>
        </w:rPr>
        <w:tab/>
      </w:r>
      <w:r w:rsidRPr="00C44D8C">
        <w:rPr>
          <w:rFonts w:asciiTheme="minorHAnsi" w:hAnsiTheme="minorHAnsi"/>
          <w:sz w:val="22"/>
          <w:szCs w:val="22"/>
        </w:rPr>
        <w:tab/>
      </w:r>
      <w:r w:rsidRPr="00C44D8C">
        <w:rPr>
          <w:rFonts w:asciiTheme="minorHAnsi" w:eastAsia="Calibri" w:hAnsiTheme="minorHAnsi" w:cs="Calibri"/>
          <w:sz w:val="22"/>
          <w:szCs w:val="22"/>
        </w:rPr>
        <w:t>Surface free energy</w:t>
      </w:r>
    </w:p>
    <w:p w14:paraId="59632D15"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SRT</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Solids retention time</w:t>
      </w:r>
    </w:p>
    <w:p w14:paraId="4CC56E46"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hAnsiTheme="minorHAnsi"/>
          <w:sz w:val="22"/>
          <w:szCs w:val="22"/>
        </w:rPr>
        <w:t>TAN</w:t>
      </w:r>
      <w:r w:rsidRPr="00C44D8C">
        <w:rPr>
          <w:rFonts w:asciiTheme="minorHAnsi" w:hAnsiTheme="minorHAnsi"/>
          <w:sz w:val="22"/>
          <w:szCs w:val="22"/>
        </w:rPr>
        <w:tab/>
      </w:r>
      <w:r w:rsidRPr="00C44D8C">
        <w:rPr>
          <w:rFonts w:asciiTheme="minorHAnsi" w:hAnsiTheme="minorHAnsi"/>
          <w:sz w:val="22"/>
          <w:szCs w:val="22"/>
        </w:rPr>
        <w:tab/>
      </w:r>
      <w:r w:rsidRPr="00C44D8C">
        <w:rPr>
          <w:rFonts w:asciiTheme="minorHAnsi" w:eastAsia="Calibri" w:hAnsiTheme="minorHAnsi" w:cs="Calibri"/>
          <w:sz w:val="22"/>
          <w:szCs w:val="22"/>
        </w:rPr>
        <w:t>Total ammonia nitrogen</w:t>
      </w:r>
    </w:p>
    <w:p w14:paraId="4D243FA2"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TCA cycle</w:t>
      </w:r>
      <w:r w:rsidRPr="00C44D8C">
        <w:rPr>
          <w:rFonts w:asciiTheme="minorHAnsi" w:hAnsiTheme="minorHAnsi"/>
          <w:color w:val="000000"/>
          <w:sz w:val="22"/>
          <w:szCs w:val="22"/>
          <w:lang w:eastAsia="en-GB"/>
        </w:rPr>
        <w:tab/>
        <w:t>Tricarboxylic acid cycle</w:t>
      </w:r>
    </w:p>
    <w:p w14:paraId="02A9F948" w14:textId="77777777" w:rsidR="00CB4397" w:rsidRPr="00C44D8C" w:rsidRDefault="00CB4397" w:rsidP="00CB4397">
      <w:pPr>
        <w:spacing w:line="360" w:lineRule="auto"/>
        <w:rPr>
          <w:rFonts w:asciiTheme="minorHAnsi" w:hAnsiTheme="minorHAnsi"/>
          <w:sz w:val="22"/>
          <w:szCs w:val="22"/>
          <w:shd w:val="clear" w:color="auto" w:fill="FDFDFD"/>
        </w:rPr>
      </w:pPr>
      <w:r w:rsidRPr="00C44D8C">
        <w:rPr>
          <w:rFonts w:asciiTheme="minorHAnsi" w:eastAsia="Calibri" w:hAnsiTheme="minorHAnsi" w:cs="Calibri"/>
          <w:sz w:val="22"/>
          <w:szCs w:val="22"/>
        </w:rPr>
        <w:t>TCEP</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r>
      <w:r w:rsidRPr="00C44D8C">
        <w:rPr>
          <w:rFonts w:asciiTheme="minorHAnsi" w:hAnsiTheme="minorHAnsi"/>
          <w:sz w:val="22"/>
          <w:szCs w:val="22"/>
          <w:shd w:val="clear" w:color="auto" w:fill="FDFDFD"/>
        </w:rPr>
        <w:t>Tris(2-carboxyethyl)phosphine hydrochloride</w:t>
      </w:r>
    </w:p>
    <w:p w14:paraId="4DCCE0F3" w14:textId="77777777" w:rsidR="00CB4397" w:rsidRPr="00C44D8C" w:rsidRDefault="00CB4397" w:rsidP="00CB4397">
      <w:pPr>
        <w:spacing w:line="360" w:lineRule="auto"/>
        <w:rPr>
          <w:rFonts w:asciiTheme="minorHAnsi" w:hAnsiTheme="minorHAnsi"/>
          <w:color w:val="000000"/>
          <w:sz w:val="22"/>
          <w:szCs w:val="22"/>
          <w:shd w:val="clear" w:color="auto" w:fill="FDFDFD"/>
          <w:lang w:eastAsia="en-GB"/>
        </w:rPr>
      </w:pPr>
      <w:r w:rsidRPr="00C44D8C">
        <w:rPr>
          <w:rFonts w:asciiTheme="minorHAnsi" w:hAnsiTheme="minorHAnsi"/>
          <w:color w:val="000000"/>
          <w:sz w:val="22"/>
          <w:szCs w:val="22"/>
          <w:shd w:val="clear" w:color="auto" w:fill="FFFFFF"/>
          <w:lang w:eastAsia="en-GB"/>
        </w:rPr>
        <w:t>TEAB</w:t>
      </w:r>
      <w:r w:rsidRPr="00C44D8C">
        <w:rPr>
          <w:rFonts w:asciiTheme="minorHAnsi" w:hAnsiTheme="minorHAnsi"/>
          <w:color w:val="000000"/>
          <w:sz w:val="22"/>
          <w:szCs w:val="22"/>
          <w:shd w:val="clear" w:color="auto" w:fill="FFFFFF"/>
          <w:lang w:eastAsia="en-GB"/>
        </w:rPr>
        <w:tab/>
      </w:r>
      <w:r w:rsidRPr="00C44D8C">
        <w:rPr>
          <w:rFonts w:asciiTheme="minorHAnsi" w:hAnsiTheme="minorHAnsi"/>
          <w:color w:val="000000"/>
          <w:sz w:val="22"/>
          <w:szCs w:val="22"/>
          <w:shd w:val="clear" w:color="auto" w:fill="FFFFFF"/>
          <w:lang w:eastAsia="en-GB"/>
        </w:rPr>
        <w:tab/>
        <w:t>T</w:t>
      </w:r>
      <w:r w:rsidRPr="00C44D8C">
        <w:rPr>
          <w:rFonts w:asciiTheme="minorHAnsi" w:hAnsiTheme="minorHAnsi"/>
          <w:color w:val="000000"/>
          <w:sz w:val="22"/>
          <w:szCs w:val="22"/>
          <w:shd w:val="clear" w:color="auto" w:fill="FDFDFD"/>
          <w:lang w:eastAsia="en-GB"/>
        </w:rPr>
        <w:t>riethylammonium bicarbonate buffer</w:t>
      </w:r>
    </w:p>
    <w:p w14:paraId="47DEA10C" w14:textId="77777777" w:rsidR="00CB4397" w:rsidRPr="00C44D8C" w:rsidRDefault="00CB4397" w:rsidP="00CB4397">
      <w:pPr>
        <w:spacing w:line="360" w:lineRule="auto"/>
        <w:rPr>
          <w:rFonts w:asciiTheme="minorHAnsi" w:hAnsiTheme="minorHAnsi"/>
          <w:color w:val="000000"/>
          <w:sz w:val="22"/>
          <w:szCs w:val="22"/>
          <w:shd w:val="clear" w:color="auto" w:fill="FDFDFD"/>
          <w:lang w:eastAsia="en-GB"/>
        </w:rPr>
      </w:pPr>
      <w:r w:rsidRPr="00C44D8C">
        <w:rPr>
          <w:rFonts w:asciiTheme="minorHAnsi" w:hAnsiTheme="minorHAnsi"/>
          <w:bCs/>
          <w:sz w:val="22"/>
          <w:szCs w:val="22"/>
        </w:rPr>
        <w:t>TEMED</w:t>
      </w:r>
      <w:r w:rsidRPr="00C44D8C">
        <w:rPr>
          <w:rFonts w:asciiTheme="minorHAnsi" w:hAnsiTheme="minorHAnsi"/>
          <w:bCs/>
          <w:sz w:val="22"/>
          <w:szCs w:val="22"/>
        </w:rPr>
        <w:tab/>
      </w:r>
      <w:r w:rsidRPr="00C44D8C">
        <w:rPr>
          <w:rFonts w:asciiTheme="minorHAnsi" w:hAnsiTheme="minorHAnsi"/>
          <w:bCs/>
          <w:sz w:val="22"/>
          <w:szCs w:val="22"/>
        </w:rPr>
        <w:tab/>
      </w:r>
      <w:r w:rsidRPr="00C44D8C">
        <w:rPr>
          <w:rFonts w:asciiTheme="minorHAnsi" w:hAnsiTheme="minorHAnsi"/>
          <w:color w:val="000000"/>
          <w:sz w:val="22"/>
          <w:szCs w:val="22"/>
          <w:shd w:val="clear" w:color="auto" w:fill="FDFDFD"/>
          <w:lang w:eastAsia="en-GB"/>
        </w:rPr>
        <w:t>Tetramethylethylenediamine</w:t>
      </w:r>
    </w:p>
    <w:p w14:paraId="42D520E0" w14:textId="77777777" w:rsidR="00CB4397" w:rsidRPr="00C44D8C" w:rsidRDefault="00CB4397" w:rsidP="00CB4397">
      <w:pPr>
        <w:spacing w:line="360" w:lineRule="auto"/>
        <w:rPr>
          <w:rFonts w:asciiTheme="minorHAnsi" w:hAnsiTheme="minorHAnsi"/>
          <w:color w:val="000000"/>
          <w:sz w:val="22"/>
          <w:szCs w:val="22"/>
          <w:shd w:val="clear" w:color="auto" w:fill="FDFDFD"/>
          <w:lang w:eastAsia="en-GB"/>
        </w:rPr>
      </w:pPr>
      <w:r w:rsidRPr="00C44D8C">
        <w:rPr>
          <w:rFonts w:asciiTheme="minorHAnsi" w:hAnsiTheme="minorHAnsi"/>
          <w:color w:val="000000"/>
          <w:sz w:val="22"/>
          <w:szCs w:val="22"/>
          <w:shd w:val="clear" w:color="auto" w:fill="FDFDFD"/>
          <w:lang w:eastAsia="en-GB"/>
        </w:rPr>
        <w:t>TFA</w:t>
      </w:r>
      <w:r w:rsidRPr="00C44D8C">
        <w:rPr>
          <w:rFonts w:asciiTheme="minorHAnsi" w:hAnsiTheme="minorHAnsi"/>
          <w:color w:val="000000"/>
          <w:sz w:val="22"/>
          <w:szCs w:val="22"/>
          <w:shd w:val="clear" w:color="auto" w:fill="FDFDFD"/>
          <w:lang w:eastAsia="en-GB"/>
        </w:rPr>
        <w:tab/>
      </w:r>
      <w:r w:rsidRPr="00C44D8C">
        <w:rPr>
          <w:rFonts w:asciiTheme="minorHAnsi" w:hAnsiTheme="minorHAnsi"/>
          <w:color w:val="000000"/>
          <w:sz w:val="22"/>
          <w:szCs w:val="22"/>
          <w:shd w:val="clear" w:color="auto" w:fill="FDFDFD"/>
          <w:lang w:eastAsia="en-GB"/>
        </w:rPr>
        <w:tab/>
      </w:r>
      <w:r w:rsidRPr="00C44D8C">
        <w:rPr>
          <w:rFonts w:asciiTheme="minorHAnsi" w:hAnsiTheme="minorHAnsi"/>
          <w:color w:val="000000"/>
          <w:sz w:val="22"/>
          <w:szCs w:val="22"/>
          <w:lang w:eastAsia="en-GB"/>
        </w:rPr>
        <w:t>Trifluoroacetic acid</w:t>
      </w:r>
      <w:r w:rsidRPr="00C44D8C">
        <w:rPr>
          <w:rFonts w:asciiTheme="minorHAnsi" w:hAnsiTheme="minorHAnsi"/>
          <w:color w:val="000000"/>
          <w:sz w:val="22"/>
          <w:szCs w:val="22"/>
          <w:shd w:val="clear" w:color="auto" w:fill="FDFDFD"/>
          <w:lang w:eastAsia="en-GB"/>
        </w:rPr>
        <w:tab/>
      </w:r>
      <w:r w:rsidRPr="00C44D8C">
        <w:rPr>
          <w:rFonts w:asciiTheme="minorHAnsi" w:hAnsiTheme="minorHAnsi"/>
          <w:color w:val="000000"/>
          <w:sz w:val="22"/>
          <w:szCs w:val="22"/>
          <w:shd w:val="clear" w:color="auto" w:fill="FDFDFD"/>
          <w:lang w:eastAsia="en-GB"/>
        </w:rPr>
        <w:tab/>
      </w:r>
    </w:p>
    <w:p w14:paraId="055B1136" w14:textId="77777777"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sz w:val="22"/>
          <w:szCs w:val="22"/>
        </w:rPr>
        <w:t>TPI</w:t>
      </w:r>
      <w:r w:rsidRPr="00C44D8C">
        <w:rPr>
          <w:rFonts w:asciiTheme="minorHAnsi" w:hAnsiTheme="minorHAnsi"/>
          <w:sz w:val="22"/>
          <w:szCs w:val="22"/>
        </w:rPr>
        <w:tab/>
      </w:r>
      <w:r w:rsidRPr="00C44D8C">
        <w:rPr>
          <w:rFonts w:asciiTheme="minorHAnsi" w:hAnsiTheme="minorHAnsi"/>
          <w:sz w:val="22"/>
          <w:szCs w:val="22"/>
        </w:rPr>
        <w:tab/>
      </w:r>
      <w:r w:rsidRPr="00C44D8C">
        <w:rPr>
          <w:rFonts w:asciiTheme="minorHAnsi" w:hAnsiTheme="minorHAnsi"/>
          <w:color w:val="000000"/>
          <w:sz w:val="22"/>
          <w:szCs w:val="22"/>
          <w:lang w:eastAsia="en-GB"/>
        </w:rPr>
        <w:t>Triose phosphate isomerase</w:t>
      </w:r>
    </w:p>
    <w:p w14:paraId="28A20D50" w14:textId="77777777" w:rsidR="00CB4397" w:rsidRPr="00C44D8C" w:rsidRDefault="00CB4397" w:rsidP="00CB4397">
      <w:pPr>
        <w:spacing w:line="360" w:lineRule="auto"/>
        <w:rPr>
          <w:rFonts w:asciiTheme="minorHAnsi" w:hAnsiTheme="minorHAnsi"/>
          <w:color w:val="000000"/>
          <w:sz w:val="22"/>
          <w:szCs w:val="22"/>
        </w:rPr>
      </w:pPr>
      <w:r w:rsidRPr="00C44D8C">
        <w:rPr>
          <w:rFonts w:asciiTheme="minorHAnsi" w:hAnsiTheme="minorHAnsi"/>
          <w:color w:val="000000"/>
          <w:sz w:val="22"/>
          <w:szCs w:val="22"/>
          <w:lang w:eastAsia="en-GB"/>
        </w:rPr>
        <w:t>UHPLC</w:t>
      </w:r>
      <w:r w:rsidRP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ab/>
      </w:r>
      <w:r w:rsidRPr="00C44D8C">
        <w:rPr>
          <w:rFonts w:asciiTheme="minorHAnsi" w:hAnsiTheme="minorHAnsi"/>
          <w:color w:val="000000"/>
          <w:sz w:val="22"/>
          <w:szCs w:val="22"/>
        </w:rPr>
        <w:t>Ultra-high pressure liquid chromatography</w:t>
      </w:r>
    </w:p>
    <w:p w14:paraId="6BE57BE5" w14:textId="0CD13262" w:rsidR="00CB4397" w:rsidRPr="00C44D8C" w:rsidRDefault="00CB4397" w:rsidP="00CB4397">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UniProt</w:t>
      </w:r>
      <w:r w:rsidRPr="00C44D8C">
        <w:rPr>
          <w:rFonts w:asciiTheme="minorHAnsi" w:hAnsiTheme="minorHAnsi"/>
          <w:color w:val="000000"/>
          <w:sz w:val="22"/>
          <w:szCs w:val="22"/>
          <w:lang w:eastAsia="en-GB"/>
        </w:rPr>
        <w:tab/>
      </w:r>
      <w:r w:rsidR="00C44D8C">
        <w:rPr>
          <w:rFonts w:asciiTheme="minorHAnsi" w:hAnsiTheme="minorHAnsi"/>
          <w:color w:val="000000"/>
          <w:sz w:val="22"/>
          <w:szCs w:val="22"/>
          <w:lang w:eastAsia="en-GB"/>
        </w:rPr>
        <w:tab/>
      </w:r>
      <w:r w:rsidRPr="00C44D8C">
        <w:rPr>
          <w:rFonts w:asciiTheme="minorHAnsi" w:hAnsiTheme="minorHAnsi"/>
          <w:color w:val="000000"/>
          <w:sz w:val="22"/>
          <w:szCs w:val="22"/>
          <w:lang w:eastAsia="en-GB"/>
        </w:rPr>
        <w:t>Universal Protein Resource</w:t>
      </w:r>
    </w:p>
    <w:p w14:paraId="5DCEE51E" w14:textId="77777777" w:rsidR="00CB4397" w:rsidRPr="00C44D8C" w:rsidRDefault="00CB4397" w:rsidP="00CB43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VFA</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t>Volatile fatty acids</w:t>
      </w:r>
    </w:p>
    <w:p w14:paraId="1A78D04F" w14:textId="77777777" w:rsidR="00A9324D" w:rsidRPr="00224A2D" w:rsidRDefault="00CB4397" w:rsidP="00CB4397">
      <w:pPr>
        <w:spacing w:line="360" w:lineRule="auto"/>
        <w:rPr>
          <w:rFonts w:asciiTheme="minorHAnsi" w:eastAsia="Calibri" w:hAnsiTheme="minorHAnsi" w:cs="Calibri"/>
          <w:sz w:val="22"/>
          <w:szCs w:val="22"/>
          <w:lang w:val="nl-NL"/>
        </w:rPr>
      </w:pPr>
      <w:r w:rsidRPr="00224A2D">
        <w:rPr>
          <w:rFonts w:asciiTheme="minorHAnsi" w:eastAsia="Calibri" w:hAnsiTheme="minorHAnsi" w:cs="Calibri"/>
          <w:sz w:val="22"/>
          <w:szCs w:val="22"/>
          <w:lang w:val="nl-NL"/>
        </w:rPr>
        <w:t>xDLVO</w:t>
      </w:r>
      <w:r w:rsidRPr="00224A2D">
        <w:rPr>
          <w:rFonts w:asciiTheme="minorHAnsi" w:eastAsia="Calibri" w:hAnsiTheme="minorHAnsi" w:cs="Calibri"/>
          <w:sz w:val="22"/>
          <w:szCs w:val="22"/>
          <w:lang w:val="nl-NL"/>
        </w:rPr>
        <w:tab/>
      </w:r>
      <w:r w:rsidRPr="00224A2D">
        <w:rPr>
          <w:rFonts w:asciiTheme="minorHAnsi" w:eastAsia="Calibri" w:hAnsiTheme="minorHAnsi" w:cs="Calibri"/>
          <w:sz w:val="22"/>
          <w:szCs w:val="22"/>
          <w:lang w:val="nl-NL"/>
        </w:rPr>
        <w:tab/>
        <w:t>Extended Derjaguin, Landau, Verwey, and Overbeek model</w:t>
      </w:r>
    </w:p>
    <w:p w14:paraId="04421F5F" w14:textId="5CD12045" w:rsidR="00BE0697" w:rsidRDefault="00BE0697" w:rsidP="00BE0697">
      <w:pPr>
        <w:spacing w:line="360" w:lineRule="auto"/>
        <w:rPr>
          <w:rFonts w:asciiTheme="minorHAnsi" w:eastAsia="Calibri" w:hAnsiTheme="minorHAnsi" w:cs="Calibri"/>
          <w:sz w:val="22"/>
          <w:szCs w:val="22"/>
        </w:rPr>
        <w:sectPr w:rsidR="00BE0697" w:rsidSect="00407344">
          <w:pgSz w:w="11906" w:h="16838"/>
          <w:pgMar w:top="1418" w:right="1418" w:bottom="1418" w:left="2268" w:header="708" w:footer="708" w:gutter="0"/>
          <w:pgNumType w:fmt="lowerRoman"/>
          <w:cols w:space="708"/>
          <w:docGrid w:linePitch="360"/>
        </w:sectPr>
      </w:pPr>
      <w:r w:rsidRPr="00C44D8C">
        <w:rPr>
          <w:rFonts w:asciiTheme="minorHAnsi" w:eastAsia="Calibri" w:hAnsiTheme="minorHAnsi" w:cs="Calibri"/>
          <w:sz w:val="22"/>
          <w:szCs w:val="22"/>
        </w:rPr>
        <w:t>XPS</w:t>
      </w:r>
      <w:r w:rsidRPr="00C44D8C">
        <w:rPr>
          <w:rFonts w:asciiTheme="minorHAnsi" w:eastAsia="Calibri" w:hAnsiTheme="minorHAnsi" w:cs="Calibri"/>
          <w:sz w:val="22"/>
          <w:szCs w:val="22"/>
        </w:rPr>
        <w:tab/>
      </w:r>
      <w:r w:rsidRPr="00C44D8C">
        <w:rPr>
          <w:rFonts w:asciiTheme="minorHAnsi" w:eastAsia="Calibri" w:hAnsiTheme="minorHAnsi" w:cs="Calibri"/>
          <w:sz w:val="22"/>
          <w:szCs w:val="22"/>
        </w:rPr>
        <w:tab/>
      </w:r>
      <w:r>
        <w:rPr>
          <w:rFonts w:asciiTheme="minorHAnsi" w:eastAsia="Calibri" w:hAnsiTheme="minorHAnsi" w:cs="Calibri"/>
          <w:sz w:val="22"/>
          <w:szCs w:val="22"/>
        </w:rPr>
        <w:t>X-ray photoelectron spectroscopy</w:t>
      </w:r>
    </w:p>
    <w:p w14:paraId="69136DEB" w14:textId="6C07B317" w:rsidR="00CB4397" w:rsidRPr="00C44D8C" w:rsidRDefault="00CB4397" w:rsidP="00C44D8C">
      <w:pPr>
        <w:pStyle w:val="Heading1"/>
      </w:pPr>
      <w:bookmarkStart w:id="16" w:name="_Toc462575247"/>
      <w:r w:rsidRPr="00C44D8C">
        <w:lastRenderedPageBreak/>
        <w:t>V. Acknowledgements</w:t>
      </w:r>
      <w:bookmarkEnd w:id="16"/>
    </w:p>
    <w:p w14:paraId="296CC15D" w14:textId="77777777" w:rsidR="00CB4397" w:rsidRPr="00C44D8C" w:rsidRDefault="00CB4397" w:rsidP="00CB4397">
      <w:pPr>
        <w:spacing w:line="360" w:lineRule="auto"/>
        <w:rPr>
          <w:rFonts w:asciiTheme="minorHAnsi" w:hAnsiTheme="minorHAnsi"/>
          <w:sz w:val="22"/>
          <w:szCs w:val="22"/>
        </w:rPr>
      </w:pPr>
      <w:r w:rsidRPr="00C44D8C">
        <w:rPr>
          <w:rFonts w:asciiTheme="minorHAnsi" w:hAnsiTheme="minorHAnsi"/>
          <w:sz w:val="22"/>
          <w:szCs w:val="22"/>
        </w:rPr>
        <w:t>This PhD has taken me on an emotional rollercoaster from day one. This thesis is the culmination of several years of hard work, and I could not have done it without the help and influences of various people to whom I am extremely grateful to.</w:t>
      </w:r>
    </w:p>
    <w:p w14:paraId="4C42E354" w14:textId="77777777" w:rsidR="00CB4397" w:rsidRPr="00C44D8C" w:rsidRDefault="00CB4397" w:rsidP="00CB4397">
      <w:pPr>
        <w:spacing w:line="360" w:lineRule="auto"/>
        <w:rPr>
          <w:rFonts w:asciiTheme="minorHAnsi" w:hAnsiTheme="minorHAnsi"/>
          <w:sz w:val="22"/>
          <w:szCs w:val="22"/>
        </w:rPr>
      </w:pPr>
      <w:r w:rsidRPr="00C44D8C">
        <w:rPr>
          <w:rFonts w:asciiTheme="minorHAnsi" w:hAnsiTheme="minorHAnsi"/>
          <w:sz w:val="22"/>
          <w:szCs w:val="22"/>
        </w:rPr>
        <w:tab/>
        <w:t>To my supervisor, Catherine Biggs, for your endless support, for your positivity when things didn’t work out and your unwavering belief in me. Even with your own personal life challenges, you have always made time for me. I thank you. You are an inspiration.</w:t>
      </w:r>
    </w:p>
    <w:p w14:paraId="3D17DF7D" w14:textId="77777777" w:rsidR="00CB4397" w:rsidRPr="00C44D8C" w:rsidRDefault="00CB4397" w:rsidP="00CB4397">
      <w:pPr>
        <w:spacing w:line="360" w:lineRule="auto"/>
        <w:rPr>
          <w:rFonts w:asciiTheme="minorHAnsi" w:hAnsiTheme="minorHAnsi"/>
          <w:sz w:val="22"/>
          <w:szCs w:val="22"/>
        </w:rPr>
      </w:pPr>
      <w:r w:rsidRPr="00C44D8C">
        <w:rPr>
          <w:rFonts w:asciiTheme="minorHAnsi" w:hAnsiTheme="minorHAnsi"/>
          <w:sz w:val="22"/>
          <w:szCs w:val="22"/>
        </w:rPr>
        <w:tab/>
        <w:t xml:space="preserve">To my stand-in supervisor, Henriette Jensen, for making time for me, for being ever supportive and for undertaking the daunting task of guiding me through the final stages of my thesis and PhD. </w:t>
      </w:r>
    </w:p>
    <w:p w14:paraId="57E58D4F" w14:textId="77777777" w:rsidR="00CB4397" w:rsidRPr="00C44D8C" w:rsidRDefault="00CB4397" w:rsidP="00FE1A56">
      <w:pPr>
        <w:spacing w:line="360" w:lineRule="auto"/>
        <w:rPr>
          <w:rFonts w:asciiTheme="minorHAnsi" w:hAnsiTheme="minorHAnsi"/>
          <w:sz w:val="22"/>
          <w:szCs w:val="22"/>
        </w:rPr>
      </w:pPr>
      <w:r w:rsidRPr="00C44D8C">
        <w:rPr>
          <w:rFonts w:asciiTheme="minorHAnsi" w:hAnsiTheme="minorHAnsi"/>
          <w:sz w:val="22"/>
          <w:szCs w:val="22"/>
        </w:rPr>
        <w:tab/>
        <w:t xml:space="preserve">To Esther and Narciso, for voluntarily becoming my mentors in the final stages of my PhD, and for showing me the fun side of research. </w:t>
      </w:r>
      <w:r w:rsidR="00FE1A56" w:rsidRPr="00C44D8C">
        <w:rPr>
          <w:rFonts w:asciiTheme="minorHAnsi" w:hAnsiTheme="minorHAnsi"/>
          <w:sz w:val="22"/>
          <w:szCs w:val="22"/>
        </w:rPr>
        <w:t>Your</w:t>
      </w:r>
      <w:r w:rsidRPr="00C44D8C">
        <w:rPr>
          <w:rFonts w:asciiTheme="minorHAnsi" w:hAnsiTheme="minorHAnsi"/>
          <w:sz w:val="22"/>
          <w:szCs w:val="22"/>
        </w:rPr>
        <w:t xml:space="preserve"> constant positivity, jokes, and guidance </w:t>
      </w:r>
      <w:r w:rsidR="00FE1A56" w:rsidRPr="00C44D8C">
        <w:rPr>
          <w:rFonts w:asciiTheme="minorHAnsi" w:hAnsiTheme="minorHAnsi"/>
          <w:sz w:val="22"/>
          <w:szCs w:val="22"/>
        </w:rPr>
        <w:t>pulled me through</w:t>
      </w:r>
      <w:r w:rsidRPr="00C44D8C">
        <w:rPr>
          <w:rFonts w:asciiTheme="minorHAnsi" w:hAnsiTheme="minorHAnsi"/>
          <w:sz w:val="22"/>
          <w:szCs w:val="22"/>
        </w:rPr>
        <w:t>. I could not have done it without you.</w:t>
      </w:r>
    </w:p>
    <w:p w14:paraId="1C6AF3CE" w14:textId="77777777" w:rsidR="00CB4397" w:rsidRPr="00C44D8C" w:rsidRDefault="00CB4397" w:rsidP="00FE1A56">
      <w:pPr>
        <w:spacing w:line="360" w:lineRule="auto"/>
        <w:rPr>
          <w:rFonts w:asciiTheme="minorHAnsi" w:hAnsiTheme="minorHAnsi"/>
          <w:sz w:val="22"/>
          <w:szCs w:val="22"/>
        </w:rPr>
      </w:pPr>
      <w:r w:rsidRPr="00C44D8C">
        <w:rPr>
          <w:rFonts w:asciiTheme="minorHAnsi" w:hAnsiTheme="minorHAnsi"/>
          <w:sz w:val="22"/>
          <w:szCs w:val="22"/>
        </w:rPr>
        <w:tab/>
        <w:t>To everyone in the D72 office, and in the B56 dream team (Esther, Liz and Joy). You have been alongside me throughout my PhD and have shown unwavering support and friendship over the years. I will always be grateful for your friendship</w:t>
      </w:r>
      <w:r w:rsidR="00FE1A56" w:rsidRPr="00C44D8C">
        <w:rPr>
          <w:rFonts w:asciiTheme="minorHAnsi" w:hAnsiTheme="minorHAnsi"/>
          <w:sz w:val="22"/>
          <w:szCs w:val="22"/>
        </w:rPr>
        <w:t>.</w:t>
      </w:r>
      <w:r w:rsidRPr="00C44D8C">
        <w:rPr>
          <w:rFonts w:asciiTheme="minorHAnsi" w:hAnsiTheme="minorHAnsi"/>
          <w:sz w:val="22"/>
          <w:szCs w:val="22"/>
        </w:rPr>
        <w:t xml:space="preserve"> </w:t>
      </w:r>
    </w:p>
    <w:p w14:paraId="4E17F316" w14:textId="77777777" w:rsidR="00CB4397" w:rsidRPr="00C44D8C" w:rsidRDefault="00CB4397" w:rsidP="00CB4397">
      <w:pPr>
        <w:spacing w:line="360" w:lineRule="auto"/>
        <w:rPr>
          <w:rFonts w:asciiTheme="minorHAnsi" w:hAnsiTheme="minorHAnsi"/>
          <w:sz w:val="22"/>
          <w:szCs w:val="22"/>
        </w:rPr>
      </w:pPr>
      <w:r w:rsidRPr="00C44D8C">
        <w:rPr>
          <w:rFonts w:asciiTheme="minorHAnsi" w:hAnsiTheme="minorHAnsi"/>
          <w:sz w:val="22"/>
          <w:szCs w:val="22"/>
        </w:rPr>
        <w:tab/>
        <w:t>To the technical staff at CBE, especially Dave and James, for always being available to help me with any issues I had with the anaerobic chamber and beyond. Thank you for always being there.</w:t>
      </w:r>
    </w:p>
    <w:p w14:paraId="07D57740" w14:textId="77777777" w:rsidR="00CB4397" w:rsidRPr="00C44D8C" w:rsidRDefault="00CB4397" w:rsidP="00CB4397">
      <w:pPr>
        <w:spacing w:line="360" w:lineRule="auto"/>
        <w:rPr>
          <w:rFonts w:asciiTheme="minorHAnsi" w:hAnsiTheme="minorHAnsi"/>
          <w:sz w:val="22"/>
          <w:szCs w:val="22"/>
        </w:rPr>
      </w:pPr>
      <w:r w:rsidRPr="00C44D8C">
        <w:rPr>
          <w:rFonts w:asciiTheme="minorHAnsi" w:hAnsiTheme="minorHAnsi"/>
          <w:sz w:val="22"/>
          <w:szCs w:val="22"/>
        </w:rPr>
        <w:tab/>
        <w:t>To my dear friend, Kirstine Szifris, for our weekly thesis writing-lunch-coffee days. Thank you for your unwavering support, understanding and for offering an escape from the stresses of my PhD. I look forward to our epic celebration party when it’s all finished.</w:t>
      </w:r>
    </w:p>
    <w:p w14:paraId="234C8714" w14:textId="77777777" w:rsidR="00CB4397" w:rsidRPr="00C44D8C" w:rsidRDefault="00CB4397" w:rsidP="00CB4397">
      <w:pPr>
        <w:spacing w:line="360" w:lineRule="auto"/>
        <w:rPr>
          <w:rFonts w:asciiTheme="minorHAnsi" w:hAnsiTheme="minorHAnsi"/>
          <w:sz w:val="22"/>
          <w:szCs w:val="22"/>
        </w:rPr>
      </w:pPr>
      <w:r w:rsidRPr="00C44D8C">
        <w:rPr>
          <w:rFonts w:asciiTheme="minorHAnsi" w:hAnsiTheme="minorHAnsi"/>
          <w:sz w:val="22"/>
          <w:szCs w:val="22"/>
        </w:rPr>
        <w:tab/>
        <w:t>To all my family and friends, of whom there are too many to mention, for your enduring patience, support and love over the years. I have neglected many of you this past year, but you have always been there for me. I thank you all.</w:t>
      </w:r>
    </w:p>
    <w:p w14:paraId="49E6BFEA" w14:textId="77777777" w:rsidR="00FE1A56" w:rsidRPr="00C44D8C" w:rsidRDefault="00CB4397" w:rsidP="00FE1A56">
      <w:pPr>
        <w:spacing w:line="360" w:lineRule="auto"/>
        <w:rPr>
          <w:rFonts w:asciiTheme="minorHAnsi" w:hAnsiTheme="minorHAnsi"/>
          <w:sz w:val="22"/>
          <w:szCs w:val="22"/>
        </w:rPr>
      </w:pPr>
      <w:r w:rsidRPr="00C44D8C">
        <w:rPr>
          <w:rFonts w:asciiTheme="minorHAnsi" w:hAnsiTheme="minorHAnsi"/>
          <w:sz w:val="22"/>
          <w:szCs w:val="22"/>
        </w:rPr>
        <w:tab/>
        <w:t>And to Mike Simmonds, my life partner in crime, for being an essential source of support throughout my PhD, for sharing my highs and lows, and for being able to describe microbial physicochemical interactions and adhesion modelling to our friends and family.</w:t>
      </w:r>
    </w:p>
    <w:p w14:paraId="7843AC16" w14:textId="77777777" w:rsidR="00C44D8C" w:rsidRDefault="00C44D8C" w:rsidP="00FE1A56">
      <w:pPr>
        <w:spacing w:line="360" w:lineRule="auto"/>
        <w:rPr>
          <w:rFonts w:asciiTheme="minorHAnsi" w:hAnsiTheme="minorHAnsi"/>
          <w:b/>
          <w:bCs/>
          <w:sz w:val="22"/>
          <w:szCs w:val="22"/>
        </w:rPr>
      </w:pPr>
    </w:p>
    <w:p w14:paraId="572DC99E" w14:textId="77777777" w:rsidR="00C44D8C" w:rsidRDefault="00C44D8C" w:rsidP="00FE1A56">
      <w:pPr>
        <w:spacing w:line="360" w:lineRule="auto"/>
        <w:rPr>
          <w:rFonts w:asciiTheme="minorHAnsi" w:hAnsiTheme="minorHAnsi"/>
          <w:b/>
          <w:bCs/>
          <w:sz w:val="22"/>
          <w:szCs w:val="22"/>
        </w:rPr>
      </w:pPr>
    </w:p>
    <w:p w14:paraId="129C9588" w14:textId="77777777" w:rsidR="00C44D8C" w:rsidRDefault="00C44D8C" w:rsidP="00FE1A56">
      <w:pPr>
        <w:spacing w:line="360" w:lineRule="auto"/>
        <w:rPr>
          <w:rFonts w:asciiTheme="minorHAnsi" w:hAnsiTheme="minorHAnsi"/>
          <w:b/>
          <w:bCs/>
          <w:sz w:val="22"/>
          <w:szCs w:val="22"/>
        </w:rPr>
      </w:pPr>
    </w:p>
    <w:p w14:paraId="1C2141CC" w14:textId="77777777" w:rsidR="00C44D8C" w:rsidRDefault="00C44D8C" w:rsidP="00FE1A56">
      <w:pPr>
        <w:spacing w:line="360" w:lineRule="auto"/>
        <w:rPr>
          <w:rFonts w:asciiTheme="minorHAnsi" w:hAnsiTheme="minorHAnsi"/>
          <w:b/>
          <w:bCs/>
          <w:sz w:val="22"/>
          <w:szCs w:val="22"/>
        </w:rPr>
      </w:pPr>
    </w:p>
    <w:p w14:paraId="17D942E8" w14:textId="77777777" w:rsidR="00A9324D" w:rsidRDefault="00A9324D" w:rsidP="00FE1A56">
      <w:pPr>
        <w:spacing w:line="360" w:lineRule="auto"/>
        <w:rPr>
          <w:rFonts w:asciiTheme="minorHAnsi" w:hAnsiTheme="minorHAnsi"/>
          <w:b/>
          <w:bCs/>
          <w:sz w:val="22"/>
          <w:szCs w:val="22"/>
        </w:rPr>
        <w:sectPr w:rsidR="00A9324D" w:rsidSect="00407344">
          <w:pgSz w:w="11906" w:h="16838"/>
          <w:pgMar w:top="1418" w:right="1418" w:bottom="1418" w:left="2268" w:header="708" w:footer="708" w:gutter="0"/>
          <w:pgNumType w:fmt="lowerRoman"/>
          <w:cols w:space="708"/>
          <w:docGrid w:linePitch="360"/>
        </w:sectPr>
      </w:pPr>
    </w:p>
    <w:p w14:paraId="345D4FF2" w14:textId="61E62388" w:rsidR="00CB4397" w:rsidRPr="00C44D8C" w:rsidRDefault="00CB4397" w:rsidP="00C44D8C">
      <w:pPr>
        <w:pStyle w:val="Heading1"/>
      </w:pPr>
      <w:bookmarkStart w:id="17" w:name="_Toc462575248"/>
      <w:r w:rsidRPr="00C44D8C">
        <w:lastRenderedPageBreak/>
        <w:t>VI. List of publications</w:t>
      </w:r>
      <w:bookmarkEnd w:id="17"/>
    </w:p>
    <w:p w14:paraId="7AD0CBE1" w14:textId="77777777" w:rsidR="00436CD0" w:rsidRPr="00C44D8C" w:rsidRDefault="00436CD0" w:rsidP="00CB4397">
      <w:pPr>
        <w:rPr>
          <w:rFonts w:asciiTheme="minorHAnsi" w:hAnsiTheme="minorHAnsi"/>
          <w:b/>
          <w:bCs/>
          <w:sz w:val="22"/>
          <w:szCs w:val="22"/>
        </w:rPr>
      </w:pPr>
    </w:p>
    <w:p w14:paraId="372A7631" w14:textId="77777777" w:rsidR="00CB4397" w:rsidRPr="00C44D8C" w:rsidRDefault="00CB4397" w:rsidP="00CB4397">
      <w:pPr>
        <w:rPr>
          <w:rFonts w:asciiTheme="minorHAnsi" w:hAnsiTheme="minorHAnsi"/>
          <w:b/>
          <w:bCs/>
          <w:sz w:val="22"/>
          <w:szCs w:val="22"/>
        </w:rPr>
      </w:pPr>
    </w:p>
    <w:p w14:paraId="73050E97" w14:textId="77777777" w:rsidR="00CB4397" w:rsidRPr="00C44D8C" w:rsidRDefault="00CB4397" w:rsidP="00CB4397">
      <w:pPr>
        <w:rPr>
          <w:rFonts w:asciiTheme="minorHAnsi" w:hAnsiTheme="minorHAnsi"/>
          <w:b/>
          <w:bCs/>
          <w:sz w:val="28"/>
          <w:szCs w:val="28"/>
        </w:rPr>
      </w:pPr>
      <w:r w:rsidRPr="00C44D8C">
        <w:rPr>
          <w:rFonts w:asciiTheme="minorHAnsi" w:hAnsiTheme="minorHAnsi"/>
          <w:b/>
          <w:bCs/>
          <w:sz w:val="28"/>
          <w:szCs w:val="28"/>
        </w:rPr>
        <w:t>Journal Publications</w:t>
      </w:r>
    </w:p>
    <w:p w14:paraId="240D9A10" w14:textId="77777777" w:rsidR="00CB4397" w:rsidRPr="00C44D8C" w:rsidRDefault="00CB4397" w:rsidP="00CB4397">
      <w:pPr>
        <w:rPr>
          <w:rFonts w:asciiTheme="minorHAnsi" w:hAnsiTheme="minorHAnsi"/>
          <w:b/>
          <w:bCs/>
          <w:sz w:val="22"/>
          <w:szCs w:val="22"/>
        </w:rPr>
      </w:pPr>
    </w:p>
    <w:p w14:paraId="38DC1E2C" w14:textId="77777777" w:rsidR="00CB4397" w:rsidRPr="00C44D8C" w:rsidRDefault="00CB4397" w:rsidP="00CB4397">
      <w:pPr>
        <w:pStyle w:val="Heading1"/>
        <w:keepNext w:val="0"/>
        <w:keepLines w:val="0"/>
        <w:numPr>
          <w:ilvl w:val="0"/>
          <w:numId w:val="2"/>
        </w:numPr>
        <w:spacing w:before="100" w:beforeAutospacing="1" w:after="100" w:afterAutospacing="1" w:line="360" w:lineRule="auto"/>
        <w:rPr>
          <w:b w:val="0"/>
          <w:bCs/>
          <w:sz w:val="22"/>
          <w:szCs w:val="22"/>
        </w:rPr>
      </w:pPr>
      <w:bookmarkStart w:id="18" w:name="_Toc462574100"/>
      <w:bookmarkStart w:id="19" w:name="_Toc462574665"/>
      <w:bookmarkStart w:id="20" w:name="_Toc462574717"/>
      <w:bookmarkStart w:id="21" w:name="_Toc462575249"/>
      <w:r w:rsidRPr="00C44D8C">
        <w:rPr>
          <w:bCs/>
          <w:sz w:val="22"/>
          <w:szCs w:val="22"/>
        </w:rPr>
        <w:t>NGUYEN, V</w:t>
      </w:r>
      <w:r w:rsidRPr="00C44D8C">
        <w:rPr>
          <w:b w:val="0"/>
          <w:sz w:val="22"/>
          <w:szCs w:val="22"/>
        </w:rPr>
        <w:t xml:space="preserve">., Karunakaran, E., Collins, G. &amp; Biggs, C.A. (2016) Physicochemical analysis of initial adhesion and biofilm formation of </w:t>
      </w:r>
      <w:r w:rsidRPr="00C44D8C">
        <w:rPr>
          <w:b w:val="0"/>
          <w:i/>
          <w:iCs/>
          <w:sz w:val="22"/>
          <w:szCs w:val="22"/>
        </w:rPr>
        <w:t>Methanosarcina barkeri</w:t>
      </w:r>
      <w:r w:rsidRPr="00C44D8C">
        <w:rPr>
          <w:b w:val="0"/>
          <w:sz w:val="22"/>
          <w:szCs w:val="22"/>
        </w:rPr>
        <w:t xml:space="preserve"> on polymer support material. </w:t>
      </w:r>
      <w:r w:rsidRPr="00C44D8C">
        <w:rPr>
          <w:b w:val="0"/>
          <w:i/>
          <w:iCs/>
          <w:sz w:val="22"/>
          <w:szCs w:val="22"/>
        </w:rPr>
        <w:t>Colloids and Surfaces B: Biointerfaces, 143: 518-525.</w:t>
      </w:r>
      <w:bookmarkEnd w:id="18"/>
      <w:bookmarkEnd w:id="19"/>
      <w:bookmarkEnd w:id="20"/>
      <w:bookmarkEnd w:id="21"/>
    </w:p>
    <w:p w14:paraId="6F7E46F6" w14:textId="77777777" w:rsidR="00CB4397" w:rsidRPr="00C44D8C" w:rsidRDefault="00CB4397">
      <w:pPr>
        <w:rPr>
          <w:rFonts w:asciiTheme="minorHAnsi" w:hAnsiTheme="minorHAnsi"/>
          <w:sz w:val="22"/>
          <w:szCs w:val="22"/>
        </w:rPr>
      </w:pPr>
    </w:p>
    <w:p w14:paraId="5A75486C" w14:textId="77777777" w:rsidR="00CB4397" w:rsidRPr="00C44D8C" w:rsidRDefault="00CB4397">
      <w:pPr>
        <w:rPr>
          <w:rFonts w:asciiTheme="minorHAnsi" w:hAnsiTheme="minorHAnsi"/>
          <w:sz w:val="22"/>
          <w:szCs w:val="22"/>
        </w:rPr>
      </w:pPr>
    </w:p>
    <w:p w14:paraId="60683737" w14:textId="77777777" w:rsidR="00CB4397" w:rsidRPr="00C44D8C" w:rsidRDefault="00CB4397">
      <w:pPr>
        <w:rPr>
          <w:rFonts w:asciiTheme="minorHAnsi" w:hAnsiTheme="minorHAnsi"/>
          <w:sz w:val="22"/>
          <w:szCs w:val="22"/>
        </w:rPr>
      </w:pPr>
    </w:p>
    <w:p w14:paraId="191B2CF9" w14:textId="77777777" w:rsidR="00CB4397" w:rsidRPr="00C44D8C" w:rsidRDefault="00CB4397">
      <w:pPr>
        <w:rPr>
          <w:rFonts w:asciiTheme="minorHAnsi" w:hAnsiTheme="minorHAnsi"/>
          <w:sz w:val="22"/>
          <w:szCs w:val="22"/>
        </w:rPr>
      </w:pPr>
    </w:p>
    <w:p w14:paraId="429906D4" w14:textId="77777777" w:rsidR="00CB4397" w:rsidRPr="00C44D8C" w:rsidRDefault="00CB4397">
      <w:pPr>
        <w:rPr>
          <w:rFonts w:asciiTheme="minorHAnsi" w:hAnsiTheme="minorHAnsi"/>
          <w:sz w:val="22"/>
          <w:szCs w:val="22"/>
        </w:rPr>
      </w:pPr>
    </w:p>
    <w:p w14:paraId="03A7B99A" w14:textId="77777777" w:rsidR="00CB4397" w:rsidRPr="00C44D8C" w:rsidRDefault="00CB4397">
      <w:pPr>
        <w:rPr>
          <w:rFonts w:asciiTheme="minorHAnsi" w:hAnsiTheme="minorHAnsi"/>
          <w:sz w:val="22"/>
          <w:szCs w:val="22"/>
        </w:rPr>
      </w:pPr>
    </w:p>
    <w:p w14:paraId="54880077" w14:textId="77777777" w:rsidR="00436CD0" w:rsidRPr="00C44D8C" w:rsidRDefault="00436CD0">
      <w:pPr>
        <w:rPr>
          <w:rFonts w:asciiTheme="minorHAnsi" w:hAnsiTheme="minorHAnsi"/>
          <w:sz w:val="22"/>
          <w:szCs w:val="22"/>
        </w:rPr>
      </w:pPr>
    </w:p>
    <w:p w14:paraId="0086C5ED" w14:textId="77777777" w:rsidR="00436CD0" w:rsidRPr="00C44D8C" w:rsidRDefault="00436CD0">
      <w:pPr>
        <w:rPr>
          <w:rFonts w:asciiTheme="minorHAnsi" w:hAnsiTheme="minorHAnsi"/>
          <w:sz w:val="22"/>
          <w:szCs w:val="22"/>
        </w:rPr>
      </w:pPr>
    </w:p>
    <w:p w14:paraId="4D63CFC4" w14:textId="77777777" w:rsidR="00436CD0" w:rsidRPr="00C44D8C" w:rsidRDefault="00436CD0">
      <w:pPr>
        <w:rPr>
          <w:rFonts w:asciiTheme="minorHAnsi" w:hAnsiTheme="minorHAnsi"/>
          <w:sz w:val="22"/>
          <w:szCs w:val="22"/>
        </w:rPr>
      </w:pPr>
    </w:p>
    <w:p w14:paraId="092674AA" w14:textId="77777777" w:rsidR="00436CD0" w:rsidRPr="00C44D8C" w:rsidRDefault="00436CD0">
      <w:pPr>
        <w:rPr>
          <w:rFonts w:asciiTheme="minorHAnsi" w:hAnsiTheme="minorHAnsi"/>
          <w:sz w:val="22"/>
          <w:szCs w:val="22"/>
        </w:rPr>
      </w:pPr>
    </w:p>
    <w:p w14:paraId="23565043" w14:textId="77777777" w:rsidR="00436CD0" w:rsidRPr="00C44D8C" w:rsidRDefault="00436CD0">
      <w:pPr>
        <w:rPr>
          <w:rFonts w:asciiTheme="minorHAnsi" w:hAnsiTheme="minorHAnsi"/>
          <w:sz w:val="22"/>
          <w:szCs w:val="22"/>
        </w:rPr>
      </w:pPr>
    </w:p>
    <w:p w14:paraId="4151DE26" w14:textId="77777777" w:rsidR="00436CD0" w:rsidRPr="00C44D8C" w:rsidRDefault="00436CD0">
      <w:pPr>
        <w:rPr>
          <w:rFonts w:asciiTheme="minorHAnsi" w:hAnsiTheme="minorHAnsi"/>
          <w:sz w:val="22"/>
          <w:szCs w:val="22"/>
        </w:rPr>
      </w:pPr>
    </w:p>
    <w:p w14:paraId="7CC44067" w14:textId="77777777" w:rsidR="00436CD0" w:rsidRPr="00C44D8C" w:rsidRDefault="00436CD0">
      <w:pPr>
        <w:rPr>
          <w:rFonts w:asciiTheme="minorHAnsi" w:hAnsiTheme="minorHAnsi"/>
          <w:sz w:val="22"/>
          <w:szCs w:val="22"/>
        </w:rPr>
      </w:pPr>
    </w:p>
    <w:p w14:paraId="0FE79F24" w14:textId="77777777" w:rsidR="00436CD0" w:rsidRPr="00C44D8C" w:rsidRDefault="00436CD0">
      <w:pPr>
        <w:rPr>
          <w:rFonts w:asciiTheme="minorHAnsi" w:hAnsiTheme="minorHAnsi"/>
          <w:sz w:val="22"/>
          <w:szCs w:val="22"/>
        </w:rPr>
      </w:pPr>
    </w:p>
    <w:p w14:paraId="43D0D4F6" w14:textId="77777777" w:rsidR="00436CD0" w:rsidRPr="00C44D8C" w:rsidRDefault="00436CD0">
      <w:pPr>
        <w:rPr>
          <w:rFonts w:asciiTheme="minorHAnsi" w:hAnsiTheme="minorHAnsi"/>
          <w:sz w:val="22"/>
          <w:szCs w:val="22"/>
        </w:rPr>
      </w:pPr>
    </w:p>
    <w:p w14:paraId="3D86B3A4" w14:textId="77777777" w:rsidR="00436CD0" w:rsidRPr="00C44D8C" w:rsidRDefault="00436CD0">
      <w:pPr>
        <w:rPr>
          <w:rFonts w:asciiTheme="minorHAnsi" w:hAnsiTheme="minorHAnsi"/>
          <w:sz w:val="22"/>
          <w:szCs w:val="22"/>
        </w:rPr>
      </w:pPr>
    </w:p>
    <w:p w14:paraId="73A65EFC" w14:textId="77777777" w:rsidR="00436CD0" w:rsidRPr="00C44D8C" w:rsidRDefault="00436CD0">
      <w:pPr>
        <w:rPr>
          <w:rFonts w:asciiTheme="minorHAnsi" w:hAnsiTheme="minorHAnsi"/>
          <w:sz w:val="22"/>
          <w:szCs w:val="22"/>
        </w:rPr>
      </w:pPr>
    </w:p>
    <w:p w14:paraId="5096E388" w14:textId="77777777" w:rsidR="00436CD0" w:rsidRPr="00C44D8C" w:rsidRDefault="00436CD0">
      <w:pPr>
        <w:rPr>
          <w:rFonts w:asciiTheme="minorHAnsi" w:hAnsiTheme="minorHAnsi"/>
          <w:sz w:val="22"/>
          <w:szCs w:val="22"/>
        </w:rPr>
      </w:pPr>
    </w:p>
    <w:p w14:paraId="47A3A728" w14:textId="77777777" w:rsidR="00436CD0" w:rsidRPr="00C44D8C" w:rsidRDefault="00436CD0">
      <w:pPr>
        <w:rPr>
          <w:rFonts w:asciiTheme="minorHAnsi" w:hAnsiTheme="minorHAnsi"/>
          <w:sz w:val="22"/>
          <w:szCs w:val="22"/>
        </w:rPr>
      </w:pPr>
    </w:p>
    <w:p w14:paraId="6C507FB2" w14:textId="77777777" w:rsidR="00436CD0" w:rsidRPr="00C44D8C" w:rsidRDefault="00436CD0">
      <w:pPr>
        <w:rPr>
          <w:rFonts w:asciiTheme="minorHAnsi" w:hAnsiTheme="minorHAnsi"/>
          <w:sz w:val="22"/>
          <w:szCs w:val="22"/>
        </w:rPr>
      </w:pPr>
    </w:p>
    <w:p w14:paraId="673FCB85" w14:textId="77777777" w:rsidR="00436CD0" w:rsidRPr="00C44D8C" w:rsidRDefault="00436CD0">
      <w:pPr>
        <w:rPr>
          <w:rFonts w:asciiTheme="minorHAnsi" w:hAnsiTheme="minorHAnsi"/>
          <w:sz w:val="22"/>
          <w:szCs w:val="22"/>
        </w:rPr>
      </w:pPr>
    </w:p>
    <w:p w14:paraId="156F90E6" w14:textId="77777777" w:rsidR="00436CD0" w:rsidRPr="00C44D8C" w:rsidRDefault="00436CD0">
      <w:pPr>
        <w:rPr>
          <w:rFonts w:asciiTheme="minorHAnsi" w:hAnsiTheme="minorHAnsi"/>
          <w:sz w:val="22"/>
          <w:szCs w:val="22"/>
        </w:rPr>
      </w:pPr>
    </w:p>
    <w:p w14:paraId="74168A63" w14:textId="77777777" w:rsidR="00436CD0" w:rsidRPr="00C44D8C" w:rsidRDefault="00436CD0">
      <w:pPr>
        <w:rPr>
          <w:rFonts w:asciiTheme="minorHAnsi" w:hAnsiTheme="minorHAnsi"/>
          <w:sz w:val="22"/>
          <w:szCs w:val="22"/>
        </w:rPr>
      </w:pPr>
    </w:p>
    <w:p w14:paraId="1FC7F912" w14:textId="77777777" w:rsidR="00436CD0" w:rsidRPr="00C44D8C" w:rsidRDefault="00436CD0">
      <w:pPr>
        <w:rPr>
          <w:rFonts w:asciiTheme="minorHAnsi" w:hAnsiTheme="minorHAnsi"/>
          <w:sz w:val="22"/>
          <w:szCs w:val="22"/>
        </w:rPr>
      </w:pPr>
    </w:p>
    <w:p w14:paraId="55AAD9D1" w14:textId="77777777" w:rsidR="00436CD0" w:rsidRPr="00C44D8C" w:rsidRDefault="00436CD0">
      <w:pPr>
        <w:rPr>
          <w:rFonts w:asciiTheme="minorHAnsi" w:hAnsiTheme="minorHAnsi"/>
          <w:sz w:val="22"/>
          <w:szCs w:val="22"/>
        </w:rPr>
      </w:pPr>
    </w:p>
    <w:p w14:paraId="1672FC32" w14:textId="77777777" w:rsidR="00436CD0" w:rsidRPr="00C44D8C" w:rsidRDefault="00436CD0">
      <w:pPr>
        <w:rPr>
          <w:rFonts w:asciiTheme="minorHAnsi" w:hAnsiTheme="minorHAnsi"/>
          <w:sz w:val="22"/>
          <w:szCs w:val="22"/>
        </w:rPr>
      </w:pPr>
    </w:p>
    <w:p w14:paraId="5441D8C3" w14:textId="77777777" w:rsidR="00436CD0" w:rsidRPr="00C44D8C" w:rsidRDefault="00436CD0">
      <w:pPr>
        <w:rPr>
          <w:rFonts w:asciiTheme="minorHAnsi" w:hAnsiTheme="minorHAnsi"/>
          <w:sz w:val="22"/>
          <w:szCs w:val="22"/>
        </w:rPr>
      </w:pPr>
    </w:p>
    <w:p w14:paraId="7D259F6E" w14:textId="77777777" w:rsidR="00436CD0" w:rsidRPr="00C44D8C" w:rsidRDefault="00436CD0">
      <w:pPr>
        <w:rPr>
          <w:rFonts w:asciiTheme="minorHAnsi" w:hAnsiTheme="minorHAnsi"/>
          <w:sz w:val="22"/>
          <w:szCs w:val="22"/>
        </w:rPr>
      </w:pPr>
    </w:p>
    <w:p w14:paraId="27624310" w14:textId="77777777" w:rsidR="00436CD0" w:rsidRPr="00C44D8C" w:rsidRDefault="00436CD0">
      <w:pPr>
        <w:rPr>
          <w:rFonts w:asciiTheme="minorHAnsi" w:hAnsiTheme="minorHAnsi"/>
          <w:sz w:val="22"/>
          <w:szCs w:val="22"/>
        </w:rPr>
      </w:pPr>
    </w:p>
    <w:p w14:paraId="7FB37947" w14:textId="77777777" w:rsidR="00436CD0" w:rsidRPr="00C44D8C" w:rsidRDefault="00436CD0">
      <w:pPr>
        <w:rPr>
          <w:rFonts w:asciiTheme="minorHAnsi" w:hAnsiTheme="minorHAnsi"/>
          <w:sz w:val="22"/>
          <w:szCs w:val="22"/>
        </w:rPr>
      </w:pPr>
    </w:p>
    <w:p w14:paraId="2340890A" w14:textId="77777777" w:rsidR="00436CD0" w:rsidRPr="00C44D8C" w:rsidRDefault="00436CD0">
      <w:pPr>
        <w:rPr>
          <w:rFonts w:asciiTheme="minorHAnsi" w:hAnsiTheme="minorHAnsi"/>
          <w:sz w:val="22"/>
          <w:szCs w:val="22"/>
        </w:rPr>
      </w:pPr>
    </w:p>
    <w:p w14:paraId="7DD5FC00" w14:textId="77777777" w:rsidR="00436CD0" w:rsidRPr="00C44D8C" w:rsidRDefault="00436CD0">
      <w:pPr>
        <w:rPr>
          <w:rFonts w:asciiTheme="minorHAnsi" w:hAnsiTheme="minorHAnsi"/>
          <w:sz w:val="22"/>
          <w:szCs w:val="22"/>
        </w:rPr>
      </w:pPr>
    </w:p>
    <w:p w14:paraId="1531951F" w14:textId="77777777" w:rsidR="00436CD0" w:rsidRPr="00C44D8C" w:rsidRDefault="00436CD0">
      <w:pPr>
        <w:rPr>
          <w:rFonts w:asciiTheme="minorHAnsi" w:hAnsiTheme="minorHAnsi"/>
          <w:sz w:val="22"/>
          <w:szCs w:val="22"/>
        </w:rPr>
      </w:pPr>
    </w:p>
    <w:p w14:paraId="2A328953" w14:textId="77777777" w:rsidR="00436CD0" w:rsidRPr="00C44D8C" w:rsidRDefault="00436CD0">
      <w:pPr>
        <w:rPr>
          <w:rFonts w:asciiTheme="minorHAnsi" w:hAnsiTheme="minorHAnsi"/>
          <w:sz w:val="22"/>
          <w:szCs w:val="22"/>
        </w:rPr>
      </w:pPr>
    </w:p>
    <w:p w14:paraId="6FCAFE6E" w14:textId="77777777" w:rsidR="00FE1A56" w:rsidRPr="00C44D8C" w:rsidRDefault="00FE1A56" w:rsidP="00436CD0">
      <w:pPr>
        <w:spacing w:line="360" w:lineRule="auto"/>
        <w:rPr>
          <w:rFonts w:asciiTheme="minorHAnsi" w:hAnsiTheme="minorHAnsi"/>
          <w:sz w:val="22"/>
          <w:szCs w:val="22"/>
        </w:rPr>
      </w:pPr>
    </w:p>
    <w:p w14:paraId="58ACDA52" w14:textId="77777777" w:rsidR="00A9324D" w:rsidRDefault="00A9324D" w:rsidP="00436CD0">
      <w:pPr>
        <w:spacing w:line="360" w:lineRule="auto"/>
        <w:rPr>
          <w:rFonts w:asciiTheme="minorHAnsi" w:hAnsiTheme="minorHAnsi"/>
          <w:b/>
          <w:bCs/>
          <w:sz w:val="22"/>
          <w:szCs w:val="22"/>
        </w:rPr>
        <w:sectPr w:rsidR="00A9324D" w:rsidSect="00407344">
          <w:pgSz w:w="11906" w:h="16838"/>
          <w:pgMar w:top="1418" w:right="1418" w:bottom="1418" w:left="2268" w:header="708" w:footer="708" w:gutter="0"/>
          <w:pgNumType w:fmt="lowerRoman"/>
          <w:cols w:space="708"/>
          <w:docGrid w:linePitch="360"/>
        </w:sectPr>
      </w:pPr>
    </w:p>
    <w:p w14:paraId="598FB486" w14:textId="15829644" w:rsidR="00436CD0" w:rsidRPr="00C44D8C" w:rsidRDefault="00436CD0" w:rsidP="00C44D8C">
      <w:pPr>
        <w:pStyle w:val="Heading1"/>
      </w:pPr>
      <w:bookmarkStart w:id="22" w:name="_Toc462575250"/>
      <w:r w:rsidRPr="00C44D8C">
        <w:lastRenderedPageBreak/>
        <w:t>VII. Abstract</w:t>
      </w:r>
      <w:bookmarkEnd w:id="22"/>
    </w:p>
    <w:p w14:paraId="3EAE2F31" w14:textId="5DC62CB1" w:rsidR="00BE0697" w:rsidRPr="00C44D8C" w:rsidRDefault="00436CD0" w:rsidP="00BE0697">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 xml:space="preserve">Biofilms </w:t>
      </w:r>
      <w:r w:rsidR="00BE0697">
        <w:rPr>
          <w:rFonts w:asciiTheme="minorHAnsi" w:eastAsia="Calibri" w:hAnsiTheme="minorHAnsi" w:cs="Calibri"/>
          <w:sz w:val="22"/>
          <w:szCs w:val="22"/>
        </w:rPr>
        <w:t>are</w:t>
      </w:r>
      <w:r w:rsidRPr="00C44D8C">
        <w:rPr>
          <w:rFonts w:asciiTheme="minorHAnsi" w:eastAsia="Calibri" w:hAnsiTheme="minorHAnsi" w:cs="Calibri"/>
          <w:sz w:val="22"/>
          <w:szCs w:val="22"/>
        </w:rPr>
        <w:t xml:space="preserve"> sessile microbial communities attached to a surface, </w:t>
      </w:r>
      <w:r w:rsidR="001805C0">
        <w:rPr>
          <w:rFonts w:asciiTheme="minorHAnsi" w:eastAsia="Calibri" w:hAnsiTheme="minorHAnsi" w:cs="Calibri"/>
          <w:sz w:val="22"/>
          <w:szCs w:val="22"/>
        </w:rPr>
        <w:t>and offer a</w:t>
      </w:r>
      <w:r w:rsidRPr="00C44D8C">
        <w:rPr>
          <w:rFonts w:asciiTheme="minorHAnsi" w:eastAsia="Calibri" w:hAnsiTheme="minorHAnsi" w:cs="Calibri"/>
          <w:sz w:val="22"/>
          <w:szCs w:val="22"/>
        </w:rPr>
        <w:t xml:space="preserve"> multitude of benefits</w:t>
      </w:r>
      <w:r w:rsidR="001805C0">
        <w:rPr>
          <w:rFonts w:asciiTheme="minorHAnsi" w:eastAsia="Calibri" w:hAnsiTheme="minorHAnsi" w:cs="Calibri"/>
          <w:sz w:val="22"/>
          <w:szCs w:val="22"/>
        </w:rPr>
        <w:t xml:space="preserve"> to</w:t>
      </w:r>
      <w:r w:rsidR="001805C0" w:rsidRPr="00C44D8C">
        <w:rPr>
          <w:rFonts w:asciiTheme="minorHAnsi" w:eastAsia="Calibri" w:hAnsiTheme="minorHAnsi" w:cs="Calibri"/>
          <w:sz w:val="22"/>
          <w:szCs w:val="22"/>
        </w:rPr>
        <w:t xml:space="preserve"> various biotechnological applications, such as anaerobic digestion. </w:t>
      </w:r>
      <w:r w:rsidR="001805C0">
        <w:rPr>
          <w:rFonts w:asciiTheme="minorHAnsi" w:eastAsia="Calibri" w:hAnsiTheme="minorHAnsi" w:cs="Calibri"/>
          <w:sz w:val="22"/>
          <w:szCs w:val="22"/>
        </w:rPr>
        <w:t xml:space="preserve">Therefore, </w:t>
      </w:r>
      <w:r w:rsidRPr="00C44D8C">
        <w:rPr>
          <w:rFonts w:asciiTheme="minorHAnsi" w:eastAsia="Calibri" w:hAnsiTheme="minorHAnsi" w:cs="Calibri"/>
          <w:sz w:val="22"/>
          <w:szCs w:val="22"/>
        </w:rPr>
        <w:t xml:space="preserve">engineering systems to promote biofilm formation </w:t>
      </w:r>
      <w:r w:rsidR="001805C0">
        <w:rPr>
          <w:rFonts w:asciiTheme="minorHAnsi" w:eastAsia="Calibri" w:hAnsiTheme="minorHAnsi" w:cs="Calibri"/>
          <w:sz w:val="22"/>
          <w:szCs w:val="22"/>
        </w:rPr>
        <w:t>is becoming increasingly desirable in the biotechnology sector. T</w:t>
      </w:r>
      <w:r w:rsidR="00BE0697">
        <w:rPr>
          <w:rFonts w:asciiTheme="minorHAnsi" w:eastAsia="Calibri" w:hAnsiTheme="minorHAnsi" w:cs="Calibri"/>
          <w:sz w:val="22"/>
          <w:szCs w:val="22"/>
        </w:rPr>
        <w:t>hi</w:t>
      </w:r>
      <w:r w:rsidRPr="00C44D8C">
        <w:rPr>
          <w:rFonts w:asciiTheme="minorHAnsi" w:eastAsia="Calibri" w:hAnsiTheme="minorHAnsi" w:cs="Calibri"/>
          <w:sz w:val="22"/>
          <w:szCs w:val="22"/>
        </w:rPr>
        <w:t xml:space="preserve">s thesis </w:t>
      </w:r>
      <w:r w:rsidR="00470249">
        <w:rPr>
          <w:rFonts w:asciiTheme="minorHAnsi" w:eastAsia="Calibri" w:hAnsiTheme="minorHAnsi" w:cs="Calibri"/>
          <w:sz w:val="22"/>
          <w:szCs w:val="22"/>
        </w:rPr>
        <w:t>aimed t</w:t>
      </w:r>
      <w:r w:rsidRPr="00C44D8C">
        <w:rPr>
          <w:rFonts w:asciiTheme="minorHAnsi" w:eastAsia="Calibri" w:hAnsiTheme="minorHAnsi" w:cs="Calibri"/>
          <w:sz w:val="22"/>
          <w:szCs w:val="22"/>
        </w:rPr>
        <w:t xml:space="preserve">o </w:t>
      </w:r>
      <w:r w:rsidR="001805C0">
        <w:rPr>
          <w:rFonts w:asciiTheme="minorHAnsi" w:eastAsia="Calibri" w:hAnsiTheme="minorHAnsi" w:cs="Calibri"/>
          <w:sz w:val="22"/>
          <w:szCs w:val="22"/>
        </w:rPr>
        <w:t>promote</w:t>
      </w:r>
      <w:r w:rsidR="001805C0" w:rsidRPr="00C44D8C">
        <w:rPr>
          <w:rFonts w:asciiTheme="minorHAnsi" w:eastAsia="Calibri" w:hAnsiTheme="minorHAnsi" w:cs="Calibri"/>
          <w:sz w:val="22"/>
          <w:szCs w:val="22"/>
        </w:rPr>
        <w:t xml:space="preserve"> </w:t>
      </w:r>
      <w:r w:rsidR="001805C0">
        <w:rPr>
          <w:rFonts w:asciiTheme="minorHAnsi" w:eastAsia="Calibri" w:hAnsiTheme="minorHAnsi" w:cs="Calibri"/>
          <w:sz w:val="22"/>
          <w:szCs w:val="22"/>
        </w:rPr>
        <w:t>biofilm formation from</w:t>
      </w:r>
      <w:r w:rsidR="001805C0" w:rsidRPr="00C44D8C">
        <w:rPr>
          <w:rFonts w:asciiTheme="minorHAnsi" w:eastAsia="Calibri" w:hAnsiTheme="minorHAnsi" w:cs="Calibri"/>
          <w:sz w:val="22"/>
          <w:szCs w:val="22"/>
        </w:rPr>
        <w:t xml:space="preserve"> the robust </w:t>
      </w:r>
      <w:r w:rsidR="001805C0">
        <w:rPr>
          <w:rFonts w:asciiTheme="minorHAnsi" w:eastAsia="Calibri" w:hAnsiTheme="minorHAnsi" w:cs="Calibri"/>
          <w:sz w:val="22"/>
          <w:szCs w:val="22"/>
        </w:rPr>
        <w:t xml:space="preserve">model </w:t>
      </w:r>
      <w:r w:rsidR="001805C0" w:rsidRPr="00C44D8C">
        <w:rPr>
          <w:rFonts w:asciiTheme="minorHAnsi" w:eastAsia="Calibri" w:hAnsiTheme="minorHAnsi" w:cs="Calibri"/>
          <w:sz w:val="22"/>
          <w:szCs w:val="22"/>
        </w:rPr>
        <w:t>methanogen</w:t>
      </w:r>
      <w:r w:rsidR="001805C0">
        <w:rPr>
          <w:rFonts w:asciiTheme="minorHAnsi" w:eastAsia="Calibri" w:hAnsiTheme="minorHAnsi" w:cs="Calibri"/>
          <w:sz w:val="22"/>
          <w:szCs w:val="22"/>
        </w:rPr>
        <w:t xml:space="preserve">, </w:t>
      </w:r>
      <w:r w:rsidR="001805C0" w:rsidRPr="00C44D8C">
        <w:rPr>
          <w:rFonts w:asciiTheme="minorHAnsi" w:eastAsia="Calibri" w:hAnsiTheme="minorHAnsi" w:cs="Calibri"/>
          <w:i/>
          <w:iCs/>
          <w:sz w:val="22"/>
          <w:szCs w:val="22"/>
        </w:rPr>
        <w:t>Methanosarcina</w:t>
      </w:r>
      <w:r w:rsidR="001805C0">
        <w:rPr>
          <w:rFonts w:asciiTheme="minorHAnsi" w:eastAsia="Calibri" w:hAnsiTheme="minorHAnsi" w:cs="Calibri"/>
          <w:i/>
          <w:iCs/>
          <w:sz w:val="22"/>
          <w:szCs w:val="22"/>
        </w:rPr>
        <w:t xml:space="preserve"> barkeri</w:t>
      </w:r>
      <w:r w:rsidR="001805C0" w:rsidRPr="00C44D8C">
        <w:rPr>
          <w:rFonts w:asciiTheme="minorHAnsi" w:eastAsia="Calibri" w:hAnsiTheme="minorHAnsi" w:cs="Calibri"/>
          <w:i/>
          <w:iCs/>
          <w:sz w:val="22"/>
          <w:szCs w:val="22"/>
        </w:rPr>
        <w:t xml:space="preserve">, </w:t>
      </w:r>
      <w:r w:rsidR="001805C0" w:rsidRPr="00C44D8C">
        <w:rPr>
          <w:rFonts w:asciiTheme="minorHAnsi" w:eastAsia="Calibri" w:hAnsiTheme="minorHAnsi" w:cs="Calibri"/>
          <w:sz w:val="22"/>
          <w:szCs w:val="22"/>
        </w:rPr>
        <w:t>on</w:t>
      </w:r>
      <w:r w:rsidR="001805C0">
        <w:rPr>
          <w:rFonts w:asciiTheme="minorHAnsi" w:eastAsia="Calibri" w:hAnsiTheme="minorHAnsi" w:cs="Calibri"/>
          <w:sz w:val="22"/>
          <w:szCs w:val="22"/>
        </w:rPr>
        <w:t>to</w:t>
      </w:r>
      <w:r w:rsidR="001805C0" w:rsidRPr="00C44D8C">
        <w:rPr>
          <w:rFonts w:asciiTheme="minorHAnsi" w:eastAsia="Calibri" w:hAnsiTheme="minorHAnsi" w:cs="Calibri"/>
          <w:sz w:val="22"/>
          <w:szCs w:val="22"/>
        </w:rPr>
        <w:t xml:space="preserve"> polymer support material</w:t>
      </w:r>
      <w:r w:rsidR="001805C0">
        <w:rPr>
          <w:rFonts w:asciiTheme="minorHAnsi" w:eastAsia="Calibri" w:hAnsiTheme="minorHAnsi" w:cs="Calibri"/>
          <w:sz w:val="22"/>
          <w:szCs w:val="22"/>
        </w:rPr>
        <w:t xml:space="preserve">s as a strategy </w:t>
      </w:r>
      <w:r w:rsidR="00314CD5">
        <w:rPr>
          <w:rFonts w:asciiTheme="minorHAnsi" w:eastAsia="Calibri" w:hAnsiTheme="minorHAnsi" w:cs="Calibri"/>
          <w:sz w:val="22"/>
          <w:szCs w:val="22"/>
        </w:rPr>
        <w:t>for optimising</w:t>
      </w:r>
      <w:r w:rsidRPr="00C44D8C">
        <w:rPr>
          <w:rFonts w:asciiTheme="minorHAnsi" w:eastAsia="Calibri" w:hAnsiTheme="minorHAnsi" w:cs="Calibri"/>
          <w:sz w:val="22"/>
          <w:szCs w:val="22"/>
        </w:rPr>
        <w:t xml:space="preserve"> the anaerobic digestion of domestic wastewater</w:t>
      </w:r>
      <w:r w:rsidR="001805C0">
        <w:rPr>
          <w:rFonts w:asciiTheme="minorHAnsi" w:eastAsia="Calibri" w:hAnsiTheme="minorHAnsi" w:cs="Calibri"/>
          <w:sz w:val="22"/>
          <w:szCs w:val="22"/>
        </w:rPr>
        <w:t xml:space="preserve"> in peri-urban areas.</w:t>
      </w:r>
      <w:r w:rsidR="00470249">
        <w:rPr>
          <w:rFonts w:asciiTheme="minorHAnsi" w:eastAsia="Calibri" w:hAnsiTheme="minorHAnsi" w:cs="Calibri"/>
          <w:sz w:val="22"/>
          <w:szCs w:val="22"/>
        </w:rPr>
        <w:t xml:space="preserve"> </w:t>
      </w:r>
      <w:r w:rsidR="001805C0">
        <w:rPr>
          <w:rFonts w:asciiTheme="minorHAnsi" w:eastAsia="Calibri" w:hAnsiTheme="minorHAnsi" w:cs="Calibri"/>
          <w:sz w:val="22"/>
          <w:szCs w:val="22"/>
        </w:rPr>
        <w:t xml:space="preserve">A first step in this direction was to understand </w:t>
      </w:r>
      <w:r w:rsidRPr="00C44D8C">
        <w:rPr>
          <w:rFonts w:asciiTheme="minorHAnsi" w:eastAsia="Calibri" w:hAnsiTheme="minorHAnsi" w:cs="Calibri"/>
          <w:sz w:val="22"/>
          <w:szCs w:val="22"/>
        </w:rPr>
        <w:t xml:space="preserve">the effect of the support material </w:t>
      </w:r>
      <w:r w:rsidR="00BE0697">
        <w:rPr>
          <w:rFonts w:asciiTheme="minorHAnsi" w:eastAsia="Calibri" w:hAnsiTheme="minorHAnsi" w:cs="Calibri"/>
          <w:sz w:val="22"/>
          <w:szCs w:val="22"/>
        </w:rPr>
        <w:t xml:space="preserve">on the biofilm-forming capabilities of </w:t>
      </w:r>
      <w:r w:rsidR="001805C0">
        <w:rPr>
          <w:rFonts w:asciiTheme="minorHAnsi" w:eastAsia="Calibri" w:hAnsiTheme="minorHAnsi" w:cs="Calibri"/>
          <w:i/>
          <w:sz w:val="22"/>
          <w:szCs w:val="22"/>
        </w:rPr>
        <w:t>M.</w:t>
      </w:r>
      <w:r w:rsidR="001805C0">
        <w:rPr>
          <w:rFonts w:asciiTheme="minorHAnsi" w:eastAsia="Calibri" w:hAnsiTheme="minorHAnsi" w:cs="Calibri"/>
          <w:i/>
          <w:iCs/>
          <w:sz w:val="22"/>
          <w:szCs w:val="22"/>
        </w:rPr>
        <w:t xml:space="preserve"> barkeri</w:t>
      </w:r>
      <w:r w:rsidR="00314CD5">
        <w:rPr>
          <w:rFonts w:asciiTheme="minorHAnsi" w:eastAsia="Calibri" w:hAnsiTheme="minorHAnsi" w:cs="Calibri"/>
          <w:i/>
          <w:iCs/>
          <w:sz w:val="22"/>
          <w:szCs w:val="22"/>
        </w:rPr>
        <w:t>.</w:t>
      </w:r>
    </w:p>
    <w:p w14:paraId="135699A0" w14:textId="1B2C9447" w:rsidR="00436CD0" w:rsidRPr="00470249" w:rsidRDefault="00436CD0" w:rsidP="00436CD0">
      <w:pPr>
        <w:spacing w:line="360" w:lineRule="auto"/>
        <w:ind w:firstLine="720"/>
        <w:rPr>
          <w:rFonts w:asciiTheme="minorHAnsi" w:eastAsia="Calibri" w:hAnsiTheme="minorHAnsi" w:cs="Calibri"/>
          <w:sz w:val="22"/>
          <w:szCs w:val="22"/>
        </w:rPr>
      </w:pPr>
      <w:r w:rsidRPr="00C44D8C">
        <w:rPr>
          <w:rFonts w:asciiTheme="minorHAnsi" w:eastAsia="Calibri" w:hAnsiTheme="minorHAnsi" w:cs="Calibri"/>
          <w:sz w:val="22"/>
          <w:szCs w:val="22"/>
        </w:rPr>
        <w:t xml:space="preserve">Various techniques were used throughout this thesis to </w:t>
      </w:r>
      <w:r w:rsidR="00314CD5">
        <w:rPr>
          <w:rFonts w:asciiTheme="minorHAnsi" w:eastAsia="Calibri" w:hAnsiTheme="minorHAnsi" w:cs="Calibri"/>
          <w:sz w:val="22"/>
          <w:szCs w:val="22"/>
        </w:rPr>
        <w:t xml:space="preserve">show that the choice of </w:t>
      </w:r>
      <w:r w:rsidRPr="00C44D8C">
        <w:rPr>
          <w:rFonts w:asciiTheme="minorHAnsi" w:eastAsia="Calibri" w:hAnsiTheme="minorHAnsi" w:cs="Calibri"/>
          <w:sz w:val="22"/>
          <w:szCs w:val="22"/>
        </w:rPr>
        <w:t>support material</w:t>
      </w:r>
      <w:r w:rsidR="00314CD5">
        <w:rPr>
          <w:rFonts w:asciiTheme="minorHAnsi" w:eastAsia="Calibri" w:hAnsiTheme="minorHAnsi" w:cs="Calibri"/>
          <w:sz w:val="22"/>
          <w:szCs w:val="22"/>
        </w:rPr>
        <w:t xml:space="preserve"> was an important</w:t>
      </w:r>
      <w:r w:rsidRPr="00C44D8C">
        <w:rPr>
          <w:rFonts w:asciiTheme="minorHAnsi" w:eastAsia="Calibri" w:hAnsiTheme="minorHAnsi" w:cs="Calibri"/>
          <w:sz w:val="22"/>
          <w:szCs w:val="22"/>
        </w:rPr>
        <w:t xml:space="preserve"> environmental factor in triggering different </w:t>
      </w:r>
      <w:r w:rsidR="00532A69">
        <w:rPr>
          <w:rFonts w:asciiTheme="minorHAnsi" w:eastAsia="Calibri" w:hAnsiTheme="minorHAnsi" w:cs="Calibri"/>
          <w:sz w:val="22"/>
          <w:szCs w:val="22"/>
        </w:rPr>
        <w:t>physiological responses from</w:t>
      </w:r>
      <w:r w:rsidRPr="00C44D8C">
        <w:rPr>
          <w:rFonts w:asciiTheme="minorHAnsi" w:eastAsia="Calibri" w:hAnsiTheme="minorHAnsi" w:cs="Calibri"/>
          <w:sz w:val="22"/>
          <w:szCs w:val="22"/>
        </w:rPr>
        <w:t xml:space="preserve"> </w:t>
      </w:r>
      <w:r w:rsidRPr="00C44D8C">
        <w:rPr>
          <w:rFonts w:asciiTheme="minorHAnsi" w:eastAsia="Calibri" w:hAnsiTheme="minorHAnsi" w:cs="Calibri"/>
          <w:i/>
          <w:iCs/>
          <w:sz w:val="22"/>
          <w:szCs w:val="22"/>
        </w:rPr>
        <w:t>M. barkeri</w:t>
      </w:r>
      <w:r w:rsidR="00532A69">
        <w:rPr>
          <w:rFonts w:asciiTheme="minorHAnsi" w:eastAsia="Calibri" w:hAnsiTheme="minorHAnsi" w:cs="Calibri"/>
          <w:i/>
          <w:iCs/>
          <w:sz w:val="22"/>
          <w:szCs w:val="22"/>
        </w:rPr>
        <w:t xml:space="preserve"> </w:t>
      </w:r>
      <w:r w:rsidR="00532A69">
        <w:rPr>
          <w:rFonts w:asciiTheme="minorHAnsi" w:eastAsia="Calibri" w:hAnsiTheme="minorHAnsi" w:cs="Calibri"/>
          <w:iCs/>
          <w:sz w:val="22"/>
          <w:szCs w:val="22"/>
        </w:rPr>
        <w:t>during biofilm formation</w:t>
      </w:r>
      <w:r w:rsidRPr="00C44D8C">
        <w:rPr>
          <w:rFonts w:asciiTheme="minorHAnsi" w:eastAsia="Calibri" w:hAnsiTheme="minorHAnsi" w:cs="Calibri"/>
          <w:i/>
          <w:iCs/>
          <w:sz w:val="22"/>
          <w:szCs w:val="22"/>
        </w:rPr>
        <w:t xml:space="preserve">. </w:t>
      </w:r>
      <w:r w:rsidRPr="00C44D8C">
        <w:rPr>
          <w:rFonts w:asciiTheme="minorHAnsi" w:eastAsia="Calibri" w:hAnsiTheme="minorHAnsi" w:cs="Calibri"/>
          <w:sz w:val="22"/>
          <w:szCs w:val="22"/>
        </w:rPr>
        <w:t xml:space="preserve">DLVO modelling, surface characterisation and static </w:t>
      </w:r>
      <w:r w:rsidR="00314CD5">
        <w:rPr>
          <w:rFonts w:asciiTheme="minorHAnsi" w:eastAsia="Calibri" w:hAnsiTheme="minorHAnsi" w:cs="Calibri"/>
          <w:sz w:val="22"/>
          <w:szCs w:val="22"/>
        </w:rPr>
        <w:t xml:space="preserve">adhesion </w:t>
      </w:r>
      <w:r w:rsidRPr="00C44D8C">
        <w:rPr>
          <w:rFonts w:asciiTheme="minorHAnsi" w:eastAsia="Calibri" w:hAnsiTheme="minorHAnsi" w:cs="Calibri"/>
          <w:sz w:val="22"/>
          <w:szCs w:val="22"/>
        </w:rPr>
        <w:t xml:space="preserve">assays revealed the important role </w:t>
      </w:r>
      <w:r w:rsidR="00532A69">
        <w:rPr>
          <w:rFonts w:asciiTheme="minorHAnsi" w:eastAsia="Calibri" w:hAnsiTheme="minorHAnsi" w:cs="Calibri"/>
          <w:sz w:val="22"/>
          <w:szCs w:val="22"/>
        </w:rPr>
        <w:t xml:space="preserve">of the </w:t>
      </w:r>
      <w:r w:rsidR="00314CD5">
        <w:rPr>
          <w:rFonts w:asciiTheme="minorHAnsi" w:eastAsia="Calibri" w:hAnsiTheme="minorHAnsi" w:cs="Calibri"/>
          <w:sz w:val="22"/>
          <w:szCs w:val="22"/>
        </w:rPr>
        <w:t xml:space="preserve">physicochemical surface properties of </w:t>
      </w:r>
      <w:r w:rsidR="00314CD5">
        <w:rPr>
          <w:rFonts w:asciiTheme="minorHAnsi" w:eastAsia="Calibri" w:hAnsiTheme="minorHAnsi" w:cs="Calibri"/>
          <w:i/>
          <w:sz w:val="22"/>
          <w:szCs w:val="22"/>
        </w:rPr>
        <w:t xml:space="preserve">M. barkeri </w:t>
      </w:r>
      <w:r w:rsidR="00314CD5">
        <w:rPr>
          <w:rFonts w:asciiTheme="minorHAnsi" w:eastAsia="Calibri" w:hAnsiTheme="minorHAnsi" w:cs="Calibri"/>
          <w:sz w:val="22"/>
          <w:szCs w:val="22"/>
        </w:rPr>
        <w:t>and the six support materials for</w:t>
      </w:r>
      <w:r w:rsidR="00532A69">
        <w:rPr>
          <w:rFonts w:asciiTheme="minorHAnsi" w:eastAsia="Calibri" w:hAnsiTheme="minorHAnsi" w:cs="Calibri"/>
          <w:sz w:val="22"/>
          <w:szCs w:val="22"/>
        </w:rPr>
        <w:t xml:space="preserve"> </w:t>
      </w:r>
      <w:r w:rsidR="00D86C7E">
        <w:rPr>
          <w:rFonts w:asciiTheme="minorHAnsi" w:eastAsia="Calibri" w:hAnsiTheme="minorHAnsi" w:cs="Calibri"/>
          <w:sz w:val="22"/>
          <w:szCs w:val="22"/>
        </w:rPr>
        <w:t xml:space="preserve">initial </w:t>
      </w:r>
      <w:r w:rsidRPr="00C44D8C">
        <w:rPr>
          <w:rFonts w:asciiTheme="minorHAnsi" w:eastAsia="Calibri" w:hAnsiTheme="minorHAnsi" w:cs="Calibri"/>
          <w:sz w:val="22"/>
          <w:szCs w:val="22"/>
        </w:rPr>
        <w:t xml:space="preserve">microbial adhesion.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 xml:space="preserve">was shown to exhibit different abilities to attach to </w:t>
      </w:r>
      <w:r w:rsidR="00D86C7E">
        <w:rPr>
          <w:rFonts w:asciiTheme="minorHAnsi" w:eastAsia="Calibri" w:hAnsiTheme="minorHAnsi" w:cs="Calibri"/>
          <w:sz w:val="22"/>
          <w:szCs w:val="22"/>
        </w:rPr>
        <w:t xml:space="preserve">the </w:t>
      </w:r>
      <w:r w:rsidRPr="00C44D8C">
        <w:rPr>
          <w:rFonts w:asciiTheme="minorHAnsi" w:eastAsia="Calibri" w:hAnsiTheme="minorHAnsi" w:cs="Calibri"/>
          <w:sz w:val="22"/>
          <w:szCs w:val="22"/>
        </w:rPr>
        <w:t xml:space="preserve">support materials, with the type of material strongly influencing the extent of </w:t>
      </w:r>
      <w:r w:rsidR="00532A69">
        <w:rPr>
          <w:rFonts w:asciiTheme="minorHAnsi" w:eastAsia="Calibri" w:hAnsiTheme="minorHAnsi" w:cs="Calibri"/>
          <w:sz w:val="22"/>
          <w:szCs w:val="22"/>
        </w:rPr>
        <w:t xml:space="preserve">initial </w:t>
      </w:r>
      <w:r w:rsidRPr="00C44D8C">
        <w:rPr>
          <w:rFonts w:asciiTheme="minorHAnsi" w:eastAsia="Calibri" w:hAnsiTheme="minorHAnsi" w:cs="Calibri"/>
          <w:sz w:val="22"/>
          <w:szCs w:val="22"/>
        </w:rPr>
        <w:t>attachmen</w:t>
      </w:r>
      <w:r w:rsidR="00532A69">
        <w:rPr>
          <w:rFonts w:asciiTheme="minorHAnsi" w:eastAsia="Calibri" w:hAnsiTheme="minorHAnsi" w:cs="Calibri"/>
          <w:sz w:val="22"/>
          <w:szCs w:val="22"/>
        </w:rPr>
        <w:t xml:space="preserve">t. </w:t>
      </w:r>
      <w:r w:rsidR="00532A69" w:rsidRPr="00C44D8C">
        <w:rPr>
          <w:rFonts w:asciiTheme="minorHAnsi" w:hAnsiTheme="minorHAnsi"/>
          <w:color w:val="000000"/>
          <w:sz w:val="22"/>
          <w:szCs w:val="22"/>
        </w:rPr>
        <w:t>Fourier transform infrared spectroscopy, X-ray photoelectron spectroscopy, zeta potential analysis and fluorescence microscopy</w:t>
      </w:r>
      <w:r w:rsidR="00532A69">
        <w:rPr>
          <w:rFonts w:asciiTheme="minorHAnsi" w:eastAsia="Calibri" w:hAnsiTheme="minorHAnsi" w:cs="Calibri"/>
          <w:sz w:val="22"/>
          <w:szCs w:val="22"/>
        </w:rPr>
        <w:t xml:space="preserve"> suggested that significant modifications to the cell surface occurred in response to</w:t>
      </w:r>
      <w:r w:rsidR="00314CD5">
        <w:rPr>
          <w:rFonts w:asciiTheme="minorHAnsi" w:eastAsia="Calibri" w:hAnsiTheme="minorHAnsi" w:cs="Calibri"/>
          <w:sz w:val="22"/>
          <w:szCs w:val="22"/>
        </w:rPr>
        <w:t xml:space="preserve"> attachment to</w:t>
      </w:r>
      <w:r w:rsidR="00532A69">
        <w:rPr>
          <w:rFonts w:asciiTheme="minorHAnsi" w:eastAsia="Calibri" w:hAnsiTheme="minorHAnsi" w:cs="Calibri"/>
          <w:sz w:val="22"/>
          <w:szCs w:val="22"/>
        </w:rPr>
        <w:t xml:space="preserve"> a favourable support material</w:t>
      </w:r>
      <w:r w:rsidR="00314CD5">
        <w:rPr>
          <w:rFonts w:asciiTheme="minorHAnsi" w:eastAsia="Calibri" w:hAnsiTheme="minorHAnsi" w:cs="Calibri"/>
          <w:sz w:val="22"/>
          <w:szCs w:val="22"/>
        </w:rPr>
        <w:t xml:space="preserve"> (PVC)</w:t>
      </w:r>
      <w:r w:rsidR="00532A69">
        <w:rPr>
          <w:rFonts w:asciiTheme="minorHAnsi" w:eastAsia="Calibri" w:hAnsiTheme="minorHAnsi" w:cs="Calibri"/>
          <w:sz w:val="22"/>
          <w:szCs w:val="22"/>
        </w:rPr>
        <w:t xml:space="preserve">, with increased levels of cell surface polysaccharides </w:t>
      </w:r>
      <w:r w:rsidR="00314CD5">
        <w:rPr>
          <w:rFonts w:asciiTheme="minorHAnsi" w:eastAsia="Calibri" w:hAnsiTheme="minorHAnsi" w:cs="Calibri"/>
          <w:sz w:val="22"/>
          <w:szCs w:val="22"/>
        </w:rPr>
        <w:t xml:space="preserve">detected </w:t>
      </w:r>
      <w:r w:rsidR="00532A69">
        <w:rPr>
          <w:rFonts w:asciiTheme="minorHAnsi" w:eastAsia="Calibri" w:hAnsiTheme="minorHAnsi" w:cs="Calibri"/>
          <w:sz w:val="22"/>
          <w:szCs w:val="22"/>
        </w:rPr>
        <w:t xml:space="preserve">in biofilms attached to PVC compared to PETG. </w:t>
      </w:r>
      <w:r w:rsidRPr="00C44D8C">
        <w:rPr>
          <w:rFonts w:asciiTheme="minorHAnsi" w:eastAsia="Calibri" w:hAnsiTheme="minorHAnsi" w:cs="Calibri"/>
          <w:sz w:val="22"/>
          <w:szCs w:val="22"/>
        </w:rPr>
        <w:t xml:space="preserve">Furthermore, </w:t>
      </w:r>
      <w:r w:rsidR="00470249">
        <w:rPr>
          <w:rFonts w:asciiTheme="minorHAnsi" w:eastAsia="Calibri" w:hAnsiTheme="minorHAnsi" w:cs="Calibri"/>
          <w:sz w:val="22"/>
          <w:szCs w:val="22"/>
        </w:rPr>
        <w:t xml:space="preserve">microbial </w:t>
      </w:r>
      <w:r w:rsidR="00532A69">
        <w:rPr>
          <w:rFonts w:asciiTheme="minorHAnsi" w:eastAsia="Calibri" w:hAnsiTheme="minorHAnsi" w:cs="Calibri"/>
          <w:sz w:val="22"/>
          <w:szCs w:val="22"/>
        </w:rPr>
        <w:t xml:space="preserve">attachment to PVC caused </w:t>
      </w:r>
      <w:r w:rsidR="00E35F9B">
        <w:rPr>
          <w:rFonts w:asciiTheme="minorHAnsi" w:eastAsia="Calibri" w:hAnsiTheme="minorHAnsi" w:cs="Calibri"/>
          <w:sz w:val="22"/>
          <w:szCs w:val="22"/>
        </w:rPr>
        <w:t>a</w:t>
      </w:r>
      <w:r w:rsidR="00532A69">
        <w:rPr>
          <w:rFonts w:asciiTheme="minorHAnsi" w:eastAsia="Calibri" w:hAnsiTheme="minorHAnsi" w:cs="Calibri"/>
          <w:sz w:val="22"/>
          <w:szCs w:val="22"/>
        </w:rPr>
        <w:t xml:space="preserve"> </w:t>
      </w:r>
      <w:r w:rsidR="00D86C7E">
        <w:rPr>
          <w:rFonts w:asciiTheme="minorHAnsi" w:eastAsia="Calibri" w:hAnsiTheme="minorHAnsi" w:cs="Calibri"/>
          <w:sz w:val="22"/>
          <w:szCs w:val="22"/>
        </w:rPr>
        <w:t xml:space="preserve">significant </w:t>
      </w:r>
      <w:r w:rsidR="00E35F9B">
        <w:rPr>
          <w:rFonts w:asciiTheme="minorHAnsi" w:eastAsia="Calibri" w:hAnsiTheme="minorHAnsi" w:cs="Calibri"/>
          <w:sz w:val="22"/>
          <w:szCs w:val="22"/>
        </w:rPr>
        <w:t xml:space="preserve">higher relative abundance </w:t>
      </w:r>
      <w:r w:rsidR="00532A69">
        <w:rPr>
          <w:rFonts w:asciiTheme="minorHAnsi" w:eastAsia="Calibri" w:hAnsiTheme="minorHAnsi" w:cs="Calibri"/>
          <w:sz w:val="22"/>
          <w:szCs w:val="22"/>
        </w:rPr>
        <w:t xml:space="preserve">of proteins involved in </w:t>
      </w:r>
      <w:r w:rsidRPr="00C44D8C">
        <w:rPr>
          <w:rFonts w:asciiTheme="minorHAnsi" w:eastAsia="Calibri" w:hAnsiTheme="minorHAnsi" w:cs="Calibri"/>
          <w:sz w:val="22"/>
          <w:szCs w:val="22"/>
        </w:rPr>
        <w:t>methanogenesis, metabolism, cell wall biogenesis and EPS produ</w:t>
      </w:r>
      <w:r w:rsidR="00470249">
        <w:rPr>
          <w:rFonts w:asciiTheme="minorHAnsi" w:eastAsia="Calibri" w:hAnsiTheme="minorHAnsi" w:cs="Calibri"/>
          <w:sz w:val="22"/>
          <w:szCs w:val="22"/>
        </w:rPr>
        <w:t xml:space="preserve">ction compared to biofilms attached to PETG. The results from this thesis suggest that </w:t>
      </w:r>
      <w:r w:rsidR="00470249">
        <w:rPr>
          <w:rFonts w:asciiTheme="minorHAnsi" w:eastAsia="Calibri" w:hAnsiTheme="minorHAnsi" w:cs="Calibri"/>
          <w:i/>
          <w:sz w:val="22"/>
          <w:szCs w:val="22"/>
        </w:rPr>
        <w:t xml:space="preserve">M. barkeri </w:t>
      </w:r>
      <w:r w:rsidR="00470249">
        <w:rPr>
          <w:rFonts w:asciiTheme="minorHAnsi" w:eastAsia="Calibri" w:hAnsiTheme="minorHAnsi" w:cs="Calibri"/>
          <w:sz w:val="22"/>
          <w:szCs w:val="22"/>
        </w:rPr>
        <w:t xml:space="preserve">showcases different physiological responses </w:t>
      </w:r>
      <w:r w:rsidR="00314CD5">
        <w:rPr>
          <w:rFonts w:asciiTheme="minorHAnsi" w:eastAsia="Calibri" w:hAnsiTheme="minorHAnsi" w:cs="Calibri"/>
          <w:sz w:val="22"/>
          <w:szCs w:val="22"/>
        </w:rPr>
        <w:t xml:space="preserve">for biofilm formation </w:t>
      </w:r>
      <w:r w:rsidR="00470249">
        <w:rPr>
          <w:rFonts w:asciiTheme="minorHAnsi" w:eastAsia="Calibri" w:hAnsiTheme="minorHAnsi" w:cs="Calibri"/>
          <w:sz w:val="22"/>
          <w:szCs w:val="22"/>
        </w:rPr>
        <w:t xml:space="preserve">depending on the </w:t>
      </w:r>
      <w:r w:rsidR="00314CD5">
        <w:rPr>
          <w:rFonts w:asciiTheme="minorHAnsi" w:eastAsia="Calibri" w:hAnsiTheme="minorHAnsi" w:cs="Calibri"/>
          <w:sz w:val="22"/>
          <w:szCs w:val="22"/>
        </w:rPr>
        <w:t>support material</w:t>
      </w:r>
      <w:r w:rsidR="00470249">
        <w:rPr>
          <w:rFonts w:asciiTheme="minorHAnsi" w:eastAsia="Calibri" w:hAnsiTheme="minorHAnsi" w:cs="Calibri"/>
          <w:sz w:val="22"/>
          <w:szCs w:val="22"/>
        </w:rPr>
        <w:t>.</w:t>
      </w:r>
      <w:r w:rsidR="007D6081">
        <w:rPr>
          <w:rFonts w:asciiTheme="minorHAnsi" w:eastAsia="Calibri" w:hAnsiTheme="minorHAnsi" w:cs="Calibri"/>
          <w:sz w:val="22"/>
          <w:szCs w:val="22"/>
        </w:rPr>
        <w:t xml:space="preserve"> Therefore,</w:t>
      </w:r>
      <w:r w:rsidR="007D6081" w:rsidRPr="00C44D8C">
        <w:rPr>
          <w:rFonts w:asciiTheme="minorHAnsi" w:eastAsia="Calibri" w:hAnsiTheme="minorHAnsi" w:cs="Calibri"/>
          <w:color w:val="000000"/>
          <w:sz w:val="22"/>
          <w:szCs w:val="22"/>
          <w:lang w:eastAsia="en-GB"/>
        </w:rPr>
        <w:t xml:space="preserve"> the choice of </w:t>
      </w:r>
      <w:r w:rsidR="007D6081">
        <w:rPr>
          <w:rFonts w:asciiTheme="minorHAnsi" w:eastAsia="Calibri" w:hAnsiTheme="minorHAnsi" w:cs="Calibri"/>
          <w:color w:val="000000"/>
          <w:sz w:val="22"/>
          <w:szCs w:val="22"/>
          <w:lang w:eastAsia="en-GB"/>
        </w:rPr>
        <w:t>support</w:t>
      </w:r>
      <w:r w:rsidR="007D6081" w:rsidRPr="00C44D8C">
        <w:rPr>
          <w:rFonts w:asciiTheme="minorHAnsi" w:eastAsia="Calibri" w:hAnsiTheme="minorHAnsi" w:cs="Calibri"/>
          <w:color w:val="000000"/>
          <w:sz w:val="22"/>
          <w:szCs w:val="22"/>
          <w:lang w:eastAsia="en-GB"/>
        </w:rPr>
        <w:t xml:space="preserve"> material is an important design parameter for retaining microbial biomass within AD reactors</w:t>
      </w:r>
      <w:r w:rsidR="00314CD5">
        <w:rPr>
          <w:rFonts w:asciiTheme="minorHAnsi" w:eastAsia="Calibri" w:hAnsiTheme="minorHAnsi" w:cs="Calibri"/>
          <w:i/>
          <w:sz w:val="22"/>
          <w:szCs w:val="22"/>
        </w:rPr>
        <w:t>,</w:t>
      </w:r>
      <w:r w:rsidR="00470249">
        <w:rPr>
          <w:rFonts w:asciiTheme="minorHAnsi" w:eastAsia="Calibri" w:hAnsiTheme="minorHAnsi" w:cs="Calibri"/>
          <w:i/>
          <w:sz w:val="22"/>
          <w:szCs w:val="22"/>
        </w:rPr>
        <w:t xml:space="preserve"> </w:t>
      </w:r>
      <w:r w:rsidR="00470249">
        <w:rPr>
          <w:rFonts w:asciiTheme="minorHAnsi" w:eastAsia="Calibri" w:hAnsiTheme="minorHAnsi" w:cs="Calibri"/>
          <w:sz w:val="22"/>
          <w:szCs w:val="22"/>
        </w:rPr>
        <w:t xml:space="preserve">and should be considered </w:t>
      </w:r>
      <w:r w:rsidR="00314CD5">
        <w:rPr>
          <w:rFonts w:asciiTheme="minorHAnsi" w:eastAsia="Calibri" w:hAnsiTheme="minorHAnsi" w:cs="Calibri"/>
          <w:sz w:val="22"/>
          <w:szCs w:val="22"/>
        </w:rPr>
        <w:t>in</w:t>
      </w:r>
      <w:r w:rsidR="00470249">
        <w:rPr>
          <w:rFonts w:asciiTheme="minorHAnsi" w:eastAsia="Calibri" w:hAnsiTheme="minorHAnsi" w:cs="Calibri"/>
          <w:sz w:val="22"/>
          <w:szCs w:val="22"/>
        </w:rPr>
        <w:t xml:space="preserve"> </w:t>
      </w:r>
      <w:r w:rsidR="00314CD5">
        <w:rPr>
          <w:rFonts w:asciiTheme="minorHAnsi" w:eastAsia="Calibri" w:hAnsiTheme="minorHAnsi" w:cs="Calibri"/>
          <w:sz w:val="22"/>
          <w:szCs w:val="22"/>
        </w:rPr>
        <w:t xml:space="preserve">future </w:t>
      </w:r>
      <w:r w:rsidR="00D86C7E">
        <w:rPr>
          <w:rFonts w:asciiTheme="minorHAnsi" w:eastAsia="Calibri" w:hAnsiTheme="minorHAnsi" w:cs="Calibri"/>
          <w:sz w:val="22"/>
          <w:szCs w:val="22"/>
        </w:rPr>
        <w:t xml:space="preserve">design </w:t>
      </w:r>
      <w:r w:rsidR="00314CD5">
        <w:rPr>
          <w:rFonts w:asciiTheme="minorHAnsi" w:eastAsia="Calibri" w:hAnsiTheme="minorHAnsi" w:cs="Calibri"/>
          <w:sz w:val="22"/>
          <w:szCs w:val="22"/>
        </w:rPr>
        <w:t>frameworks for high rate anaerobic digestion.</w:t>
      </w:r>
    </w:p>
    <w:p w14:paraId="7C503B67" w14:textId="77777777" w:rsidR="00436CD0" w:rsidRPr="00C44D8C" w:rsidRDefault="00436CD0" w:rsidP="00436CD0">
      <w:pPr>
        <w:spacing w:line="360" w:lineRule="auto"/>
        <w:rPr>
          <w:rFonts w:asciiTheme="minorHAnsi" w:hAnsiTheme="minorHAnsi"/>
          <w:sz w:val="22"/>
          <w:szCs w:val="22"/>
        </w:rPr>
      </w:pPr>
    </w:p>
    <w:p w14:paraId="2D03EC09" w14:textId="77777777" w:rsidR="00436CD0" w:rsidRPr="00C44D8C" w:rsidRDefault="00436CD0" w:rsidP="00436CD0">
      <w:pPr>
        <w:spacing w:line="360" w:lineRule="auto"/>
        <w:rPr>
          <w:rFonts w:asciiTheme="minorHAnsi" w:hAnsiTheme="minorHAnsi"/>
          <w:sz w:val="22"/>
          <w:szCs w:val="22"/>
        </w:rPr>
      </w:pPr>
    </w:p>
    <w:p w14:paraId="0A82D470" w14:textId="77777777" w:rsidR="00436CD0" w:rsidRPr="00C44D8C" w:rsidRDefault="00436CD0" w:rsidP="00436CD0">
      <w:pPr>
        <w:spacing w:line="360" w:lineRule="auto"/>
        <w:rPr>
          <w:rFonts w:asciiTheme="minorHAnsi" w:hAnsiTheme="minorHAnsi"/>
          <w:sz w:val="22"/>
          <w:szCs w:val="22"/>
        </w:rPr>
      </w:pPr>
    </w:p>
    <w:p w14:paraId="581C84E2" w14:textId="77777777" w:rsidR="00436CD0" w:rsidRDefault="00436CD0" w:rsidP="00436CD0">
      <w:pPr>
        <w:spacing w:line="360" w:lineRule="auto"/>
        <w:rPr>
          <w:rFonts w:asciiTheme="minorHAnsi" w:hAnsiTheme="minorHAnsi"/>
          <w:sz w:val="22"/>
          <w:szCs w:val="22"/>
        </w:rPr>
      </w:pPr>
    </w:p>
    <w:p w14:paraId="11CE4B67" w14:textId="77777777" w:rsidR="00A9324D" w:rsidRDefault="00A9324D" w:rsidP="00436CD0">
      <w:pPr>
        <w:spacing w:line="360" w:lineRule="auto"/>
        <w:rPr>
          <w:rFonts w:asciiTheme="minorHAnsi" w:hAnsiTheme="minorHAnsi"/>
          <w:sz w:val="22"/>
          <w:szCs w:val="22"/>
        </w:rPr>
        <w:sectPr w:rsidR="00A9324D" w:rsidSect="00407344">
          <w:pgSz w:w="11906" w:h="16838"/>
          <w:pgMar w:top="1418" w:right="1418" w:bottom="1418" w:left="2268" w:header="708" w:footer="708" w:gutter="0"/>
          <w:pgNumType w:fmt="lowerRoman"/>
          <w:cols w:space="708"/>
          <w:docGrid w:linePitch="360"/>
        </w:sectPr>
      </w:pPr>
    </w:p>
    <w:p w14:paraId="09C2B01D" w14:textId="77777777" w:rsidR="009B6D13" w:rsidRDefault="009B6D13" w:rsidP="00A30FBD">
      <w:pPr>
        <w:spacing w:line="431" w:lineRule="auto"/>
        <w:rPr>
          <w:rFonts w:asciiTheme="minorHAnsi" w:hAnsiTheme="minorHAnsi"/>
          <w:sz w:val="22"/>
          <w:szCs w:val="22"/>
        </w:rPr>
      </w:pPr>
    </w:p>
    <w:sdt>
      <w:sdtPr>
        <w:rPr>
          <w:rFonts w:ascii="Times New Roman" w:eastAsia="Times New Roman" w:hAnsi="Times New Roman" w:cs="Times New Roman"/>
          <w:color w:val="auto"/>
          <w:sz w:val="24"/>
          <w:szCs w:val="20"/>
          <w:lang w:val="en-GB"/>
        </w:rPr>
        <w:id w:val="104623639"/>
        <w:docPartObj>
          <w:docPartGallery w:val="Table of Contents"/>
          <w:docPartUnique/>
        </w:docPartObj>
      </w:sdtPr>
      <w:sdtEndPr>
        <w:rPr>
          <w:rFonts w:asciiTheme="minorHAnsi" w:hAnsiTheme="minorHAnsi"/>
          <w:b/>
          <w:bCs/>
          <w:noProof/>
          <w:sz w:val="22"/>
          <w:szCs w:val="22"/>
        </w:rPr>
      </w:sdtEndPr>
      <w:sdtContent>
        <w:p w14:paraId="6BE109EA" w14:textId="1140EF04" w:rsidR="00407344" w:rsidRPr="009D6C7D" w:rsidRDefault="00407344">
          <w:pPr>
            <w:pStyle w:val="TOCHeading"/>
            <w:rPr>
              <w:rFonts w:asciiTheme="minorHAnsi" w:hAnsiTheme="minorHAnsi"/>
              <w:b/>
              <w:color w:val="auto"/>
              <w:sz w:val="28"/>
              <w:szCs w:val="28"/>
            </w:rPr>
          </w:pPr>
          <w:r w:rsidRPr="009D6C7D">
            <w:rPr>
              <w:rFonts w:asciiTheme="minorHAnsi" w:hAnsiTheme="minorHAnsi"/>
              <w:b/>
              <w:color w:val="auto"/>
              <w:sz w:val="28"/>
              <w:szCs w:val="28"/>
            </w:rPr>
            <w:t>Contents</w:t>
          </w:r>
        </w:p>
        <w:p w14:paraId="046CD35C" w14:textId="02698C59" w:rsidR="00E03EE3" w:rsidRPr="003915E9" w:rsidRDefault="00E03EE3" w:rsidP="003915E9">
          <w:pPr>
            <w:pStyle w:val="TOC6"/>
            <w:rPr>
              <w:rFonts w:eastAsiaTheme="minorEastAsia" w:cstheme="minorBidi"/>
              <w:noProof/>
              <w:sz w:val="22"/>
              <w:szCs w:val="22"/>
              <w:lang w:eastAsia="en-GB"/>
            </w:rPr>
          </w:pPr>
          <w:r w:rsidRPr="003915E9">
            <w:rPr>
              <w:sz w:val="22"/>
              <w:szCs w:val="22"/>
            </w:rPr>
            <w:fldChar w:fldCharType="begin"/>
          </w:r>
          <w:r w:rsidRPr="003915E9">
            <w:rPr>
              <w:sz w:val="22"/>
              <w:szCs w:val="22"/>
            </w:rPr>
            <w:instrText xml:space="preserve"> TOC \o \h \z \u </w:instrText>
          </w:r>
          <w:r w:rsidRPr="003915E9">
            <w:rPr>
              <w:sz w:val="22"/>
              <w:szCs w:val="22"/>
            </w:rPr>
            <w:fldChar w:fldCharType="separate"/>
          </w:r>
        </w:p>
        <w:p w14:paraId="5A449B17" w14:textId="7E2230A9" w:rsidR="00E03EE3" w:rsidRPr="00107331" w:rsidRDefault="00A36734" w:rsidP="003915E9">
          <w:pPr>
            <w:pStyle w:val="TOC1"/>
            <w:rPr>
              <w:rFonts w:eastAsiaTheme="minorEastAsia" w:cstheme="minorBidi"/>
              <w:sz w:val="22"/>
              <w:szCs w:val="22"/>
              <w:lang w:eastAsia="en-GB"/>
            </w:rPr>
          </w:pPr>
          <w:hyperlink w:anchor="_Toc462575243" w:history="1">
            <w:r w:rsidR="00E03EE3" w:rsidRPr="00107331">
              <w:rPr>
                <w:rStyle w:val="Hyperlink"/>
                <w:caps w:val="0"/>
                <w:sz w:val="22"/>
                <w:szCs w:val="22"/>
              </w:rPr>
              <w:t>I. Declaration</w:t>
            </w:r>
            <w:r w:rsidR="00E03EE3" w:rsidRPr="00107331">
              <w:rPr>
                <w:webHidden/>
                <w:sz w:val="22"/>
                <w:szCs w:val="22"/>
              </w:rPr>
              <w:tab/>
            </w:r>
            <w:r w:rsidR="00E03EE3" w:rsidRPr="00107331">
              <w:rPr>
                <w:webHidden/>
                <w:sz w:val="22"/>
                <w:szCs w:val="22"/>
              </w:rPr>
              <w:fldChar w:fldCharType="begin"/>
            </w:r>
            <w:r w:rsidR="00E03EE3" w:rsidRPr="00107331">
              <w:rPr>
                <w:webHidden/>
                <w:sz w:val="22"/>
                <w:szCs w:val="22"/>
              </w:rPr>
              <w:instrText xml:space="preserve"> PAGEREF _Toc462575243 \h </w:instrText>
            </w:r>
            <w:r w:rsidR="00E03EE3" w:rsidRPr="00107331">
              <w:rPr>
                <w:webHidden/>
                <w:sz w:val="22"/>
                <w:szCs w:val="22"/>
              </w:rPr>
            </w:r>
            <w:r w:rsidR="00E03EE3" w:rsidRPr="00107331">
              <w:rPr>
                <w:webHidden/>
                <w:sz w:val="22"/>
                <w:szCs w:val="22"/>
              </w:rPr>
              <w:fldChar w:fldCharType="separate"/>
            </w:r>
            <w:r w:rsidR="00302AD3">
              <w:rPr>
                <w:webHidden/>
                <w:sz w:val="22"/>
                <w:szCs w:val="22"/>
              </w:rPr>
              <w:t>i</w:t>
            </w:r>
            <w:r w:rsidR="00E03EE3" w:rsidRPr="00107331">
              <w:rPr>
                <w:webHidden/>
                <w:sz w:val="22"/>
                <w:szCs w:val="22"/>
              </w:rPr>
              <w:fldChar w:fldCharType="end"/>
            </w:r>
          </w:hyperlink>
        </w:p>
        <w:p w14:paraId="14FEB68C" w14:textId="77777777" w:rsidR="00E03EE3" w:rsidRPr="00107331" w:rsidRDefault="00A36734" w:rsidP="003915E9">
          <w:pPr>
            <w:pStyle w:val="TOC1"/>
            <w:rPr>
              <w:rFonts w:eastAsiaTheme="minorEastAsia" w:cstheme="minorBidi"/>
              <w:sz w:val="22"/>
              <w:szCs w:val="22"/>
              <w:lang w:eastAsia="en-GB"/>
            </w:rPr>
          </w:pPr>
          <w:hyperlink w:anchor="_Toc462575244" w:history="1">
            <w:r w:rsidR="00E03EE3" w:rsidRPr="00107331">
              <w:rPr>
                <w:rStyle w:val="Hyperlink"/>
                <w:caps w:val="0"/>
                <w:sz w:val="22"/>
                <w:szCs w:val="22"/>
              </w:rPr>
              <w:t>II. List of figures</w:t>
            </w:r>
            <w:r w:rsidR="00E03EE3" w:rsidRPr="00107331">
              <w:rPr>
                <w:webHidden/>
                <w:sz w:val="22"/>
                <w:szCs w:val="22"/>
              </w:rPr>
              <w:tab/>
            </w:r>
            <w:r w:rsidR="00E03EE3" w:rsidRPr="00107331">
              <w:rPr>
                <w:webHidden/>
                <w:sz w:val="22"/>
                <w:szCs w:val="22"/>
              </w:rPr>
              <w:fldChar w:fldCharType="begin"/>
            </w:r>
            <w:r w:rsidR="00E03EE3" w:rsidRPr="00107331">
              <w:rPr>
                <w:webHidden/>
                <w:sz w:val="22"/>
                <w:szCs w:val="22"/>
              </w:rPr>
              <w:instrText xml:space="preserve"> PAGEREF _Toc462575244 \h </w:instrText>
            </w:r>
            <w:r w:rsidR="00E03EE3" w:rsidRPr="00107331">
              <w:rPr>
                <w:webHidden/>
                <w:sz w:val="22"/>
                <w:szCs w:val="22"/>
              </w:rPr>
            </w:r>
            <w:r w:rsidR="00E03EE3" w:rsidRPr="00107331">
              <w:rPr>
                <w:webHidden/>
                <w:sz w:val="22"/>
                <w:szCs w:val="22"/>
              </w:rPr>
              <w:fldChar w:fldCharType="separate"/>
            </w:r>
            <w:r w:rsidR="00302AD3">
              <w:rPr>
                <w:webHidden/>
                <w:sz w:val="22"/>
                <w:szCs w:val="22"/>
              </w:rPr>
              <w:t>ii</w:t>
            </w:r>
            <w:r w:rsidR="00E03EE3" w:rsidRPr="00107331">
              <w:rPr>
                <w:webHidden/>
                <w:sz w:val="22"/>
                <w:szCs w:val="22"/>
              </w:rPr>
              <w:fldChar w:fldCharType="end"/>
            </w:r>
          </w:hyperlink>
        </w:p>
        <w:p w14:paraId="0AADCFA3" w14:textId="77777777" w:rsidR="00E03EE3" w:rsidRPr="00107331" w:rsidRDefault="00A36734" w:rsidP="003915E9">
          <w:pPr>
            <w:pStyle w:val="TOC1"/>
            <w:rPr>
              <w:rFonts w:eastAsiaTheme="minorEastAsia" w:cstheme="minorBidi"/>
              <w:sz w:val="22"/>
              <w:szCs w:val="22"/>
              <w:lang w:eastAsia="en-GB"/>
            </w:rPr>
          </w:pPr>
          <w:hyperlink w:anchor="_Toc462575245" w:history="1">
            <w:r w:rsidR="00E03EE3" w:rsidRPr="00107331">
              <w:rPr>
                <w:rStyle w:val="Hyperlink"/>
                <w:caps w:val="0"/>
                <w:sz w:val="22"/>
                <w:szCs w:val="22"/>
              </w:rPr>
              <w:t>III. List of tables</w:t>
            </w:r>
            <w:r w:rsidR="00E03EE3" w:rsidRPr="00107331">
              <w:rPr>
                <w:webHidden/>
                <w:sz w:val="22"/>
                <w:szCs w:val="22"/>
              </w:rPr>
              <w:tab/>
            </w:r>
            <w:r w:rsidR="00E03EE3" w:rsidRPr="00107331">
              <w:rPr>
                <w:webHidden/>
                <w:sz w:val="22"/>
                <w:szCs w:val="22"/>
              </w:rPr>
              <w:fldChar w:fldCharType="begin"/>
            </w:r>
            <w:r w:rsidR="00E03EE3" w:rsidRPr="00107331">
              <w:rPr>
                <w:webHidden/>
                <w:sz w:val="22"/>
                <w:szCs w:val="22"/>
              </w:rPr>
              <w:instrText xml:space="preserve"> PAGEREF _Toc462575245 \h </w:instrText>
            </w:r>
            <w:r w:rsidR="00E03EE3" w:rsidRPr="00107331">
              <w:rPr>
                <w:webHidden/>
                <w:sz w:val="22"/>
                <w:szCs w:val="22"/>
              </w:rPr>
            </w:r>
            <w:r w:rsidR="00E03EE3" w:rsidRPr="00107331">
              <w:rPr>
                <w:webHidden/>
                <w:sz w:val="22"/>
                <w:szCs w:val="22"/>
              </w:rPr>
              <w:fldChar w:fldCharType="separate"/>
            </w:r>
            <w:r w:rsidR="00302AD3">
              <w:rPr>
                <w:webHidden/>
                <w:sz w:val="22"/>
                <w:szCs w:val="22"/>
              </w:rPr>
              <w:t>v</w:t>
            </w:r>
            <w:r w:rsidR="00E03EE3" w:rsidRPr="00107331">
              <w:rPr>
                <w:webHidden/>
                <w:sz w:val="22"/>
                <w:szCs w:val="22"/>
              </w:rPr>
              <w:fldChar w:fldCharType="end"/>
            </w:r>
          </w:hyperlink>
        </w:p>
        <w:p w14:paraId="49034B39" w14:textId="77777777" w:rsidR="00E03EE3" w:rsidRPr="00107331" w:rsidRDefault="00A36734" w:rsidP="003915E9">
          <w:pPr>
            <w:pStyle w:val="TOC1"/>
            <w:rPr>
              <w:rFonts w:eastAsiaTheme="minorEastAsia" w:cstheme="minorBidi"/>
              <w:sz w:val="22"/>
              <w:szCs w:val="22"/>
              <w:lang w:eastAsia="en-GB"/>
            </w:rPr>
          </w:pPr>
          <w:hyperlink w:anchor="_Toc462575246" w:history="1">
            <w:r w:rsidR="00E03EE3" w:rsidRPr="00107331">
              <w:rPr>
                <w:rStyle w:val="Hyperlink"/>
                <w:caps w:val="0"/>
                <w:sz w:val="22"/>
                <w:szCs w:val="22"/>
              </w:rPr>
              <w:t>IV. List of abbreviations</w:t>
            </w:r>
            <w:r w:rsidR="00E03EE3" w:rsidRPr="00107331">
              <w:rPr>
                <w:webHidden/>
                <w:sz w:val="22"/>
                <w:szCs w:val="22"/>
              </w:rPr>
              <w:tab/>
            </w:r>
            <w:r w:rsidR="00E03EE3" w:rsidRPr="00107331">
              <w:rPr>
                <w:webHidden/>
                <w:sz w:val="22"/>
                <w:szCs w:val="22"/>
              </w:rPr>
              <w:fldChar w:fldCharType="begin"/>
            </w:r>
            <w:r w:rsidR="00E03EE3" w:rsidRPr="00107331">
              <w:rPr>
                <w:webHidden/>
                <w:sz w:val="22"/>
                <w:szCs w:val="22"/>
              </w:rPr>
              <w:instrText xml:space="preserve"> PAGEREF _Toc462575246 \h </w:instrText>
            </w:r>
            <w:r w:rsidR="00E03EE3" w:rsidRPr="00107331">
              <w:rPr>
                <w:webHidden/>
                <w:sz w:val="22"/>
                <w:szCs w:val="22"/>
              </w:rPr>
            </w:r>
            <w:r w:rsidR="00E03EE3" w:rsidRPr="00107331">
              <w:rPr>
                <w:webHidden/>
                <w:sz w:val="22"/>
                <w:szCs w:val="22"/>
              </w:rPr>
              <w:fldChar w:fldCharType="separate"/>
            </w:r>
            <w:r w:rsidR="00302AD3">
              <w:rPr>
                <w:webHidden/>
                <w:sz w:val="22"/>
                <w:szCs w:val="22"/>
              </w:rPr>
              <w:t>vi</w:t>
            </w:r>
            <w:r w:rsidR="00E03EE3" w:rsidRPr="00107331">
              <w:rPr>
                <w:webHidden/>
                <w:sz w:val="22"/>
                <w:szCs w:val="22"/>
              </w:rPr>
              <w:fldChar w:fldCharType="end"/>
            </w:r>
          </w:hyperlink>
        </w:p>
        <w:p w14:paraId="1E69AD97" w14:textId="77777777" w:rsidR="00E03EE3" w:rsidRPr="00107331" w:rsidRDefault="00A36734" w:rsidP="003915E9">
          <w:pPr>
            <w:pStyle w:val="TOC1"/>
            <w:rPr>
              <w:rFonts w:eastAsiaTheme="minorEastAsia" w:cstheme="minorBidi"/>
              <w:sz w:val="22"/>
              <w:szCs w:val="22"/>
              <w:lang w:eastAsia="en-GB"/>
            </w:rPr>
          </w:pPr>
          <w:hyperlink w:anchor="_Toc462575247" w:history="1">
            <w:r w:rsidR="00E03EE3" w:rsidRPr="00107331">
              <w:rPr>
                <w:rStyle w:val="Hyperlink"/>
                <w:caps w:val="0"/>
                <w:sz w:val="22"/>
                <w:szCs w:val="22"/>
              </w:rPr>
              <w:t>V. Acknowledgements</w:t>
            </w:r>
            <w:r w:rsidR="00E03EE3" w:rsidRPr="00107331">
              <w:rPr>
                <w:webHidden/>
                <w:sz w:val="22"/>
                <w:szCs w:val="22"/>
              </w:rPr>
              <w:tab/>
            </w:r>
            <w:r w:rsidR="00E03EE3" w:rsidRPr="00107331">
              <w:rPr>
                <w:webHidden/>
                <w:sz w:val="22"/>
                <w:szCs w:val="22"/>
              </w:rPr>
              <w:fldChar w:fldCharType="begin"/>
            </w:r>
            <w:r w:rsidR="00E03EE3" w:rsidRPr="00107331">
              <w:rPr>
                <w:webHidden/>
                <w:sz w:val="22"/>
                <w:szCs w:val="22"/>
              </w:rPr>
              <w:instrText xml:space="preserve"> PAGEREF _Toc462575247 \h </w:instrText>
            </w:r>
            <w:r w:rsidR="00E03EE3" w:rsidRPr="00107331">
              <w:rPr>
                <w:webHidden/>
                <w:sz w:val="22"/>
                <w:szCs w:val="22"/>
              </w:rPr>
            </w:r>
            <w:r w:rsidR="00E03EE3" w:rsidRPr="00107331">
              <w:rPr>
                <w:webHidden/>
                <w:sz w:val="22"/>
                <w:szCs w:val="22"/>
              </w:rPr>
              <w:fldChar w:fldCharType="separate"/>
            </w:r>
            <w:r w:rsidR="00302AD3">
              <w:rPr>
                <w:webHidden/>
                <w:sz w:val="22"/>
                <w:szCs w:val="22"/>
              </w:rPr>
              <w:t>viii</w:t>
            </w:r>
            <w:r w:rsidR="00E03EE3" w:rsidRPr="00107331">
              <w:rPr>
                <w:webHidden/>
                <w:sz w:val="22"/>
                <w:szCs w:val="22"/>
              </w:rPr>
              <w:fldChar w:fldCharType="end"/>
            </w:r>
          </w:hyperlink>
        </w:p>
        <w:p w14:paraId="57353233" w14:textId="77777777" w:rsidR="00E03EE3" w:rsidRPr="00107331" w:rsidRDefault="00A36734" w:rsidP="003915E9">
          <w:pPr>
            <w:pStyle w:val="TOC1"/>
            <w:rPr>
              <w:rFonts w:eastAsiaTheme="minorEastAsia" w:cstheme="minorBidi"/>
              <w:sz w:val="22"/>
              <w:szCs w:val="22"/>
              <w:lang w:eastAsia="en-GB"/>
            </w:rPr>
          </w:pPr>
          <w:hyperlink w:anchor="_Toc462575248" w:history="1">
            <w:r w:rsidR="00E03EE3" w:rsidRPr="00107331">
              <w:rPr>
                <w:rStyle w:val="Hyperlink"/>
                <w:caps w:val="0"/>
                <w:sz w:val="22"/>
                <w:szCs w:val="22"/>
              </w:rPr>
              <w:t>VI. List of publications</w:t>
            </w:r>
            <w:r w:rsidR="00E03EE3" w:rsidRPr="00107331">
              <w:rPr>
                <w:webHidden/>
                <w:sz w:val="22"/>
                <w:szCs w:val="22"/>
              </w:rPr>
              <w:tab/>
            </w:r>
            <w:r w:rsidR="00E03EE3" w:rsidRPr="00107331">
              <w:rPr>
                <w:webHidden/>
                <w:sz w:val="22"/>
                <w:szCs w:val="22"/>
              </w:rPr>
              <w:fldChar w:fldCharType="begin"/>
            </w:r>
            <w:r w:rsidR="00E03EE3" w:rsidRPr="00107331">
              <w:rPr>
                <w:webHidden/>
                <w:sz w:val="22"/>
                <w:szCs w:val="22"/>
              </w:rPr>
              <w:instrText xml:space="preserve"> PAGEREF _Toc462575248 \h </w:instrText>
            </w:r>
            <w:r w:rsidR="00E03EE3" w:rsidRPr="00107331">
              <w:rPr>
                <w:webHidden/>
                <w:sz w:val="22"/>
                <w:szCs w:val="22"/>
              </w:rPr>
            </w:r>
            <w:r w:rsidR="00E03EE3" w:rsidRPr="00107331">
              <w:rPr>
                <w:webHidden/>
                <w:sz w:val="22"/>
                <w:szCs w:val="22"/>
              </w:rPr>
              <w:fldChar w:fldCharType="separate"/>
            </w:r>
            <w:r w:rsidR="00302AD3">
              <w:rPr>
                <w:webHidden/>
                <w:sz w:val="22"/>
                <w:szCs w:val="22"/>
              </w:rPr>
              <w:t>ix</w:t>
            </w:r>
            <w:r w:rsidR="00E03EE3" w:rsidRPr="00107331">
              <w:rPr>
                <w:webHidden/>
                <w:sz w:val="22"/>
                <w:szCs w:val="22"/>
              </w:rPr>
              <w:fldChar w:fldCharType="end"/>
            </w:r>
          </w:hyperlink>
        </w:p>
        <w:p w14:paraId="0C58C882" w14:textId="77777777" w:rsidR="00E03EE3" w:rsidRPr="00107331" w:rsidRDefault="00A36734" w:rsidP="003915E9">
          <w:pPr>
            <w:pStyle w:val="TOC1"/>
            <w:rPr>
              <w:rFonts w:eastAsiaTheme="minorEastAsia" w:cstheme="minorBidi"/>
              <w:sz w:val="22"/>
              <w:szCs w:val="22"/>
              <w:lang w:eastAsia="en-GB"/>
            </w:rPr>
          </w:pPr>
          <w:hyperlink w:anchor="_Toc462575250" w:history="1">
            <w:r w:rsidR="00E03EE3" w:rsidRPr="00107331">
              <w:rPr>
                <w:rStyle w:val="Hyperlink"/>
                <w:caps w:val="0"/>
                <w:sz w:val="22"/>
                <w:szCs w:val="22"/>
              </w:rPr>
              <w:t>VII. Abstract</w:t>
            </w:r>
            <w:r w:rsidR="00E03EE3" w:rsidRPr="00107331">
              <w:rPr>
                <w:webHidden/>
                <w:sz w:val="22"/>
                <w:szCs w:val="22"/>
              </w:rPr>
              <w:tab/>
            </w:r>
            <w:r w:rsidR="00E03EE3" w:rsidRPr="00107331">
              <w:rPr>
                <w:webHidden/>
                <w:sz w:val="22"/>
                <w:szCs w:val="22"/>
              </w:rPr>
              <w:fldChar w:fldCharType="begin"/>
            </w:r>
            <w:r w:rsidR="00E03EE3" w:rsidRPr="00107331">
              <w:rPr>
                <w:webHidden/>
                <w:sz w:val="22"/>
                <w:szCs w:val="22"/>
              </w:rPr>
              <w:instrText xml:space="preserve"> PAGEREF _Toc462575250 \h </w:instrText>
            </w:r>
            <w:r w:rsidR="00E03EE3" w:rsidRPr="00107331">
              <w:rPr>
                <w:webHidden/>
                <w:sz w:val="22"/>
                <w:szCs w:val="22"/>
              </w:rPr>
            </w:r>
            <w:r w:rsidR="00E03EE3" w:rsidRPr="00107331">
              <w:rPr>
                <w:webHidden/>
                <w:sz w:val="22"/>
                <w:szCs w:val="22"/>
              </w:rPr>
              <w:fldChar w:fldCharType="separate"/>
            </w:r>
            <w:r w:rsidR="00302AD3">
              <w:rPr>
                <w:webHidden/>
                <w:sz w:val="22"/>
                <w:szCs w:val="22"/>
              </w:rPr>
              <w:t>x</w:t>
            </w:r>
            <w:r w:rsidR="00E03EE3" w:rsidRPr="00107331">
              <w:rPr>
                <w:webHidden/>
                <w:sz w:val="22"/>
                <w:szCs w:val="22"/>
              </w:rPr>
              <w:fldChar w:fldCharType="end"/>
            </w:r>
          </w:hyperlink>
        </w:p>
        <w:p w14:paraId="4510E371" w14:textId="53848F23" w:rsidR="00E03EE3" w:rsidRPr="003915E9" w:rsidRDefault="00A36734" w:rsidP="003915E9">
          <w:pPr>
            <w:pStyle w:val="TOC2"/>
            <w:rPr>
              <w:rFonts w:eastAsiaTheme="minorEastAsia" w:cstheme="minorBidi"/>
            </w:rPr>
          </w:pPr>
          <w:hyperlink w:anchor="_Toc462575251" w:history="1">
            <w:r w:rsidR="00E03EE3" w:rsidRPr="003915E9">
              <w:rPr>
                <w:rStyle w:val="Hyperlink"/>
              </w:rPr>
              <w:t>Chapter 1</w:t>
            </w:r>
            <w:r w:rsidR="003915E9" w:rsidRPr="003915E9">
              <w:rPr>
                <w:rStyle w:val="Hyperlink"/>
              </w:rPr>
              <w:t>: Introduction</w:t>
            </w:r>
            <w:r w:rsidR="00E03EE3" w:rsidRPr="003915E9">
              <w:rPr>
                <w:webHidden/>
              </w:rPr>
              <w:tab/>
            </w:r>
            <w:r w:rsidR="00E03EE3" w:rsidRPr="003915E9">
              <w:rPr>
                <w:webHidden/>
              </w:rPr>
              <w:fldChar w:fldCharType="begin"/>
            </w:r>
            <w:r w:rsidR="00E03EE3" w:rsidRPr="003915E9">
              <w:rPr>
                <w:webHidden/>
              </w:rPr>
              <w:instrText xml:space="preserve"> PAGEREF _Toc462575251 \h </w:instrText>
            </w:r>
            <w:r w:rsidR="00E03EE3" w:rsidRPr="003915E9">
              <w:rPr>
                <w:webHidden/>
              </w:rPr>
            </w:r>
            <w:r w:rsidR="00E03EE3" w:rsidRPr="003915E9">
              <w:rPr>
                <w:webHidden/>
              </w:rPr>
              <w:fldChar w:fldCharType="separate"/>
            </w:r>
            <w:r w:rsidR="00302AD3">
              <w:rPr>
                <w:webHidden/>
              </w:rPr>
              <w:t>1</w:t>
            </w:r>
            <w:r w:rsidR="00E03EE3" w:rsidRPr="003915E9">
              <w:rPr>
                <w:webHidden/>
              </w:rPr>
              <w:fldChar w:fldCharType="end"/>
            </w:r>
          </w:hyperlink>
        </w:p>
        <w:p w14:paraId="6E474F95" w14:textId="77777777" w:rsidR="00E03EE3" w:rsidRPr="003915E9" w:rsidRDefault="00A36734" w:rsidP="003915E9">
          <w:pPr>
            <w:pStyle w:val="TOC1"/>
            <w:rPr>
              <w:rFonts w:eastAsiaTheme="minorEastAsia" w:cstheme="minorBidi"/>
              <w:sz w:val="22"/>
              <w:szCs w:val="22"/>
              <w:lang w:eastAsia="en-GB"/>
            </w:rPr>
          </w:pPr>
          <w:hyperlink w:anchor="_Toc462575254" w:history="1">
            <w:r w:rsidR="00E03EE3" w:rsidRPr="003915E9">
              <w:rPr>
                <w:rStyle w:val="Hyperlink"/>
                <w:caps w:val="0"/>
                <w:sz w:val="22"/>
                <w:szCs w:val="22"/>
                <w:lang w:eastAsia="en-GB"/>
              </w:rPr>
              <w:t>1.1. Domestic wastewater: global challenges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_Toc462575254 \h </w:instrText>
            </w:r>
            <w:r w:rsidR="00E03EE3" w:rsidRPr="003915E9">
              <w:rPr>
                <w:webHidden/>
                <w:sz w:val="22"/>
                <w:szCs w:val="22"/>
              </w:rPr>
            </w:r>
            <w:r w:rsidR="00E03EE3" w:rsidRPr="003915E9">
              <w:rPr>
                <w:webHidden/>
                <w:sz w:val="22"/>
                <w:szCs w:val="22"/>
              </w:rPr>
              <w:fldChar w:fldCharType="separate"/>
            </w:r>
            <w:r w:rsidR="00302AD3">
              <w:rPr>
                <w:webHidden/>
                <w:sz w:val="22"/>
                <w:szCs w:val="22"/>
              </w:rPr>
              <w:t>1</w:t>
            </w:r>
            <w:r w:rsidR="00E03EE3" w:rsidRPr="003915E9">
              <w:rPr>
                <w:webHidden/>
                <w:sz w:val="22"/>
                <w:szCs w:val="22"/>
              </w:rPr>
              <w:fldChar w:fldCharType="end"/>
            </w:r>
          </w:hyperlink>
        </w:p>
        <w:p w14:paraId="40C50888" w14:textId="77777777" w:rsidR="00E03EE3" w:rsidRPr="003915E9" w:rsidRDefault="00A36734" w:rsidP="003915E9">
          <w:pPr>
            <w:pStyle w:val="TOC1"/>
            <w:rPr>
              <w:rFonts w:eastAsiaTheme="minorEastAsia" w:cstheme="minorBidi"/>
              <w:sz w:val="22"/>
              <w:szCs w:val="22"/>
              <w:lang w:eastAsia="en-GB"/>
            </w:rPr>
          </w:pPr>
          <w:hyperlink w:anchor="_Toc462575255" w:history="1">
            <w:r w:rsidR="00E03EE3" w:rsidRPr="003915E9">
              <w:rPr>
                <w:rStyle w:val="Hyperlink"/>
                <w:caps w:val="0"/>
                <w:sz w:val="22"/>
                <w:szCs w:val="22"/>
                <w:lang w:eastAsia="en-GB"/>
              </w:rPr>
              <w:t>1.2. Anaerobic digestion: opportunities and challenges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_Toc462575255 \h </w:instrText>
            </w:r>
            <w:r w:rsidR="00E03EE3" w:rsidRPr="003915E9">
              <w:rPr>
                <w:webHidden/>
                <w:sz w:val="22"/>
                <w:szCs w:val="22"/>
              </w:rPr>
            </w:r>
            <w:r w:rsidR="00E03EE3" w:rsidRPr="003915E9">
              <w:rPr>
                <w:webHidden/>
                <w:sz w:val="22"/>
                <w:szCs w:val="22"/>
              </w:rPr>
              <w:fldChar w:fldCharType="separate"/>
            </w:r>
            <w:r w:rsidR="00302AD3">
              <w:rPr>
                <w:webHidden/>
                <w:sz w:val="22"/>
                <w:szCs w:val="22"/>
              </w:rPr>
              <w:t>2</w:t>
            </w:r>
            <w:r w:rsidR="00E03EE3" w:rsidRPr="003915E9">
              <w:rPr>
                <w:webHidden/>
                <w:sz w:val="22"/>
                <w:szCs w:val="22"/>
              </w:rPr>
              <w:fldChar w:fldCharType="end"/>
            </w:r>
          </w:hyperlink>
        </w:p>
        <w:p w14:paraId="61E5178E" w14:textId="77777777" w:rsidR="00E03EE3" w:rsidRPr="003915E9" w:rsidRDefault="00A36734" w:rsidP="003915E9">
          <w:pPr>
            <w:pStyle w:val="TOC1"/>
            <w:rPr>
              <w:rFonts w:eastAsiaTheme="minorEastAsia" w:cstheme="minorBidi"/>
              <w:sz w:val="22"/>
              <w:szCs w:val="22"/>
              <w:lang w:eastAsia="en-GB"/>
            </w:rPr>
          </w:pPr>
          <w:hyperlink w:anchor="_Toc462575256" w:history="1">
            <w:r w:rsidR="00E03EE3" w:rsidRPr="003915E9">
              <w:rPr>
                <w:rStyle w:val="Hyperlink"/>
                <w:caps w:val="0"/>
                <w:sz w:val="22"/>
                <w:szCs w:val="22"/>
                <w:lang w:eastAsia="en-GB"/>
              </w:rPr>
              <w:t xml:space="preserve">1.3. Opportunities for </w:t>
            </w:r>
            <w:r w:rsidR="00E03EE3" w:rsidRPr="003915E9">
              <w:rPr>
                <w:rStyle w:val="Hyperlink"/>
                <w:i/>
                <w:caps w:val="0"/>
                <w:sz w:val="22"/>
                <w:szCs w:val="22"/>
                <w:lang w:eastAsia="en-GB"/>
              </w:rPr>
              <w:t xml:space="preserve">Methanosarcina </w:t>
            </w:r>
            <w:r w:rsidR="00E03EE3" w:rsidRPr="003915E9">
              <w:rPr>
                <w:rStyle w:val="Hyperlink"/>
                <w:caps w:val="0"/>
                <w:sz w:val="22"/>
                <w:szCs w:val="22"/>
                <w:lang w:eastAsia="en-GB"/>
              </w:rPr>
              <w:t>in anaerobic digestion</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_Toc462575256 \h </w:instrText>
            </w:r>
            <w:r w:rsidR="00E03EE3" w:rsidRPr="003915E9">
              <w:rPr>
                <w:webHidden/>
                <w:sz w:val="22"/>
                <w:szCs w:val="22"/>
              </w:rPr>
            </w:r>
            <w:r w:rsidR="00E03EE3" w:rsidRPr="003915E9">
              <w:rPr>
                <w:webHidden/>
                <w:sz w:val="22"/>
                <w:szCs w:val="22"/>
              </w:rPr>
              <w:fldChar w:fldCharType="separate"/>
            </w:r>
            <w:r w:rsidR="00302AD3">
              <w:rPr>
                <w:webHidden/>
                <w:sz w:val="22"/>
                <w:szCs w:val="22"/>
              </w:rPr>
              <w:t>3</w:t>
            </w:r>
            <w:r w:rsidR="00E03EE3" w:rsidRPr="003915E9">
              <w:rPr>
                <w:webHidden/>
                <w:sz w:val="22"/>
                <w:szCs w:val="22"/>
              </w:rPr>
              <w:fldChar w:fldCharType="end"/>
            </w:r>
          </w:hyperlink>
        </w:p>
        <w:p w14:paraId="2CC58DBC" w14:textId="77777777" w:rsidR="00E03EE3" w:rsidRPr="003915E9" w:rsidRDefault="00A36734" w:rsidP="003915E9">
          <w:pPr>
            <w:pStyle w:val="TOC1"/>
            <w:rPr>
              <w:rFonts w:eastAsiaTheme="minorEastAsia" w:cstheme="minorBidi"/>
              <w:sz w:val="22"/>
              <w:szCs w:val="22"/>
              <w:lang w:eastAsia="en-GB"/>
            </w:rPr>
          </w:pPr>
          <w:hyperlink w:anchor="_Toc462575257" w:history="1">
            <w:r w:rsidR="00E03EE3" w:rsidRPr="003915E9">
              <w:rPr>
                <w:rStyle w:val="Hyperlink"/>
                <w:caps w:val="0"/>
                <w:sz w:val="22"/>
                <w:szCs w:val="22"/>
                <w:lang w:eastAsia="en-GB"/>
              </w:rPr>
              <w:t>1.4. Research objectives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_Toc462575257 \h </w:instrText>
            </w:r>
            <w:r w:rsidR="00E03EE3" w:rsidRPr="003915E9">
              <w:rPr>
                <w:webHidden/>
                <w:sz w:val="22"/>
                <w:szCs w:val="22"/>
              </w:rPr>
            </w:r>
            <w:r w:rsidR="00E03EE3" w:rsidRPr="003915E9">
              <w:rPr>
                <w:webHidden/>
                <w:sz w:val="22"/>
                <w:szCs w:val="22"/>
              </w:rPr>
              <w:fldChar w:fldCharType="separate"/>
            </w:r>
            <w:r w:rsidR="00302AD3">
              <w:rPr>
                <w:webHidden/>
                <w:sz w:val="22"/>
                <w:szCs w:val="22"/>
              </w:rPr>
              <w:t>4</w:t>
            </w:r>
            <w:r w:rsidR="00E03EE3" w:rsidRPr="003915E9">
              <w:rPr>
                <w:webHidden/>
                <w:sz w:val="22"/>
                <w:szCs w:val="22"/>
              </w:rPr>
              <w:fldChar w:fldCharType="end"/>
            </w:r>
          </w:hyperlink>
        </w:p>
        <w:p w14:paraId="31DB3565" w14:textId="38992BE2" w:rsidR="00E03EE3" w:rsidRPr="003915E9" w:rsidRDefault="00A36734" w:rsidP="003915E9">
          <w:pPr>
            <w:pStyle w:val="TOC2"/>
            <w:rPr>
              <w:rFonts w:eastAsiaTheme="minorEastAsia" w:cstheme="minorBidi"/>
            </w:rPr>
          </w:pPr>
          <w:hyperlink w:anchor="_Toc462575258" w:history="1">
            <w:r w:rsidR="00E03EE3" w:rsidRPr="003915E9">
              <w:rPr>
                <w:rStyle w:val="Hyperlink"/>
              </w:rPr>
              <w:t>Chapter 2</w:t>
            </w:r>
            <w:r w:rsidR="003915E9" w:rsidRPr="003915E9">
              <w:rPr>
                <w:rStyle w:val="Hyperlink"/>
              </w:rPr>
              <w:t>: Literature Review</w:t>
            </w:r>
            <w:r w:rsidR="00E03EE3" w:rsidRPr="003915E9">
              <w:rPr>
                <w:webHidden/>
              </w:rPr>
              <w:tab/>
            </w:r>
            <w:r w:rsidR="00E03EE3" w:rsidRPr="003915E9">
              <w:rPr>
                <w:webHidden/>
              </w:rPr>
              <w:fldChar w:fldCharType="begin"/>
            </w:r>
            <w:r w:rsidR="00E03EE3" w:rsidRPr="003915E9">
              <w:rPr>
                <w:webHidden/>
              </w:rPr>
              <w:instrText xml:space="preserve"> PAGEREF _Toc462575258 \h </w:instrText>
            </w:r>
            <w:r w:rsidR="00E03EE3" w:rsidRPr="003915E9">
              <w:rPr>
                <w:webHidden/>
              </w:rPr>
            </w:r>
            <w:r w:rsidR="00E03EE3" w:rsidRPr="003915E9">
              <w:rPr>
                <w:webHidden/>
              </w:rPr>
              <w:fldChar w:fldCharType="separate"/>
            </w:r>
            <w:r w:rsidR="00302AD3">
              <w:rPr>
                <w:webHidden/>
              </w:rPr>
              <w:t>6</w:t>
            </w:r>
            <w:r w:rsidR="00E03EE3" w:rsidRPr="003915E9">
              <w:rPr>
                <w:webHidden/>
              </w:rPr>
              <w:fldChar w:fldCharType="end"/>
            </w:r>
          </w:hyperlink>
        </w:p>
        <w:p w14:paraId="22F13092" w14:textId="77777777" w:rsidR="00E03EE3" w:rsidRPr="003915E9" w:rsidRDefault="00A36734" w:rsidP="003915E9">
          <w:pPr>
            <w:pStyle w:val="TOC1"/>
            <w:rPr>
              <w:rFonts w:eastAsiaTheme="minorEastAsia" w:cstheme="minorBidi"/>
              <w:sz w:val="22"/>
              <w:szCs w:val="22"/>
              <w:lang w:eastAsia="en-GB"/>
            </w:rPr>
          </w:pPr>
          <w:hyperlink w:anchor="_Toc462575260" w:history="1">
            <w:r w:rsidR="00E03EE3" w:rsidRPr="003915E9">
              <w:rPr>
                <w:rStyle w:val="Hyperlink"/>
                <w:caps w:val="0"/>
                <w:sz w:val="22"/>
                <w:szCs w:val="22"/>
              </w:rPr>
              <w:t>2.1. Microbiology of anaerobic digestion</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_Toc462575260 \h </w:instrText>
            </w:r>
            <w:r w:rsidR="00E03EE3" w:rsidRPr="003915E9">
              <w:rPr>
                <w:webHidden/>
                <w:sz w:val="22"/>
                <w:szCs w:val="22"/>
              </w:rPr>
            </w:r>
            <w:r w:rsidR="00E03EE3" w:rsidRPr="003915E9">
              <w:rPr>
                <w:webHidden/>
                <w:sz w:val="22"/>
                <w:szCs w:val="22"/>
              </w:rPr>
              <w:fldChar w:fldCharType="separate"/>
            </w:r>
            <w:r w:rsidR="00302AD3">
              <w:rPr>
                <w:webHidden/>
                <w:sz w:val="22"/>
                <w:szCs w:val="22"/>
              </w:rPr>
              <w:t>6</w:t>
            </w:r>
            <w:r w:rsidR="00E03EE3" w:rsidRPr="003915E9">
              <w:rPr>
                <w:webHidden/>
                <w:sz w:val="22"/>
                <w:szCs w:val="22"/>
              </w:rPr>
              <w:fldChar w:fldCharType="end"/>
            </w:r>
          </w:hyperlink>
        </w:p>
        <w:p w14:paraId="19E114ED" w14:textId="77777777" w:rsidR="00E03EE3" w:rsidRPr="003915E9" w:rsidRDefault="00A36734" w:rsidP="003915E9">
          <w:pPr>
            <w:pStyle w:val="TOC1"/>
            <w:rPr>
              <w:rFonts w:eastAsiaTheme="minorEastAsia" w:cstheme="minorBidi"/>
              <w:sz w:val="22"/>
              <w:szCs w:val="22"/>
              <w:lang w:eastAsia="en-GB"/>
            </w:rPr>
          </w:pPr>
          <w:hyperlink w:anchor="_Toc462575261" w:history="1">
            <w:r w:rsidR="00E03EE3" w:rsidRPr="003915E9">
              <w:rPr>
                <w:rStyle w:val="Hyperlink"/>
                <w:caps w:val="0"/>
                <w:sz w:val="22"/>
                <w:szCs w:val="22"/>
              </w:rPr>
              <w:t>2.2. Methanogenesis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_Toc462575261 \h </w:instrText>
            </w:r>
            <w:r w:rsidR="00E03EE3" w:rsidRPr="003915E9">
              <w:rPr>
                <w:webHidden/>
                <w:sz w:val="22"/>
                <w:szCs w:val="22"/>
              </w:rPr>
            </w:r>
            <w:r w:rsidR="00E03EE3" w:rsidRPr="003915E9">
              <w:rPr>
                <w:webHidden/>
                <w:sz w:val="22"/>
                <w:szCs w:val="22"/>
              </w:rPr>
              <w:fldChar w:fldCharType="separate"/>
            </w:r>
            <w:r w:rsidR="00302AD3">
              <w:rPr>
                <w:webHidden/>
                <w:sz w:val="22"/>
                <w:szCs w:val="22"/>
              </w:rPr>
              <w:t>9</w:t>
            </w:r>
            <w:r w:rsidR="00E03EE3" w:rsidRPr="003915E9">
              <w:rPr>
                <w:webHidden/>
                <w:sz w:val="22"/>
                <w:szCs w:val="22"/>
              </w:rPr>
              <w:fldChar w:fldCharType="end"/>
            </w:r>
          </w:hyperlink>
        </w:p>
        <w:p w14:paraId="6AEC914D" w14:textId="77777777" w:rsidR="00E03EE3" w:rsidRPr="003915E9" w:rsidRDefault="00A36734" w:rsidP="003915E9">
          <w:pPr>
            <w:pStyle w:val="TOC6"/>
            <w:rPr>
              <w:rFonts w:eastAsiaTheme="minorEastAsia" w:cstheme="minorBidi"/>
              <w:i/>
              <w:noProof/>
              <w:sz w:val="22"/>
              <w:szCs w:val="22"/>
              <w:lang w:eastAsia="en-GB"/>
            </w:rPr>
          </w:pPr>
          <w:hyperlink w:anchor="_Toc462575262" w:history="1">
            <w:r w:rsidR="00E03EE3" w:rsidRPr="003915E9">
              <w:rPr>
                <w:rStyle w:val="Hyperlink"/>
                <w:rFonts w:eastAsia="Arial" w:cs="Arial"/>
                <w:i/>
                <w:noProof/>
                <w:sz w:val="22"/>
                <w:szCs w:val="22"/>
                <w:lang w:eastAsia="en-GB"/>
              </w:rPr>
              <w:t xml:space="preserve">2.2.1. </w:t>
            </w:r>
            <w:r w:rsidR="00E03EE3" w:rsidRPr="003915E9">
              <w:rPr>
                <w:rStyle w:val="Hyperlink"/>
                <w:rFonts w:eastAsia="Calibri"/>
                <w:i/>
                <w:noProof/>
                <w:sz w:val="22"/>
                <w:szCs w:val="22"/>
                <w:lang w:eastAsia="en-GB"/>
              </w:rPr>
              <w:t>Methanosarcina: a key methanogen in anaerobic digestion</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_Toc462575262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13</w:t>
            </w:r>
            <w:r w:rsidR="00E03EE3" w:rsidRPr="003915E9">
              <w:rPr>
                <w:i/>
                <w:noProof/>
                <w:webHidden/>
                <w:sz w:val="22"/>
                <w:szCs w:val="22"/>
              </w:rPr>
              <w:fldChar w:fldCharType="end"/>
            </w:r>
          </w:hyperlink>
        </w:p>
        <w:p w14:paraId="108F2293" w14:textId="77777777" w:rsidR="00E03EE3" w:rsidRPr="003915E9" w:rsidRDefault="00A36734" w:rsidP="003915E9">
          <w:pPr>
            <w:pStyle w:val="TOC1"/>
            <w:rPr>
              <w:rFonts w:eastAsiaTheme="minorEastAsia" w:cstheme="minorBidi"/>
              <w:sz w:val="22"/>
              <w:szCs w:val="22"/>
              <w:lang w:eastAsia="en-GB"/>
            </w:rPr>
          </w:pPr>
          <w:hyperlink w:anchor="_Toc462575263" w:history="1">
            <w:r w:rsidR="00E03EE3" w:rsidRPr="003915E9">
              <w:rPr>
                <w:rStyle w:val="Hyperlink"/>
                <w:caps w:val="0"/>
                <w:sz w:val="22"/>
                <w:szCs w:val="22"/>
                <w:lang w:eastAsia="en-GB"/>
              </w:rPr>
              <w:t>2.3. Methanogenic biofilms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_Toc462575263 \h </w:instrText>
            </w:r>
            <w:r w:rsidR="00E03EE3" w:rsidRPr="003915E9">
              <w:rPr>
                <w:webHidden/>
                <w:sz w:val="22"/>
                <w:szCs w:val="22"/>
              </w:rPr>
            </w:r>
            <w:r w:rsidR="00E03EE3" w:rsidRPr="003915E9">
              <w:rPr>
                <w:webHidden/>
                <w:sz w:val="22"/>
                <w:szCs w:val="22"/>
              </w:rPr>
              <w:fldChar w:fldCharType="separate"/>
            </w:r>
            <w:r w:rsidR="00302AD3">
              <w:rPr>
                <w:webHidden/>
                <w:sz w:val="22"/>
                <w:szCs w:val="22"/>
              </w:rPr>
              <w:t>16</w:t>
            </w:r>
            <w:r w:rsidR="00E03EE3" w:rsidRPr="003915E9">
              <w:rPr>
                <w:webHidden/>
                <w:sz w:val="22"/>
                <w:szCs w:val="22"/>
              </w:rPr>
              <w:fldChar w:fldCharType="end"/>
            </w:r>
          </w:hyperlink>
        </w:p>
        <w:p w14:paraId="5E2E0E95" w14:textId="77777777" w:rsidR="00E03EE3" w:rsidRPr="003915E9" w:rsidRDefault="00A36734" w:rsidP="003915E9">
          <w:pPr>
            <w:pStyle w:val="TOC6"/>
            <w:rPr>
              <w:rFonts w:eastAsiaTheme="minorEastAsia" w:cstheme="minorBidi"/>
              <w:noProof/>
              <w:sz w:val="22"/>
              <w:szCs w:val="22"/>
              <w:lang w:eastAsia="en-GB"/>
            </w:rPr>
          </w:pPr>
          <w:hyperlink w:anchor="_Toc462575264" w:history="1">
            <w:r w:rsidR="00E03EE3" w:rsidRPr="003915E9">
              <w:rPr>
                <w:rStyle w:val="Hyperlink"/>
                <w:rFonts w:eastAsia="Calibri"/>
                <w:noProof/>
                <w:sz w:val="22"/>
                <w:szCs w:val="22"/>
              </w:rPr>
              <w:t>2.3.1. Initial adhesion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_Toc462575264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19</w:t>
            </w:r>
            <w:r w:rsidR="00E03EE3" w:rsidRPr="003915E9">
              <w:rPr>
                <w:noProof/>
                <w:webHidden/>
                <w:sz w:val="22"/>
                <w:szCs w:val="22"/>
              </w:rPr>
              <w:fldChar w:fldCharType="end"/>
            </w:r>
          </w:hyperlink>
        </w:p>
        <w:p w14:paraId="27F25846" w14:textId="77777777" w:rsidR="00E03EE3" w:rsidRPr="003915E9" w:rsidRDefault="00A36734" w:rsidP="003915E9">
          <w:pPr>
            <w:pStyle w:val="TOC6"/>
            <w:rPr>
              <w:rFonts w:eastAsiaTheme="minorEastAsia" w:cstheme="minorBidi"/>
              <w:noProof/>
              <w:sz w:val="22"/>
              <w:szCs w:val="22"/>
              <w:lang w:eastAsia="en-GB"/>
            </w:rPr>
          </w:pPr>
          <w:hyperlink w:anchor="_Toc462575265" w:history="1">
            <w:r w:rsidR="00E03EE3" w:rsidRPr="003915E9">
              <w:rPr>
                <w:rStyle w:val="Hyperlink"/>
                <w:rFonts w:eastAsia="Calibri"/>
                <w:noProof/>
                <w:sz w:val="22"/>
                <w:szCs w:val="22"/>
                <w:lang w:eastAsia="en-GB"/>
              </w:rPr>
              <w:t>2.3.2. Irreversible adhesion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_Toc462575265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21</w:t>
            </w:r>
            <w:r w:rsidR="00E03EE3" w:rsidRPr="003915E9">
              <w:rPr>
                <w:noProof/>
                <w:webHidden/>
                <w:sz w:val="22"/>
                <w:szCs w:val="22"/>
              </w:rPr>
              <w:fldChar w:fldCharType="end"/>
            </w:r>
          </w:hyperlink>
        </w:p>
        <w:p w14:paraId="17314FB9" w14:textId="77777777" w:rsidR="00E03EE3" w:rsidRPr="003915E9" w:rsidRDefault="00A36734" w:rsidP="003915E9">
          <w:pPr>
            <w:pStyle w:val="TOC1"/>
            <w:rPr>
              <w:rFonts w:eastAsiaTheme="minorEastAsia" w:cstheme="minorBidi"/>
              <w:sz w:val="22"/>
              <w:szCs w:val="22"/>
              <w:lang w:eastAsia="en-GB"/>
            </w:rPr>
          </w:pPr>
          <w:hyperlink w:anchor="_Toc462575266" w:history="1">
            <w:r w:rsidR="00E03EE3" w:rsidRPr="003915E9">
              <w:rPr>
                <w:rStyle w:val="Hyperlink"/>
                <w:caps w:val="0"/>
                <w:sz w:val="22"/>
                <w:szCs w:val="22"/>
                <w:lang w:eastAsia="en-GB"/>
              </w:rPr>
              <w:t>2.4. Selective immobilisation of methanogens onto support material</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_Toc462575266 \h </w:instrText>
            </w:r>
            <w:r w:rsidR="00E03EE3" w:rsidRPr="003915E9">
              <w:rPr>
                <w:webHidden/>
                <w:sz w:val="22"/>
                <w:szCs w:val="22"/>
              </w:rPr>
            </w:r>
            <w:r w:rsidR="00E03EE3" w:rsidRPr="003915E9">
              <w:rPr>
                <w:webHidden/>
                <w:sz w:val="22"/>
                <w:szCs w:val="22"/>
              </w:rPr>
              <w:fldChar w:fldCharType="separate"/>
            </w:r>
            <w:r w:rsidR="00302AD3">
              <w:rPr>
                <w:webHidden/>
                <w:sz w:val="22"/>
                <w:szCs w:val="22"/>
              </w:rPr>
              <w:t>22</w:t>
            </w:r>
            <w:r w:rsidR="00E03EE3" w:rsidRPr="003915E9">
              <w:rPr>
                <w:webHidden/>
                <w:sz w:val="22"/>
                <w:szCs w:val="22"/>
              </w:rPr>
              <w:fldChar w:fldCharType="end"/>
            </w:r>
          </w:hyperlink>
        </w:p>
        <w:p w14:paraId="59CC1AF6" w14:textId="77777777" w:rsidR="00E03EE3" w:rsidRPr="003915E9" w:rsidRDefault="00A36734" w:rsidP="003915E9">
          <w:pPr>
            <w:pStyle w:val="TOC1"/>
            <w:rPr>
              <w:rFonts w:eastAsiaTheme="minorEastAsia" w:cstheme="minorBidi"/>
              <w:sz w:val="22"/>
              <w:szCs w:val="22"/>
              <w:lang w:eastAsia="en-GB"/>
            </w:rPr>
          </w:pPr>
          <w:hyperlink w:anchor="_Toc462575267" w:history="1">
            <w:r w:rsidR="00E03EE3" w:rsidRPr="003915E9">
              <w:rPr>
                <w:rStyle w:val="Hyperlink"/>
                <w:caps w:val="0"/>
                <w:sz w:val="22"/>
                <w:szCs w:val="22"/>
                <w:lang w:eastAsia="en-GB"/>
              </w:rPr>
              <w:t>2.5. Current biofilm research methods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_Toc462575267 \h </w:instrText>
            </w:r>
            <w:r w:rsidR="00E03EE3" w:rsidRPr="003915E9">
              <w:rPr>
                <w:webHidden/>
                <w:sz w:val="22"/>
                <w:szCs w:val="22"/>
              </w:rPr>
            </w:r>
            <w:r w:rsidR="00E03EE3" w:rsidRPr="003915E9">
              <w:rPr>
                <w:webHidden/>
                <w:sz w:val="22"/>
                <w:szCs w:val="22"/>
              </w:rPr>
              <w:fldChar w:fldCharType="separate"/>
            </w:r>
            <w:r w:rsidR="00302AD3">
              <w:rPr>
                <w:webHidden/>
                <w:sz w:val="22"/>
                <w:szCs w:val="22"/>
              </w:rPr>
              <w:t>24</w:t>
            </w:r>
            <w:r w:rsidR="00E03EE3" w:rsidRPr="003915E9">
              <w:rPr>
                <w:webHidden/>
                <w:sz w:val="22"/>
                <w:szCs w:val="22"/>
              </w:rPr>
              <w:fldChar w:fldCharType="end"/>
            </w:r>
          </w:hyperlink>
        </w:p>
        <w:p w14:paraId="06333666" w14:textId="77777777" w:rsidR="00E03EE3" w:rsidRPr="003915E9" w:rsidRDefault="00A36734" w:rsidP="003915E9">
          <w:pPr>
            <w:pStyle w:val="TOC6"/>
            <w:rPr>
              <w:rFonts w:eastAsiaTheme="minorEastAsia" w:cstheme="minorBidi"/>
              <w:noProof/>
              <w:sz w:val="22"/>
              <w:szCs w:val="22"/>
              <w:lang w:eastAsia="en-GB"/>
            </w:rPr>
          </w:pPr>
          <w:hyperlink w:anchor="_Toc462575268" w:history="1">
            <w:r w:rsidR="00E03EE3" w:rsidRPr="003915E9">
              <w:rPr>
                <w:rStyle w:val="Hyperlink"/>
                <w:rFonts w:eastAsia="Calibri"/>
                <w:noProof/>
                <w:sz w:val="22"/>
                <w:szCs w:val="22"/>
                <w:lang w:eastAsia="en-GB"/>
              </w:rPr>
              <w:t>2.5.1. Examining initial reversible adhesion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_Toc462575268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24</w:t>
            </w:r>
            <w:r w:rsidR="00E03EE3" w:rsidRPr="003915E9">
              <w:rPr>
                <w:noProof/>
                <w:webHidden/>
                <w:sz w:val="22"/>
                <w:szCs w:val="22"/>
              </w:rPr>
              <w:fldChar w:fldCharType="end"/>
            </w:r>
          </w:hyperlink>
        </w:p>
        <w:p w14:paraId="75BA9129" w14:textId="77777777" w:rsidR="00E03EE3" w:rsidRPr="003915E9" w:rsidRDefault="00A36734" w:rsidP="003915E9">
          <w:pPr>
            <w:pStyle w:val="TOC7"/>
            <w:rPr>
              <w:rFonts w:eastAsiaTheme="minorEastAsia" w:cstheme="minorBidi"/>
              <w:i/>
              <w:noProof/>
              <w:sz w:val="22"/>
              <w:szCs w:val="22"/>
              <w:lang w:eastAsia="en-GB"/>
            </w:rPr>
          </w:pPr>
          <w:hyperlink w:anchor="_Toc462575269" w:history="1">
            <w:r w:rsidR="00E03EE3" w:rsidRPr="003915E9">
              <w:rPr>
                <w:rStyle w:val="Hyperlink"/>
                <w:rFonts w:eastAsia="Cambria"/>
                <w:i/>
                <w:noProof/>
                <w:sz w:val="22"/>
                <w:szCs w:val="22"/>
                <w:lang w:eastAsia="en-GB"/>
              </w:rPr>
              <w:t>2.5.1.1. Surface functional groups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_Toc462575269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25</w:t>
            </w:r>
            <w:r w:rsidR="00E03EE3" w:rsidRPr="003915E9">
              <w:rPr>
                <w:i/>
                <w:noProof/>
                <w:webHidden/>
                <w:sz w:val="22"/>
                <w:szCs w:val="22"/>
              </w:rPr>
              <w:fldChar w:fldCharType="end"/>
            </w:r>
          </w:hyperlink>
        </w:p>
        <w:p w14:paraId="115FD53F" w14:textId="77777777" w:rsidR="00E03EE3" w:rsidRPr="003915E9" w:rsidRDefault="00A36734" w:rsidP="003915E9">
          <w:pPr>
            <w:pStyle w:val="TOC7"/>
            <w:rPr>
              <w:rFonts w:eastAsiaTheme="minorEastAsia" w:cstheme="minorBidi"/>
              <w:i/>
              <w:noProof/>
              <w:sz w:val="22"/>
              <w:szCs w:val="22"/>
              <w:lang w:eastAsia="en-GB"/>
            </w:rPr>
          </w:pPr>
          <w:hyperlink w:anchor="_Toc462575270" w:history="1">
            <w:r w:rsidR="00E03EE3" w:rsidRPr="003915E9">
              <w:rPr>
                <w:rStyle w:val="Hyperlink"/>
                <w:rFonts w:eastAsia="Cambria"/>
                <w:i/>
                <w:noProof/>
                <w:sz w:val="22"/>
                <w:szCs w:val="22"/>
              </w:rPr>
              <w:t>2.5.1.2. Surface elemental chemical composition</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_Toc462575270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27</w:t>
            </w:r>
            <w:r w:rsidR="00E03EE3" w:rsidRPr="003915E9">
              <w:rPr>
                <w:i/>
                <w:noProof/>
                <w:webHidden/>
                <w:sz w:val="22"/>
                <w:szCs w:val="22"/>
              </w:rPr>
              <w:fldChar w:fldCharType="end"/>
            </w:r>
          </w:hyperlink>
        </w:p>
        <w:p w14:paraId="24849566" w14:textId="77777777" w:rsidR="00E03EE3" w:rsidRPr="003915E9" w:rsidRDefault="00A36734" w:rsidP="003915E9">
          <w:pPr>
            <w:pStyle w:val="TOC7"/>
            <w:rPr>
              <w:rFonts w:eastAsiaTheme="minorEastAsia" w:cstheme="minorBidi"/>
              <w:i/>
              <w:noProof/>
              <w:sz w:val="22"/>
              <w:szCs w:val="22"/>
              <w:lang w:eastAsia="en-GB"/>
            </w:rPr>
          </w:pPr>
          <w:hyperlink w:anchor="_Toc462575271" w:history="1">
            <w:r w:rsidR="00E03EE3" w:rsidRPr="003915E9">
              <w:rPr>
                <w:rStyle w:val="Hyperlink"/>
                <w:rFonts w:eastAsia="Cambria"/>
                <w:i/>
                <w:noProof/>
                <w:sz w:val="22"/>
                <w:szCs w:val="22"/>
              </w:rPr>
              <w:t>2.5.1.3. Zeta potential analysis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_Toc462575271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28</w:t>
            </w:r>
            <w:r w:rsidR="00E03EE3" w:rsidRPr="003915E9">
              <w:rPr>
                <w:i/>
                <w:noProof/>
                <w:webHidden/>
                <w:sz w:val="22"/>
                <w:szCs w:val="22"/>
              </w:rPr>
              <w:fldChar w:fldCharType="end"/>
            </w:r>
          </w:hyperlink>
        </w:p>
        <w:p w14:paraId="0D6436C9" w14:textId="77777777" w:rsidR="00E03EE3" w:rsidRPr="003915E9" w:rsidRDefault="00A36734" w:rsidP="003915E9">
          <w:pPr>
            <w:pStyle w:val="TOC7"/>
            <w:rPr>
              <w:rFonts w:eastAsiaTheme="minorEastAsia" w:cstheme="minorBidi"/>
              <w:i/>
              <w:noProof/>
              <w:sz w:val="22"/>
              <w:szCs w:val="22"/>
              <w:lang w:eastAsia="en-GB"/>
            </w:rPr>
          </w:pPr>
          <w:hyperlink w:anchor="_Toc462575272" w:history="1">
            <w:r w:rsidR="00E03EE3" w:rsidRPr="003915E9">
              <w:rPr>
                <w:rStyle w:val="Hyperlink"/>
                <w:rFonts w:eastAsia="Cambria"/>
                <w:i/>
                <w:noProof/>
                <w:sz w:val="22"/>
                <w:szCs w:val="22"/>
              </w:rPr>
              <w:t>2.5.1.4. Surface free energy</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_Toc462575272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30</w:t>
            </w:r>
            <w:r w:rsidR="00E03EE3" w:rsidRPr="003915E9">
              <w:rPr>
                <w:i/>
                <w:noProof/>
                <w:webHidden/>
                <w:sz w:val="22"/>
                <w:szCs w:val="22"/>
              </w:rPr>
              <w:fldChar w:fldCharType="end"/>
            </w:r>
          </w:hyperlink>
        </w:p>
        <w:p w14:paraId="5896707E" w14:textId="77777777" w:rsidR="00E03EE3" w:rsidRPr="003915E9" w:rsidRDefault="00A36734" w:rsidP="003915E9">
          <w:pPr>
            <w:pStyle w:val="TOC6"/>
            <w:rPr>
              <w:rFonts w:eastAsiaTheme="minorEastAsia" w:cstheme="minorBidi"/>
              <w:noProof/>
              <w:sz w:val="22"/>
              <w:szCs w:val="22"/>
              <w:lang w:eastAsia="en-GB"/>
            </w:rPr>
          </w:pPr>
          <w:hyperlink w:anchor="_Toc462575273" w:history="1">
            <w:r w:rsidR="00E03EE3" w:rsidRPr="003915E9">
              <w:rPr>
                <w:rStyle w:val="Hyperlink"/>
                <w:rFonts w:eastAsia="Calibri"/>
                <w:noProof/>
                <w:sz w:val="22"/>
                <w:szCs w:val="22"/>
              </w:rPr>
              <w:t>2.5.2. Modelling initial adhesion - DLVO model</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_Toc462575273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31</w:t>
            </w:r>
            <w:r w:rsidR="00E03EE3" w:rsidRPr="003915E9">
              <w:rPr>
                <w:noProof/>
                <w:webHidden/>
                <w:sz w:val="22"/>
                <w:szCs w:val="22"/>
              </w:rPr>
              <w:fldChar w:fldCharType="end"/>
            </w:r>
          </w:hyperlink>
        </w:p>
        <w:p w14:paraId="1E6689D0" w14:textId="77777777" w:rsidR="00E03EE3" w:rsidRPr="003915E9" w:rsidRDefault="00A36734" w:rsidP="003915E9">
          <w:pPr>
            <w:pStyle w:val="TOC6"/>
            <w:rPr>
              <w:rFonts w:eastAsiaTheme="minorEastAsia" w:cstheme="minorBidi"/>
              <w:noProof/>
              <w:sz w:val="22"/>
              <w:szCs w:val="22"/>
              <w:lang w:eastAsia="en-GB"/>
            </w:rPr>
          </w:pPr>
          <w:hyperlink w:anchor="_Toc462575274" w:history="1">
            <w:r w:rsidR="00E03EE3" w:rsidRPr="003915E9">
              <w:rPr>
                <w:rStyle w:val="Hyperlink"/>
                <w:rFonts w:eastAsia="Calibri"/>
                <w:noProof/>
                <w:sz w:val="22"/>
                <w:szCs w:val="22"/>
              </w:rPr>
              <w:t>2.5.3. Examining secondary irreversible adhesion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_Toc462575274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34</w:t>
            </w:r>
            <w:r w:rsidR="00E03EE3" w:rsidRPr="003915E9">
              <w:rPr>
                <w:noProof/>
                <w:webHidden/>
                <w:sz w:val="22"/>
                <w:szCs w:val="22"/>
              </w:rPr>
              <w:fldChar w:fldCharType="end"/>
            </w:r>
          </w:hyperlink>
        </w:p>
        <w:p w14:paraId="5EC1A396" w14:textId="59B1550F" w:rsidR="00E03EE3" w:rsidRPr="003915E9" w:rsidRDefault="00A36734" w:rsidP="003915E9">
          <w:pPr>
            <w:pStyle w:val="TOC7"/>
            <w:rPr>
              <w:rFonts w:eastAsiaTheme="minorEastAsia" w:cstheme="minorBidi"/>
              <w:i/>
              <w:noProof/>
              <w:sz w:val="22"/>
              <w:szCs w:val="22"/>
              <w:lang w:eastAsia="en-GB"/>
            </w:rPr>
          </w:pPr>
          <w:hyperlink w:anchor="_Toc462575275" w:history="1">
            <w:r w:rsidR="00E03EE3" w:rsidRPr="003915E9">
              <w:rPr>
                <w:rStyle w:val="Hyperlink"/>
                <w:rFonts w:eastAsia="Calibri" w:cs="Calibri"/>
                <w:i/>
                <w:noProof/>
                <w:sz w:val="22"/>
                <w:szCs w:val="22"/>
                <w:lang w:eastAsia="en-GB"/>
              </w:rPr>
              <w:t xml:space="preserve">2.5.3.1. Extracellular analysis - </w:t>
            </w:r>
            <w:r w:rsidR="00E03EE3" w:rsidRPr="003915E9">
              <w:rPr>
                <w:rStyle w:val="Hyperlink"/>
                <w:rFonts w:eastAsia="Cambria"/>
                <w:i/>
                <w:noProof/>
                <w:sz w:val="22"/>
                <w:szCs w:val="22"/>
                <w:lang w:eastAsia="en-GB"/>
              </w:rPr>
              <w:t>Adenosine triphosphate (ATP) assay</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_Toc462575275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34</w:t>
            </w:r>
            <w:r w:rsidR="00E03EE3" w:rsidRPr="003915E9">
              <w:rPr>
                <w:i/>
                <w:noProof/>
                <w:webHidden/>
                <w:sz w:val="22"/>
                <w:szCs w:val="22"/>
              </w:rPr>
              <w:fldChar w:fldCharType="end"/>
            </w:r>
          </w:hyperlink>
        </w:p>
        <w:p w14:paraId="45ADA615" w14:textId="77777777" w:rsidR="00E03EE3" w:rsidRPr="003915E9" w:rsidRDefault="00A36734" w:rsidP="003915E9">
          <w:pPr>
            <w:pStyle w:val="TOC7"/>
            <w:rPr>
              <w:rFonts w:eastAsiaTheme="minorEastAsia" w:cstheme="minorBidi"/>
              <w:i/>
              <w:noProof/>
              <w:sz w:val="22"/>
              <w:szCs w:val="22"/>
              <w:lang w:eastAsia="en-GB"/>
            </w:rPr>
          </w:pPr>
          <w:hyperlink w:anchor="_Toc462575276" w:history="1">
            <w:r w:rsidR="00E03EE3" w:rsidRPr="003915E9">
              <w:rPr>
                <w:rStyle w:val="Hyperlink"/>
                <w:rFonts w:eastAsia="Cambria"/>
                <w:i/>
                <w:noProof/>
                <w:sz w:val="22"/>
                <w:szCs w:val="22"/>
              </w:rPr>
              <w:t>2.5.3.2. Extracellular analysis - Crystal violet assay</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_Toc462575276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35</w:t>
            </w:r>
            <w:r w:rsidR="00E03EE3" w:rsidRPr="003915E9">
              <w:rPr>
                <w:i/>
                <w:noProof/>
                <w:webHidden/>
                <w:sz w:val="22"/>
                <w:szCs w:val="22"/>
              </w:rPr>
              <w:fldChar w:fldCharType="end"/>
            </w:r>
          </w:hyperlink>
        </w:p>
        <w:p w14:paraId="31C93F62" w14:textId="77777777" w:rsidR="00E03EE3" w:rsidRPr="003915E9" w:rsidRDefault="00A36734" w:rsidP="003915E9">
          <w:pPr>
            <w:pStyle w:val="TOC7"/>
            <w:rPr>
              <w:rFonts w:eastAsiaTheme="minorEastAsia" w:cstheme="minorBidi"/>
              <w:i/>
              <w:noProof/>
              <w:sz w:val="22"/>
              <w:szCs w:val="22"/>
              <w:lang w:eastAsia="en-GB"/>
            </w:rPr>
          </w:pPr>
          <w:hyperlink w:anchor="_Toc462575277" w:history="1">
            <w:r w:rsidR="00E03EE3" w:rsidRPr="003915E9">
              <w:rPr>
                <w:rStyle w:val="Hyperlink"/>
                <w:rFonts w:eastAsia="Cambria"/>
                <w:i/>
                <w:noProof/>
                <w:sz w:val="22"/>
                <w:szCs w:val="22"/>
              </w:rPr>
              <w:t>2.5.3.3. Extracellular analysis - Microscopy</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_Toc462575277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35</w:t>
            </w:r>
            <w:r w:rsidR="00E03EE3" w:rsidRPr="003915E9">
              <w:rPr>
                <w:i/>
                <w:noProof/>
                <w:webHidden/>
                <w:sz w:val="22"/>
                <w:szCs w:val="22"/>
              </w:rPr>
              <w:fldChar w:fldCharType="end"/>
            </w:r>
          </w:hyperlink>
        </w:p>
        <w:p w14:paraId="10915E95" w14:textId="77777777" w:rsidR="00E03EE3" w:rsidRPr="003915E9" w:rsidRDefault="00A36734" w:rsidP="003915E9">
          <w:pPr>
            <w:pStyle w:val="TOC7"/>
            <w:rPr>
              <w:rFonts w:eastAsiaTheme="minorEastAsia" w:cstheme="minorBidi"/>
              <w:i/>
              <w:noProof/>
              <w:sz w:val="22"/>
              <w:szCs w:val="22"/>
              <w:lang w:eastAsia="en-GB"/>
            </w:rPr>
          </w:pPr>
          <w:hyperlink w:anchor="_Toc462575278" w:history="1">
            <w:r w:rsidR="00E03EE3" w:rsidRPr="003915E9">
              <w:rPr>
                <w:rStyle w:val="Hyperlink"/>
                <w:rFonts w:eastAsia="Cambria"/>
                <w:i/>
                <w:noProof/>
                <w:sz w:val="22"/>
                <w:szCs w:val="22"/>
                <w:lang w:eastAsia="en-GB"/>
              </w:rPr>
              <w:t>2.5.3.4. Intracellular analysis</w:t>
            </w:r>
            <w:r w:rsidR="00E03EE3" w:rsidRPr="003915E9">
              <w:rPr>
                <w:rStyle w:val="Hyperlink"/>
                <w:rFonts w:eastAsia="Arial" w:cs="Arial"/>
                <w:i/>
                <w:noProof/>
                <w:sz w:val="22"/>
                <w:szCs w:val="22"/>
                <w:lang w:eastAsia="en-GB"/>
              </w:rPr>
              <w:t xml:space="preserve"> - </w:t>
            </w:r>
            <w:r w:rsidR="00E03EE3" w:rsidRPr="003915E9">
              <w:rPr>
                <w:rStyle w:val="Hyperlink"/>
                <w:rFonts w:eastAsia="Cambria"/>
                <w:i/>
                <w:noProof/>
                <w:sz w:val="22"/>
                <w:szCs w:val="22"/>
                <w:lang w:eastAsia="en-GB"/>
              </w:rPr>
              <w:t>Proteomics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_Toc462575278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37</w:t>
            </w:r>
            <w:r w:rsidR="00E03EE3" w:rsidRPr="003915E9">
              <w:rPr>
                <w:i/>
                <w:noProof/>
                <w:webHidden/>
                <w:sz w:val="22"/>
                <w:szCs w:val="22"/>
              </w:rPr>
              <w:fldChar w:fldCharType="end"/>
            </w:r>
          </w:hyperlink>
        </w:p>
        <w:p w14:paraId="33E634A6" w14:textId="77777777" w:rsidR="00E03EE3" w:rsidRPr="003915E9" w:rsidRDefault="00A36734" w:rsidP="003915E9">
          <w:pPr>
            <w:pStyle w:val="TOC8"/>
            <w:rPr>
              <w:rFonts w:eastAsiaTheme="minorEastAsia" w:cstheme="minorBidi"/>
              <w:noProof/>
              <w:sz w:val="22"/>
              <w:szCs w:val="22"/>
              <w:lang w:eastAsia="en-GB"/>
            </w:rPr>
          </w:pPr>
          <w:hyperlink w:anchor="_Toc462575279" w:history="1">
            <w:r w:rsidR="00E03EE3" w:rsidRPr="003915E9">
              <w:rPr>
                <w:rStyle w:val="Hyperlink"/>
                <w:rFonts w:eastAsia="Cambria"/>
                <w:noProof/>
                <w:sz w:val="22"/>
                <w:szCs w:val="22"/>
                <w:lang w:eastAsia="en-GB"/>
              </w:rPr>
              <w:t>2.5.3.4.1. Protein extraction and fractionation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_Toc462575279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37</w:t>
            </w:r>
            <w:r w:rsidR="00E03EE3" w:rsidRPr="003915E9">
              <w:rPr>
                <w:noProof/>
                <w:webHidden/>
                <w:sz w:val="22"/>
                <w:szCs w:val="22"/>
              </w:rPr>
              <w:fldChar w:fldCharType="end"/>
            </w:r>
          </w:hyperlink>
        </w:p>
        <w:p w14:paraId="217E98D3" w14:textId="77777777" w:rsidR="00E03EE3" w:rsidRPr="003915E9" w:rsidRDefault="00A36734" w:rsidP="003915E9">
          <w:pPr>
            <w:pStyle w:val="TOC8"/>
            <w:rPr>
              <w:rFonts w:eastAsiaTheme="minorEastAsia" w:cstheme="minorBidi"/>
              <w:noProof/>
              <w:sz w:val="22"/>
              <w:szCs w:val="22"/>
              <w:lang w:eastAsia="en-GB"/>
            </w:rPr>
          </w:pPr>
          <w:hyperlink w:anchor="_Toc462575280" w:history="1">
            <w:r w:rsidR="00E03EE3" w:rsidRPr="003915E9">
              <w:rPr>
                <w:rStyle w:val="Hyperlink"/>
                <w:rFonts w:eastAsia="Cambria"/>
                <w:noProof/>
                <w:sz w:val="22"/>
                <w:szCs w:val="22"/>
                <w:lang w:eastAsia="en-GB"/>
              </w:rPr>
              <w:t>2.5.3.4.2. Protein digestion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_Toc462575280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39</w:t>
            </w:r>
            <w:r w:rsidR="00E03EE3" w:rsidRPr="003915E9">
              <w:rPr>
                <w:noProof/>
                <w:webHidden/>
                <w:sz w:val="22"/>
                <w:szCs w:val="22"/>
              </w:rPr>
              <w:fldChar w:fldCharType="end"/>
            </w:r>
          </w:hyperlink>
        </w:p>
        <w:p w14:paraId="10B9AC4C" w14:textId="77777777" w:rsidR="00E03EE3" w:rsidRPr="003915E9" w:rsidRDefault="00A36734" w:rsidP="003915E9">
          <w:pPr>
            <w:pStyle w:val="TOC8"/>
            <w:rPr>
              <w:rFonts w:eastAsiaTheme="minorEastAsia" w:cstheme="minorBidi"/>
              <w:noProof/>
              <w:sz w:val="22"/>
              <w:szCs w:val="22"/>
              <w:lang w:eastAsia="en-GB"/>
            </w:rPr>
          </w:pPr>
          <w:hyperlink w:anchor="_Toc462575281" w:history="1">
            <w:r w:rsidR="00E03EE3" w:rsidRPr="003915E9">
              <w:rPr>
                <w:rStyle w:val="Hyperlink"/>
                <w:rFonts w:eastAsia="Cambria"/>
                <w:noProof/>
                <w:sz w:val="22"/>
                <w:szCs w:val="22"/>
                <w:lang w:eastAsia="en-GB"/>
              </w:rPr>
              <w:t>2.5.3.4.3. Peptide separation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_Toc462575281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39</w:t>
            </w:r>
            <w:r w:rsidR="00E03EE3" w:rsidRPr="003915E9">
              <w:rPr>
                <w:noProof/>
                <w:webHidden/>
                <w:sz w:val="22"/>
                <w:szCs w:val="22"/>
              </w:rPr>
              <w:fldChar w:fldCharType="end"/>
            </w:r>
          </w:hyperlink>
        </w:p>
        <w:p w14:paraId="3E13AAB0" w14:textId="77777777" w:rsidR="00E03EE3" w:rsidRPr="003915E9" w:rsidRDefault="00A36734" w:rsidP="003915E9">
          <w:pPr>
            <w:pStyle w:val="TOC8"/>
            <w:rPr>
              <w:rFonts w:eastAsiaTheme="minorEastAsia" w:cstheme="minorBidi"/>
              <w:noProof/>
              <w:sz w:val="22"/>
              <w:szCs w:val="22"/>
              <w:lang w:eastAsia="en-GB"/>
            </w:rPr>
          </w:pPr>
          <w:hyperlink w:anchor="_Toc462575282" w:history="1">
            <w:r w:rsidR="00E03EE3" w:rsidRPr="003915E9">
              <w:rPr>
                <w:rStyle w:val="Hyperlink"/>
                <w:rFonts w:eastAsia="Cambria"/>
                <w:noProof/>
                <w:sz w:val="22"/>
                <w:szCs w:val="22"/>
                <w:lang w:eastAsia="en-GB"/>
              </w:rPr>
              <w:t>2.5.3.4.4. Mass spectrometry</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_Toc462575282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40</w:t>
            </w:r>
            <w:r w:rsidR="00E03EE3" w:rsidRPr="003915E9">
              <w:rPr>
                <w:noProof/>
                <w:webHidden/>
                <w:sz w:val="22"/>
                <w:szCs w:val="22"/>
              </w:rPr>
              <w:fldChar w:fldCharType="end"/>
            </w:r>
          </w:hyperlink>
        </w:p>
        <w:p w14:paraId="1387FBEE" w14:textId="77777777" w:rsidR="00E03EE3" w:rsidRPr="003915E9" w:rsidRDefault="00A36734" w:rsidP="003915E9">
          <w:pPr>
            <w:pStyle w:val="TOC8"/>
            <w:rPr>
              <w:rFonts w:eastAsiaTheme="minorEastAsia" w:cstheme="minorBidi"/>
              <w:noProof/>
              <w:sz w:val="22"/>
              <w:szCs w:val="22"/>
              <w:lang w:eastAsia="en-GB"/>
            </w:rPr>
          </w:pPr>
          <w:hyperlink w:anchor="_Toc462575283" w:history="1">
            <w:r w:rsidR="00E03EE3" w:rsidRPr="003915E9">
              <w:rPr>
                <w:rStyle w:val="Hyperlink"/>
                <w:rFonts w:eastAsia="Cambria"/>
                <w:noProof/>
                <w:sz w:val="22"/>
                <w:szCs w:val="22"/>
                <w:lang w:eastAsia="en-GB"/>
              </w:rPr>
              <w:t>2.5.3.4.5. iTRAQ quantification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_Toc462575283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41</w:t>
            </w:r>
            <w:r w:rsidR="00E03EE3" w:rsidRPr="003915E9">
              <w:rPr>
                <w:noProof/>
                <w:webHidden/>
                <w:sz w:val="22"/>
                <w:szCs w:val="22"/>
              </w:rPr>
              <w:fldChar w:fldCharType="end"/>
            </w:r>
          </w:hyperlink>
        </w:p>
        <w:p w14:paraId="62D892B4" w14:textId="77777777" w:rsidR="00E03EE3" w:rsidRPr="003915E9" w:rsidRDefault="00A36734" w:rsidP="003915E9">
          <w:pPr>
            <w:pStyle w:val="TOC8"/>
            <w:rPr>
              <w:rFonts w:eastAsiaTheme="minorEastAsia" w:cstheme="minorBidi"/>
              <w:noProof/>
              <w:sz w:val="22"/>
              <w:szCs w:val="22"/>
              <w:lang w:eastAsia="en-GB"/>
            </w:rPr>
          </w:pPr>
          <w:hyperlink w:anchor="_Toc462575284" w:history="1">
            <w:r w:rsidR="00E03EE3" w:rsidRPr="003915E9">
              <w:rPr>
                <w:rStyle w:val="Hyperlink"/>
                <w:rFonts w:eastAsia="Cambria"/>
                <w:noProof/>
                <w:sz w:val="22"/>
                <w:szCs w:val="22"/>
                <w:lang w:eastAsia="en-GB"/>
              </w:rPr>
              <w:t>2.5.3.4.6. Archaeal proteomics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_Toc462575284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42</w:t>
            </w:r>
            <w:r w:rsidR="00E03EE3" w:rsidRPr="003915E9">
              <w:rPr>
                <w:noProof/>
                <w:webHidden/>
                <w:sz w:val="22"/>
                <w:szCs w:val="22"/>
              </w:rPr>
              <w:fldChar w:fldCharType="end"/>
            </w:r>
          </w:hyperlink>
        </w:p>
        <w:p w14:paraId="2980FAE7" w14:textId="77777777" w:rsidR="00E03EE3" w:rsidRPr="003915E9" w:rsidRDefault="00A36734" w:rsidP="003915E9">
          <w:pPr>
            <w:pStyle w:val="TOC1"/>
            <w:rPr>
              <w:rFonts w:eastAsiaTheme="minorEastAsia" w:cstheme="minorBidi"/>
              <w:sz w:val="22"/>
              <w:szCs w:val="22"/>
              <w:lang w:eastAsia="en-GB"/>
            </w:rPr>
          </w:pPr>
          <w:hyperlink w:anchor="_Toc462575285" w:history="1">
            <w:r w:rsidR="00E03EE3" w:rsidRPr="003915E9">
              <w:rPr>
                <w:rStyle w:val="Hyperlink"/>
                <w:caps w:val="0"/>
                <w:sz w:val="22"/>
                <w:szCs w:val="22"/>
              </w:rPr>
              <w:t>2.5. Conclusions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_Toc462575285 \h </w:instrText>
            </w:r>
            <w:r w:rsidR="00E03EE3" w:rsidRPr="003915E9">
              <w:rPr>
                <w:webHidden/>
                <w:sz w:val="22"/>
                <w:szCs w:val="22"/>
              </w:rPr>
            </w:r>
            <w:r w:rsidR="00E03EE3" w:rsidRPr="003915E9">
              <w:rPr>
                <w:webHidden/>
                <w:sz w:val="22"/>
                <w:szCs w:val="22"/>
              </w:rPr>
              <w:fldChar w:fldCharType="separate"/>
            </w:r>
            <w:r w:rsidR="00302AD3">
              <w:rPr>
                <w:webHidden/>
                <w:sz w:val="22"/>
                <w:szCs w:val="22"/>
              </w:rPr>
              <w:t>43</w:t>
            </w:r>
            <w:r w:rsidR="00E03EE3" w:rsidRPr="003915E9">
              <w:rPr>
                <w:webHidden/>
                <w:sz w:val="22"/>
                <w:szCs w:val="22"/>
              </w:rPr>
              <w:fldChar w:fldCharType="end"/>
            </w:r>
          </w:hyperlink>
        </w:p>
        <w:p w14:paraId="54263EE4" w14:textId="6DCAE3E7" w:rsidR="00E03EE3" w:rsidRPr="003915E9" w:rsidRDefault="00A36734" w:rsidP="003915E9">
          <w:pPr>
            <w:pStyle w:val="TOC2"/>
            <w:rPr>
              <w:rFonts w:eastAsiaTheme="minorEastAsia" w:cstheme="minorBidi"/>
            </w:rPr>
          </w:pPr>
          <w:hyperlink w:anchor="_Toc462575286" w:history="1">
            <w:r w:rsidR="00E03EE3" w:rsidRPr="003915E9">
              <w:rPr>
                <w:rStyle w:val="Hyperlink"/>
                <w:lang w:eastAsia="zh-CN"/>
              </w:rPr>
              <w:t>Chapter 3</w:t>
            </w:r>
            <w:r w:rsidR="003915E9" w:rsidRPr="003915E9">
              <w:rPr>
                <w:rStyle w:val="Hyperlink"/>
                <w:lang w:eastAsia="zh-CN"/>
              </w:rPr>
              <w:t>: Physicochemical analysis of initial adhesion and biofilm formation of Methanosarcina barkeri on polymer support material</w:t>
            </w:r>
            <w:r w:rsidR="00E03EE3" w:rsidRPr="003915E9">
              <w:rPr>
                <w:webHidden/>
              </w:rPr>
              <w:tab/>
            </w:r>
            <w:r w:rsidR="00E03EE3" w:rsidRPr="003915E9">
              <w:rPr>
                <w:webHidden/>
              </w:rPr>
              <w:fldChar w:fldCharType="begin"/>
            </w:r>
            <w:r w:rsidR="00E03EE3" w:rsidRPr="003915E9">
              <w:rPr>
                <w:webHidden/>
              </w:rPr>
              <w:instrText xml:space="preserve"> PAGEREF _Toc462575286 \h </w:instrText>
            </w:r>
            <w:r w:rsidR="00E03EE3" w:rsidRPr="003915E9">
              <w:rPr>
                <w:webHidden/>
              </w:rPr>
            </w:r>
            <w:r w:rsidR="00E03EE3" w:rsidRPr="003915E9">
              <w:rPr>
                <w:webHidden/>
              </w:rPr>
              <w:fldChar w:fldCharType="separate"/>
            </w:r>
            <w:r w:rsidR="00302AD3">
              <w:rPr>
                <w:webHidden/>
              </w:rPr>
              <w:t>45</w:t>
            </w:r>
            <w:r w:rsidR="00E03EE3" w:rsidRPr="003915E9">
              <w:rPr>
                <w:webHidden/>
              </w:rPr>
              <w:fldChar w:fldCharType="end"/>
            </w:r>
          </w:hyperlink>
        </w:p>
        <w:p w14:paraId="0834B60D" w14:textId="77777777" w:rsidR="00E03EE3" w:rsidRPr="003915E9" w:rsidRDefault="00A36734" w:rsidP="003915E9">
          <w:pPr>
            <w:pStyle w:val="TOC1"/>
            <w:rPr>
              <w:rFonts w:eastAsiaTheme="minorEastAsia" w:cstheme="minorBidi"/>
              <w:b/>
              <w:sz w:val="22"/>
              <w:szCs w:val="22"/>
              <w:lang w:eastAsia="en-GB"/>
            </w:rPr>
          </w:pPr>
          <w:hyperlink w:anchor="_Toc462575288" w:history="1">
            <w:r w:rsidR="00E03EE3" w:rsidRPr="003915E9">
              <w:rPr>
                <w:rStyle w:val="Hyperlink"/>
                <w:caps w:val="0"/>
                <w:sz w:val="22"/>
                <w:szCs w:val="22"/>
                <w:lang w:eastAsia="zh-CN"/>
              </w:rPr>
              <w:t>3.1. Introduction</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_Toc462575288 \h </w:instrText>
            </w:r>
            <w:r w:rsidR="00E03EE3" w:rsidRPr="003915E9">
              <w:rPr>
                <w:webHidden/>
                <w:sz w:val="22"/>
                <w:szCs w:val="22"/>
              </w:rPr>
            </w:r>
            <w:r w:rsidR="00E03EE3" w:rsidRPr="003915E9">
              <w:rPr>
                <w:webHidden/>
                <w:sz w:val="22"/>
                <w:szCs w:val="22"/>
              </w:rPr>
              <w:fldChar w:fldCharType="separate"/>
            </w:r>
            <w:r w:rsidR="00302AD3">
              <w:rPr>
                <w:webHidden/>
                <w:sz w:val="22"/>
                <w:szCs w:val="22"/>
              </w:rPr>
              <w:t>45</w:t>
            </w:r>
            <w:r w:rsidR="00E03EE3" w:rsidRPr="003915E9">
              <w:rPr>
                <w:webHidden/>
                <w:sz w:val="22"/>
                <w:szCs w:val="22"/>
              </w:rPr>
              <w:fldChar w:fldCharType="end"/>
            </w:r>
          </w:hyperlink>
        </w:p>
        <w:p w14:paraId="6938CEFC" w14:textId="77777777" w:rsidR="00E03EE3" w:rsidRPr="003915E9" w:rsidRDefault="00A36734" w:rsidP="003915E9">
          <w:pPr>
            <w:pStyle w:val="TOC1"/>
            <w:rPr>
              <w:rFonts w:eastAsiaTheme="minorEastAsia" w:cstheme="minorBidi"/>
              <w:b/>
              <w:sz w:val="22"/>
              <w:szCs w:val="22"/>
              <w:lang w:eastAsia="en-GB"/>
            </w:rPr>
          </w:pPr>
          <w:hyperlink w:anchor="_Toc462575289" w:history="1">
            <w:r w:rsidR="00E03EE3" w:rsidRPr="003915E9">
              <w:rPr>
                <w:rStyle w:val="Hyperlink"/>
                <w:caps w:val="0"/>
                <w:sz w:val="22"/>
                <w:szCs w:val="22"/>
                <w:lang w:eastAsia="zh-CN"/>
              </w:rPr>
              <w:t>3.2. Materials and Methods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_Toc462575289 \h </w:instrText>
            </w:r>
            <w:r w:rsidR="00E03EE3" w:rsidRPr="003915E9">
              <w:rPr>
                <w:webHidden/>
                <w:sz w:val="22"/>
                <w:szCs w:val="22"/>
              </w:rPr>
            </w:r>
            <w:r w:rsidR="00E03EE3" w:rsidRPr="003915E9">
              <w:rPr>
                <w:webHidden/>
                <w:sz w:val="22"/>
                <w:szCs w:val="22"/>
              </w:rPr>
              <w:fldChar w:fldCharType="separate"/>
            </w:r>
            <w:r w:rsidR="00302AD3">
              <w:rPr>
                <w:webHidden/>
                <w:sz w:val="22"/>
                <w:szCs w:val="22"/>
              </w:rPr>
              <w:t>46</w:t>
            </w:r>
            <w:r w:rsidR="00E03EE3" w:rsidRPr="003915E9">
              <w:rPr>
                <w:webHidden/>
                <w:sz w:val="22"/>
                <w:szCs w:val="22"/>
              </w:rPr>
              <w:fldChar w:fldCharType="end"/>
            </w:r>
          </w:hyperlink>
        </w:p>
        <w:p w14:paraId="43699794" w14:textId="77777777" w:rsidR="00E03EE3" w:rsidRPr="003915E9" w:rsidRDefault="00A36734" w:rsidP="003915E9">
          <w:pPr>
            <w:pStyle w:val="TOC6"/>
            <w:rPr>
              <w:rFonts w:eastAsiaTheme="minorEastAsia" w:cstheme="minorBidi"/>
              <w:noProof/>
              <w:sz w:val="22"/>
              <w:szCs w:val="22"/>
              <w:lang w:eastAsia="en-GB"/>
            </w:rPr>
          </w:pPr>
          <w:hyperlink w:anchor="_Toc462575290" w:history="1">
            <w:r w:rsidR="00E03EE3" w:rsidRPr="003915E9">
              <w:rPr>
                <w:rStyle w:val="Hyperlink"/>
                <w:rFonts w:eastAsia="Calibri"/>
                <w:noProof/>
                <w:sz w:val="22"/>
                <w:szCs w:val="22"/>
                <w:lang w:eastAsia="zh-CN"/>
              </w:rPr>
              <w:t>3.2.1. Preparation of anaerobic media and stock solutions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_Toc462575290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46</w:t>
            </w:r>
            <w:r w:rsidR="00E03EE3" w:rsidRPr="003915E9">
              <w:rPr>
                <w:noProof/>
                <w:webHidden/>
                <w:sz w:val="22"/>
                <w:szCs w:val="22"/>
              </w:rPr>
              <w:fldChar w:fldCharType="end"/>
            </w:r>
          </w:hyperlink>
        </w:p>
        <w:p w14:paraId="44E8D02C" w14:textId="77777777" w:rsidR="00E03EE3" w:rsidRPr="003915E9" w:rsidRDefault="00A36734" w:rsidP="003915E9">
          <w:pPr>
            <w:pStyle w:val="TOC6"/>
            <w:rPr>
              <w:rFonts w:eastAsiaTheme="minorEastAsia" w:cstheme="minorBidi"/>
              <w:noProof/>
              <w:sz w:val="22"/>
              <w:szCs w:val="22"/>
              <w:lang w:eastAsia="en-GB"/>
            </w:rPr>
          </w:pPr>
          <w:hyperlink w:anchor="_Toc462575291" w:history="1">
            <w:r w:rsidR="00E03EE3" w:rsidRPr="003915E9">
              <w:rPr>
                <w:rStyle w:val="Hyperlink"/>
                <w:rFonts w:eastAsia="Calibri"/>
                <w:noProof/>
                <w:sz w:val="22"/>
                <w:szCs w:val="22"/>
                <w:lang w:eastAsia="zh-CN"/>
              </w:rPr>
              <w:t>3.2.2. Development of a sparging station for anaerobic cultivation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_Toc462575291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47</w:t>
            </w:r>
            <w:r w:rsidR="00E03EE3" w:rsidRPr="003915E9">
              <w:rPr>
                <w:noProof/>
                <w:webHidden/>
                <w:sz w:val="22"/>
                <w:szCs w:val="22"/>
              </w:rPr>
              <w:fldChar w:fldCharType="end"/>
            </w:r>
          </w:hyperlink>
        </w:p>
        <w:p w14:paraId="328705CC" w14:textId="77777777" w:rsidR="00E03EE3" w:rsidRPr="003915E9" w:rsidRDefault="00A36734" w:rsidP="003915E9">
          <w:pPr>
            <w:pStyle w:val="TOC6"/>
            <w:rPr>
              <w:rFonts w:eastAsiaTheme="minorEastAsia" w:cstheme="minorBidi"/>
              <w:noProof/>
              <w:sz w:val="22"/>
              <w:szCs w:val="22"/>
              <w:lang w:eastAsia="en-GB"/>
            </w:rPr>
          </w:pPr>
          <w:hyperlink w:anchor="_Toc462575292" w:history="1">
            <w:r w:rsidR="00E03EE3" w:rsidRPr="003915E9">
              <w:rPr>
                <w:rStyle w:val="Hyperlink"/>
                <w:rFonts w:eastAsia="Calibri"/>
                <w:noProof/>
                <w:sz w:val="22"/>
                <w:szCs w:val="22"/>
                <w:lang w:eastAsia="zh-CN"/>
              </w:rPr>
              <w:t>3.2.3. Growth conditions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_Toc462575292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49</w:t>
            </w:r>
            <w:r w:rsidR="00E03EE3" w:rsidRPr="003915E9">
              <w:rPr>
                <w:noProof/>
                <w:webHidden/>
                <w:sz w:val="22"/>
                <w:szCs w:val="22"/>
              </w:rPr>
              <w:fldChar w:fldCharType="end"/>
            </w:r>
          </w:hyperlink>
        </w:p>
        <w:p w14:paraId="00F62679" w14:textId="77777777" w:rsidR="00E03EE3" w:rsidRPr="003915E9" w:rsidRDefault="00A36734" w:rsidP="003915E9">
          <w:pPr>
            <w:pStyle w:val="TOC6"/>
            <w:rPr>
              <w:rFonts w:eastAsiaTheme="minorEastAsia" w:cstheme="minorBidi"/>
              <w:noProof/>
              <w:sz w:val="22"/>
              <w:szCs w:val="22"/>
              <w:lang w:eastAsia="en-GB"/>
            </w:rPr>
          </w:pPr>
          <w:hyperlink w:anchor="_Toc462575293" w:history="1">
            <w:r w:rsidR="00E03EE3" w:rsidRPr="003915E9">
              <w:rPr>
                <w:rStyle w:val="Hyperlink"/>
                <w:rFonts w:eastAsia="Calibri"/>
                <w:noProof/>
                <w:sz w:val="22"/>
                <w:szCs w:val="22"/>
                <w:lang w:eastAsia="zh-CN"/>
              </w:rPr>
              <w:t>3.2.4. Support material preparation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_Toc462575293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50</w:t>
            </w:r>
            <w:r w:rsidR="00E03EE3" w:rsidRPr="003915E9">
              <w:rPr>
                <w:noProof/>
                <w:webHidden/>
                <w:sz w:val="22"/>
                <w:szCs w:val="22"/>
              </w:rPr>
              <w:fldChar w:fldCharType="end"/>
            </w:r>
          </w:hyperlink>
        </w:p>
        <w:p w14:paraId="7E2EAEBE" w14:textId="77777777" w:rsidR="00E03EE3" w:rsidRPr="003915E9" w:rsidRDefault="00A36734" w:rsidP="003915E9">
          <w:pPr>
            <w:pStyle w:val="TOC6"/>
            <w:rPr>
              <w:rFonts w:eastAsiaTheme="minorEastAsia" w:cstheme="minorBidi"/>
              <w:noProof/>
              <w:sz w:val="22"/>
              <w:szCs w:val="22"/>
              <w:lang w:eastAsia="en-GB"/>
            </w:rPr>
          </w:pPr>
          <w:hyperlink w:anchor="_Toc462575294" w:history="1">
            <w:r w:rsidR="00E03EE3" w:rsidRPr="003915E9">
              <w:rPr>
                <w:rStyle w:val="Hyperlink"/>
                <w:rFonts w:eastAsia="Calibri"/>
                <w:noProof/>
                <w:sz w:val="22"/>
                <w:szCs w:val="22"/>
                <w:lang w:eastAsia="zh-CN"/>
              </w:rPr>
              <w:t>3.2.5. Surface characterisation analysis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_Toc462575294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50</w:t>
            </w:r>
            <w:r w:rsidR="00E03EE3" w:rsidRPr="003915E9">
              <w:rPr>
                <w:noProof/>
                <w:webHidden/>
                <w:sz w:val="22"/>
                <w:szCs w:val="22"/>
              </w:rPr>
              <w:fldChar w:fldCharType="end"/>
            </w:r>
          </w:hyperlink>
        </w:p>
        <w:p w14:paraId="5FF2B778" w14:textId="77777777" w:rsidR="00E03EE3" w:rsidRPr="003915E9" w:rsidRDefault="00A36734" w:rsidP="003915E9">
          <w:pPr>
            <w:pStyle w:val="TOC7"/>
            <w:rPr>
              <w:rFonts w:eastAsiaTheme="minorEastAsia" w:cstheme="minorBidi"/>
              <w:i/>
              <w:noProof/>
              <w:sz w:val="22"/>
              <w:szCs w:val="22"/>
              <w:lang w:eastAsia="en-GB"/>
            </w:rPr>
          </w:pPr>
          <w:hyperlink w:anchor="_Toc462575295" w:history="1">
            <w:r w:rsidR="00E03EE3" w:rsidRPr="003915E9">
              <w:rPr>
                <w:rStyle w:val="Hyperlink"/>
                <w:rFonts w:eastAsia="Cambria"/>
                <w:i/>
                <w:noProof/>
                <w:sz w:val="22"/>
                <w:szCs w:val="22"/>
                <w:lang w:eastAsia="zh-CN"/>
              </w:rPr>
              <w:t>3.2.5.1. Contact angle measurement</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_Toc462575295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50</w:t>
            </w:r>
            <w:r w:rsidR="00E03EE3" w:rsidRPr="003915E9">
              <w:rPr>
                <w:i/>
                <w:noProof/>
                <w:webHidden/>
                <w:sz w:val="22"/>
                <w:szCs w:val="22"/>
              </w:rPr>
              <w:fldChar w:fldCharType="end"/>
            </w:r>
          </w:hyperlink>
        </w:p>
        <w:p w14:paraId="7D755320" w14:textId="77777777" w:rsidR="00E03EE3" w:rsidRPr="003915E9" w:rsidRDefault="00A36734" w:rsidP="003915E9">
          <w:pPr>
            <w:pStyle w:val="TOC7"/>
            <w:rPr>
              <w:rFonts w:eastAsiaTheme="minorEastAsia" w:cstheme="minorBidi"/>
              <w:i/>
              <w:noProof/>
              <w:sz w:val="22"/>
              <w:szCs w:val="22"/>
              <w:lang w:eastAsia="en-GB"/>
            </w:rPr>
          </w:pPr>
          <w:hyperlink w:anchor="_Toc462575296" w:history="1">
            <w:r w:rsidR="00E03EE3" w:rsidRPr="003915E9">
              <w:rPr>
                <w:rStyle w:val="Hyperlink"/>
                <w:rFonts w:eastAsia="Cambria"/>
                <w:i/>
                <w:noProof/>
                <w:sz w:val="22"/>
                <w:szCs w:val="22"/>
                <w:lang w:eastAsia="zh-CN"/>
              </w:rPr>
              <w:t>3.2.5.2. Calculation of surface free energy components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_Toc462575296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51</w:t>
            </w:r>
            <w:r w:rsidR="00E03EE3" w:rsidRPr="003915E9">
              <w:rPr>
                <w:i/>
                <w:noProof/>
                <w:webHidden/>
                <w:sz w:val="22"/>
                <w:szCs w:val="22"/>
              </w:rPr>
              <w:fldChar w:fldCharType="end"/>
            </w:r>
          </w:hyperlink>
        </w:p>
        <w:p w14:paraId="1902FF58" w14:textId="77777777" w:rsidR="00E03EE3" w:rsidRPr="003915E9" w:rsidRDefault="00A36734" w:rsidP="003915E9">
          <w:pPr>
            <w:pStyle w:val="TOC7"/>
            <w:rPr>
              <w:rFonts w:eastAsiaTheme="minorEastAsia" w:cstheme="minorBidi"/>
              <w:i/>
              <w:noProof/>
              <w:sz w:val="22"/>
              <w:szCs w:val="22"/>
              <w:lang w:eastAsia="en-GB"/>
            </w:rPr>
          </w:pPr>
          <w:hyperlink w:anchor="_Toc462575297" w:history="1">
            <w:r w:rsidR="00E03EE3" w:rsidRPr="003915E9">
              <w:rPr>
                <w:rStyle w:val="Hyperlink"/>
                <w:rFonts w:eastAsia="Cambria"/>
                <w:i/>
                <w:noProof/>
                <w:sz w:val="22"/>
                <w:szCs w:val="22"/>
                <w:lang w:eastAsia="zh-CN"/>
              </w:rPr>
              <w:t>3.2.5.3. Zeta potential analysis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_Toc462575297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52</w:t>
            </w:r>
            <w:r w:rsidR="00E03EE3" w:rsidRPr="003915E9">
              <w:rPr>
                <w:i/>
                <w:noProof/>
                <w:webHidden/>
                <w:sz w:val="22"/>
                <w:szCs w:val="22"/>
              </w:rPr>
              <w:fldChar w:fldCharType="end"/>
            </w:r>
          </w:hyperlink>
        </w:p>
        <w:p w14:paraId="230A8B3E" w14:textId="77777777" w:rsidR="00E03EE3" w:rsidRPr="003915E9" w:rsidRDefault="00A36734" w:rsidP="003915E9">
          <w:pPr>
            <w:pStyle w:val="TOC6"/>
            <w:rPr>
              <w:rFonts w:eastAsiaTheme="minorEastAsia" w:cstheme="minorBidi"/>
              <w:noProof/>
              <w:sz w:val="22"/>
              <w:szCs w:val="22"/>
              <w:lang w:eastAsia="en-GB"/>
            </w:rPr>
          </w:pPr>
          <w:hyperlink w:anchor="_Toc462575298" w:history="1">
            <w:r w:rsidR="00E03EE3" w:rsidRPr="003915E9">
              <w:rPr>
                <w:rStyle w:val="Hyperlink"/>
                <w:rFonts w:eastAsia="Calibri"/>
                <w:noProof/>
                <w:sz w:val="22"/>
                <w:szCs w:val="22"/>
                <w:lang w:eastAsia="zh-CN"/>
              </w:rPr>
              <w:t>3.2.6. xDLVO energy profiles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_Toc462575298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53</w:t>
            </w:r>
            <w:r w:rsidR="00E03EE3" w:rsidRPr="003915E9">
              <w:rPr>
                <w:noProof/>
                <w:webHidden/>
                <w:sz w:val="22"/>
                <w:szCs w:val="22"/>
              </w:rPr>
              <w:fldChar w:fldCharType="end"/>
            </w:r>
          </w:hyperlink>
        </w:p>
        <w:p w14:paraId="668C8CCF" w14:textId="77777777" w:rsidR="00E03EE3" w:rsidRPr="003915E9" w:rsidRDefault="00A36734" w:rsidP="003915E9">
          <w:pPr>
            <w:pStyle w:val="TOC6"/>
            <w:rPr>
              <w:rFonts w:eastAsiaTheme="minorEastAsia" w:cstheme="minorBidi"/>
              <w:noProof/>
              <w:sz w:val="22"/>
              <w:szCs w:val="22"/>
              <w:lang w:eastAsia="en-GB"/>
            </w:rPr>
          </w:pPr>
          <w:hyperlink w:anchor="_Toc462575299" w:history="1">
            <w:r w:rsidR="00E03EE3" w:rsidRPr="003915E9">
              <w:rPr>
                <w:rStyle w:val="Hyperlink"/>
                <w:rFonts w:eastAsia="Calibri"/>
                <w:noProof/>
                <w:sz w:val="22"/>
                <w:szCs w:val="22"/>
                <w:lang w:eastAsia="zh-CN"/>
              </w:rPr>
              <w:t>3.2.7. Initial adhesion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_Toc462575299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54</w:t>
            </w:r>
            <w:r w:rsidR="00E03EE3" w:rsidRPr="003915E9">
              <w:rPr>
                <w:noProof/>
                <w:webHidden/>
                <w:sz w:val="22"/>
                <w:szCs w:val="22"/>
              </w:rPr>
              <w:fldChar w:fldCharType="end"/>
            </w:r>
          </w:hyperlink>
        </w:p>
        <w:p w14:paraId="3902BF63" w14:textId="77777777" w:rsidR="00E03EE3" w:rsidRPr="003915E9" w:rsidRDefault="00A36734" w:rsidP="003915E9">
          <w:pPr>
            <w:pStyle w:val="TOC6"/>
            <w:rPr>
              <w:rFonts w:eastAsiaTheme="minorEastAsia" w:cstheme="minorBidi"/>
              <w:noProof/>
              <w:sz w:val="22"/>
              <w:szCs w:val="22"/>
              <w:lang w:eastAsia="en-GB"/>
            </w:rPr>
          </w:pPr>
          <w:hyperlink w:anchor="_Toc462575300" w:history="1">
            <w:r w:rsidR="00E03EE3" w:rsidRPr="003915E9">
              <w:rPr>
                <w:rStyle w:val="Hyperlink"/>
                <w:rFonts w:eastAsia="Calibri"/>
                <w:noProof/>
                <w:sz w:val="22"/>
                <w:szCs w:val="22"/>
                <w:lang w:eastAsia="zh-CN"/>
              </w:rPr>
              <w:t>3.2.8. Biofilm formation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_Toc462575300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55</w:t>
            </w:r>
            <w:r w:rsidR="00E03EE3" w:rsidRPr="003915E9">
              <w:rPr>
                <w:noProof/>
                <w:webHidden/>
                <w:sz w:val="22"/>
                <w:szCs w:val="22"/>
              </w:rPr>
              <w:fldChar w:fldCharType="end"/>
            </w:r>
          </w:hyperlink>
        </w:p>
        <w:p w14:paraId="3974F8CE" w14:textId="77777777" w:rsidR="00E03EE3" w:rsidRPr="003915E9" w:rsidRDefault="00A36734" w:rsidP="003915E9">
          <w:pPr>
            <w:pStyle w:val="TOC6"/>
            <w:rPr>
              <w:rFonts w:eastAsiaTheme="minorEastAsia" w:cstheme="minorBidi"/>
              <w:noProof/>
              <w:sz w:val="22"/>
              <w:szCs w:val="22"/>
              <w:lang w:eastAsia="en-GB"/>
            </w:rPr>
          </w:pPr>
          <w:hyperlink w:anchor="_Toc462575301" w:history="1">
            <w:r w:rsidR="00E03EE3" w:rsidRPr="003915E9">
              <w:rPr>
                <w:rStyle w:val="Hyperlink"/>
                <w:rFonts w:eastAsia="Calibri"/>
                <w:noProof/>
                <w:sz w:val="22"/>
                <w:szCs w:val="22"/>
                <w:lang w:eastAsia="zh-CN"/>
              </w:rPr>
              <w:t>3.2.9. Cell biomass quantification methods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_Toc462575301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55</w:t>
            </w:r>
            <w:r w:rsidR="00E03EE3" w:rsidRPr="003915E9">
              <w:rPr>
                <w:noProof/>
                <w:webHidden/>
                <w:sz w:val="22"/>
                <w:szCs w:val="22"/>
              </w:rPr>
              <w:fldChar w:fldCharType="end"/>
            </w:r>
          </w:hyperlink>
        </w:p>
        <w:p w14:paraId="5779C762" w14:textId="77777777" w:rsidR="00E03EE3" w:rsidRPr="003915E9" w:rsidRDefault="00A36734" w:rsidP="003915E9">
          <w:pPr>
            <w:pStyle w:val="TOC7"/>
            <w:rPr>
              <w:rFonts w:eastAsiaTheme="minorEastAsia" w:cstheme="minorBidi"/>
              <w:i/>
              <w:noProof/>
              <w:sz w:val="22"/>
              <w:szCs w:val="22"/>
              <w:lang w:eastAsia="en-GB"/>
            </w:rPr>
          </w:pPr>
          <w:hyperlink w:anchor="_Toc462575302" w:history="1">
            <w:r w:rsidR="00E03EE3" w:rsidRPr="003915E9">
              <w:rPr>
                <w:rStyle w:val="Hyperlink"/>
                <w:rFonts w:eastAsia="Cambria"/>
                <w:i/>
                <w:noProof/>
                <w:sz w:val="22"/>
                <w:szCs w:val="22"/>
                <w:lang w:eastAsia="zh-CN"/>
              </w:rPr>
              <w:t>3.2.9.1. ATP bioluminescence analysis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_Toc462575302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56</w:t>
            </w:r>
            <w:r w:rsidR="00E03EE3" w:rsidRPr="003915E9">
              <w:rPr>
                <w:i/>
                <w:noProof/>
                <w:webHidden/>
                <w:sz w:val="22"/>
                <w:szCs w:val="22"/>
              </w:rPr>
              <w:fldChar w:fldCharType="end"/>
            </w:r>
          </w:hyperlink>
        </w:p>
        <w:p w14:paraId="75E2DE8E" w14:textId="77777777" w:rsidR="00E03EE3" w:rsidRPr="003915E9" w:rsidRDefault="00A36734" w:rsidP="003915E9">
          <w:pPr>
            <w:pStyle w:val="TOC7"/>
            <w:rPr>
              <w:rFonts w:eastAsiaTheme="minorEastAsia" w:cstheme="minorBidi"/>
              <w:i/>
              <w:noProof/>
              <w:sz w:val="22"/>
              <w:szCs w:val="22"/>
              <w:lang w:eastAsia="en-GB"/>
            </w:rPr>
          </w:pPr>
          <w:hyperlink w:anchor="_Toc462575303" w:history="1">
            <w:r w:rsidR="00E03EE3" w:rsidRPr="003915E9">
              <w:rPr>
                <w:rStyle w:val="Hyperlink"/>
                <w:rFonts w:eastAsia="Cambria"/>
                <w:i/>
                <w:noProof/>
                <w:sz w:val="22"/>
                <w:szCs w:val="22"/>
                <w:lang w:eastAsia="zh-CN"/>
              </w:rPr>
              <w:t>3.2.9.2. Crystal violet analysis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_Toc462575303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57</w:t>
            </w:r>
            <w:r w:rsidR="00E03EE3" w:rsidRPr="003915E9">
              <w:rPr>
                <w:i/>
                <w:noProof/>
                <w:webHidden/>
                <w:sz w:val="22"/>
                <w:szCs w:val="22"/>
              </w:rPr>
              <w:fldChar w:fldCharType="end"/>
            </w:r>
          </w:hyperlink>
        </w:p>
        <w:p w14:paraId="1B80D344" w14:textId="77777777" w:rsidR="00E03EE3" w:rsidRPr="003915E9" w:rsidRDefault="00A36734" w:rsidP="003915E9">
          <w:pPr>
            <w:pStyle w:val="TOC7"/>
            <w:rPr>
              <w:rFonts w:eastAsiaTheme="minorEastAsia" w:cstheme="minorBidi"/>
              <w:i/>
              <w:noProof/>
              <w:sz w:val="22"/>
              <w:szCs w:val="22"/>
              <w:lang w:eastAsia="en-GB"/>
            </w:rPr>
          </w:pPr>
          <w:hyperlink w:anchor="_Toc462575304" w:history="1">
            <w:r w:rsidR="00E03EE3" w:rsidRPr="003915E9">
              <w:rPr>
                <w:rStyle w:val="Hyperlink"/>
                <w:rFonts w:eastAsia="Cambria"/>
                <w:i/>
                <w:noProof/>
                <w:sz w:val="22"/>
                <w:szCs w:val="22"/>
                <w:lang w:eastAsia="zh-CN"/>
              </w:rPr>
              <w:t>3.2.9.3. Fluorescent staining and epifluorescence microscopy</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_Toc462575304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57</w:t>
            </w:r>
            <w:r w:rsidR="00E03EE3" w:rsidRPr="003915E9">
              <w:rPr>
                <w:i/>
                <w:noProof/>
                <w:webHidden/>
                <w:sz w:val="22"/>
                <w:szCs w:val="22"/>
              </w:rPr>
              <w:fldChar w:fldCharType="end"/>
            </w:r>
          </w:hyperlink>
        </w:p>
        <w:p w14:paraId="38359DE9" w14:textId="77777777" w:rsidR="00E03EE3" w:rsidRPr="003915E9" w:rsidRDefault="00A36734" w:rsidP="003915E9">
          <w:pPr>
            <w:pStyle w:val="TOC6"/>
            <w:rPr>
              <w:rFonts w:eastAsiaTheme="minorEastAsia" w:cstheme="minorBidi"/>
              <w:noProof/>
              <w:sz w:val="22"/>
              <w:szCs w:val="22"/>
              <w:lang w:eastAsia="en-GB"/>
            </w:rPr>
          </w:pPr>
          <w:hyperlink w:anchor="_Toc462575305" w:history="1">
            <w:r w:rsidR="00E03EE3" w:rsidRPr="003915E9">
              <w:rPr>
                <w:rStyle w:val="Hyperlink"/>
                <w:rFonts w:eastAsia="Calibri"/>
                <w:noProof/>
                <w:sz w:val="22"/>
                <w:szCs w:val="22"/>
                <w:lang w:eastAsia="zh-CN"/>
              </w:rPr>
              <w:t>3.2.10. Scanning electron microscopy (SEM)</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_Toc462575305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58</w:t>
            </w:r>
            <w:r w:rsidR="00E03EE3" w:rsidRPr="003915E9">
              <w:rPr>
                <w:noProof/>
                <w:webHidden/>
                <w:sz w:val="22"/>
                <w:szCs w:val="22"/>
              </w:rPr>
              <w:fldChar w:fldCharType="end"/>
            </w:r>
          </w:hyperlink>
        </w:p>
        <w:p w14:paraId="7BF7D50C" w14:textId="77777777" w:rsidR="00E03EE3" w:rsidRPr="003915E9" w:rsidRDefault="00A36734" w:rsidP="003915E9">
          <w:pPr>
            <w:pStyle w:val="TOC6"/>
            <w:rPr>
              <w:rFonts w:eastAsiaTheme="minorEastAsia" w:cstheme="minorBidi"/>
              <w:noProof/>
              <w:sz w:val="22"/>
              <w:szCs w:val="22"/>
              <w:lang w:eastAsia="en-GB"/>
            </w:rPr>
          </w:pPr>
          <w:hyperlink w:anchor="_Toc462575306" w:history="1">
            <w:r w:rsidR="00E03EE3" w:rsidRPr="003915E9">
              <w:rPr>
                <w:rStyle w:val="Hyperlink"/>
                <w:rFonts w:eastAsia="Calibri"/>
                <w:noProof/>
                <w:sz w:val="22"/>
                <w:szCs w:val="22"/>
                <w:lang w:eastAsia="zh-CN"/>
              </w:rPr>
              <w:t>3.2.11. Statistical analysis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_Toc462575306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58</w:t>
            </w:r>
            <w:r w:rsidR="00E03EE3" w:rsidRPr="003915E9">
              <w:rPr>
                <w:noProof/>
                <w:webHidden/>
                <w:sz w:val="22"/>
                <w:szCs w:val="22"/>
              </w:rPr>
              <w:fldChar w:fldCharType="end"/>
            </w:r>
          </w:hyperlink>
        </w:p>
        <w:p w14:paraId="6DB532A8" w14:textId="77777777" w:rsidR="00E03EE3" w:rsidRPr="003915E9" w:rsidRDefault="00A36734" w:rsidP="003915E9">
          <w:pPr>
            <w:pStyle w:val="TOC1"/>
            <w:rPr>
              <w:rFonts w:eastAsiaTheme="minorEastAsia" w:cstheme="minorBidi"/>
              <w:b/>
              <w:sz w:val="22"/>
              <w:szCs w:val="22"/>
              <w:lang w:eastAsia="en-GB"/>
            </w:rPr>
          </w:pPr>
          <w:hyperlink w:anchor="_Toc462575307" w:history="1">
            <w:r w:rsidR="00E03EE3" w:rsidRPr="003915E9">
              <w:rPr>
                <w:rStyle w:val="Hyperlink"/>
                <w:caps w:val="0"/>
                <w:sz w:val="22"/>
                <w:szCs w:val="22"/>
                <w:lang w:eastAsia="zh-CN"/>
              </w:rPr>
              <w:t>3.3. Results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_Toc462575307 \h </w:instrText>
            </w:r>
            <w:r w:rsidR="00E03EE3" w:rsidRPr="003915E9">
              <w:rPr>
                <w:webHidden/>
                <w:sz w:val="22"/>
                <w:szCs w:val="22"/>
              </w:rPr>
            </w:r>
            <w:r w:rsidR="00E03EE3" w:rsidRPr="003915E9">
              <w:rPr>
                <w:webHidden/>
                <w:sz w:val="22"/>
                <w:szCs w:val="22"/>
              </w:rPr>
              <w:fldChar w:fldCharType="separate"/>
            </w:r>
            <w:r w:rsidR="00302AD3">
              <w:rPr>
                <w:webHidden/>
                <w:sz w:val="22"/>
                <w:szCs w:val="22"/>
              </w:rPr>
              <w:t>58</w:t>
            </w:r>
            <w:r w:rsidR="00E03EE3" w:rsidRPr="003915E9">
              <w:rPr>
                <w:webHidden/>
                <w:sz w:val="22"/>
                <w:szCs w:val="22"/>
              </w:rPr>
              <w:fldChar w:fldCharType="end"/>
            </w:r>
          </w:hyperlink>
        </w:p>
        <w:p w14:paraId="5B653644" w14:textId="77777777" w:rsidR="00E03EE3" w:rsidRPr="003915E9" w:rsidRDefault="00A36734" w:rsidP="003915E9">
          <w:pPr>
            <w:pStyle w:val="TOC6"/>
            <w:rPr>
              <w:rFonts w:eastAsiaTheme="minorEastAsia" w:cstheme="minorBidi"/>
              <w:noProof/>
              <w:sz w:val="22"/>
              <w:szCs w:val="22"/>
              <w:lang w:eastAsia="en-GB"/>
            </w:rPr>
          </w:pPr>
          <w:hyperlink w:anchor="_Toc462575308" w:history="1">
            <w:r w:rsidR="00E03EE3" w:rsidRPr="003915E9">
              <w:rPr>
                <w:rStyle w:val="Hyperlink"/>
                <w:rFonts w:eastAsia="Calibri"/>
                <w:noProof/>
                <w:sz w:val="22"/>
                <w:szCs w:val="22"/>
                <w:lang w:eastAsia="zh-CN"/>
              </w:rPr>
              <w:t xml:space="preserve">3.3.1. Preliminary experiments: Growth curves of </w:t>
            </w:r>
            <w:r w:rsidR="00E03EE3" w:rsidRPr="003915E9">
              <w:rPr>
                <w:rStyle w:val="Hyperlink"/>
                <w:rFonts w:eastAsia="Calibri"/>
                <w:i/>
                <w:noProof/>
                <w:sz w:val="22"/>
                <w:szCs w:val="22"/>
                <w:lang w:eastAsia="zh-CN"/>
              </w:rPr>
              <w:t>M. barkeri</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_Toc462575308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58</w:t>
            </w:r>
            <w:r w:rsidR="00E03EE3" w:rsidRPr="003915E9">
              <w:rPr>
                <w:noProof/>
                <w:webHidden/>
                <w:sz w:val="22"/>
                <w:szCs w:val="22"/>
              </w:rPr>
              <w:fldChar w:fldCharType="end"/>
            </w:r>
          </w:hyperlink>
        </w:p>
        <w:p w14:paraId="54DFA372" w14:textId="77777777" w:rsidR="00E03EE3" w:rsidRPr="003915E9" w:rsidRDefault="00A36734" w:rsidP="003915E9">
          <w:pPr>
            <w:pStyle w:val="TOC6"/>
            <w:rPr>
              <w:rFonts w:eastAsiaTheme="minorEastAsia" w:cstheme="minorBidi"/>
              <w:noProof/>
              <w:sz w:val="22"/>
              <w:szCs w:val="22"/>
              <w:lang w:eastAsia="en-GB"/>
            </w:rPr>
          </w:pPr>
          <w:hyperlink w:anchor="_Toc462575309" w:history="1">
            <w:r w:rsidR="00E03EE3" w:rsidRPr="003915E9">
              <w:rPr>
                <w:rStyle w:val="Hyperlink"/>
                <w:rFonts w:eastAsia="Calibri"/>
                <w:noProof/>
                <w:sz w:val="22"/>
                <w:szCs w:val="22"/>
                <w:lang w:eastAsia="zh-CN"/>
              </w:rPr>
              <w:t>3.3.2. Surface characterisation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_Toc462575309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59</w:t>
            </w:r>
            <w:r w:rsidR="00E03EE3" w:rsidRPr="003915E9">
              <w:rPr>
                <w:noProof/>
                <w:webHidden/>
                <w:sz w:val="22"/>
                <w:szCs w:val="22"/>
              </w:rPr>
              <w:fldChar w:fldCharType="end"/>
            </w:r>
          </w:hyperlink>
        </w:p>
        <w:p w14:paraId="228E36F7" w14:textId="77777777" w:rsidR="00E03EE3" w:rsidRPr="003915E9" w:rsidRDefault="00A36734" w:rsidP="003915E9">
          <w:pPr>
            <w:pStyle w:val="TOC7"/>
            <w:rPr>
              <w:rFonts w:eastAsiaTheme="minorEastAsia" w:cstheme="minorBidi"/>
              <w:i/>
              <w:noProof/>
              <w:sz w:val="22"/>
              <w:szCs w:val="22"/>
              <w:lang w:eastAsia="en-GB"/>
            </w:rPr>
          </w:pPr>
          <w:hyperlink w:anchor="_Toc462575310" w:history="1">
            <w:r w:rsidR="00E03EE3" w:rsidRPr="003915E9">
              <w:rPr>
                <w:rStyle w:val="Hyperlink"/>
                <w:rFonts w:eastAsia="Cambria"/>
                <w:i/>
                <w:noProof/>
                <w:sz w:val="22"/>
                <w:szCs w:val="22"/>
                <w:lang w:eastAsia="zh-CN"/>
              </w:rPr>
              <w:t>3.3.2.1. Contact angle measurement</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_Toc462575310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59</w:t>
            </w:r>
            <w:r w:rsidR="00E03EE3" w:rsidRPr="003915E9">
              <w:rPr>
                <w:i/>
                <w:noProof/>
                <w:webHidden/>
                <w:sz w:val="22"/>
                <w:szCs w:val="22"/>
              </w:rPr>
              <w:fldChar w:fldCharType="end"/>
            </w:r>
          </w:hyperlink>
        </w:p>
        <w:p w14:paraId="44DF6072" w14:textId="77777777" w:rsidR="00E03EE3" w:rsidRPr="003915E9" w:rsidRDefault="00A36734" w:rsidP="003915E9">
          <w:pPr>
            <w:pStyle w:val="TOC7"/>
            <w:rPr>
              <w:rFonts w:eastAsiaTheme="minorEastAsia" w:cstheme="minorBidi"/>
              <w:i/>
              <w:noProof/>
              <w:sz w:val="22"/>
              <w:szCs w:val="22"/>
              <w:lang w:eastAsia="en-GB"/>
            </w:rPr>
          </w:pPr>
          <w:hyperlink w:anchor="_Toc462575311" w:history="1">
            <w:r w:rsidR="00E03EE3" w:rsidRPr="003915E9">
              <w:rPr>
                <w:rStyle w:val="Hyperlink"/>
                <w:rFonts w:eastAsia="Cambria"/>
                <w:i/>
                <w:noProof/>
                <w:sz w:val="22"/>
                <w:szCs w:val="22"/>
                <w:lang w:eastAsia="zh-CN"/>
              </w:rPr>
              <w:t>3.3.2.2. Zeta potential analysis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_Toc462575311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61</w:t>
            </w:r>
            <w:r w:rsidR="00E03EE3" w:rsidRPr="003915E9">
              <w:rPr>
                <w:i/>
                <w:noProof/>
                <w:webHidden/>
                <w:sz w:val="22"/>
                <w:szCs w:val="22"/>
              </w:rPr>
              <w:fldChar w:fldCharType="end"/>
            </w:r>
          </w:hyperlink>
        </w:p>
        <w:p w14:paraId="4883D087" w14:textId="77777777" w:rsidR="00E03EE3" w:rsidRPr="003915E9" w:rsidRDefault="00A36734" w:rsidP="003915E9">
          <w:pPr>
            <w:pStyle w:val="TOC6"/>
            <w:rPr>
              <w:rFonts w:eastAsiaTheme="minorEastAsia" w:cstheme="minorBidi"/>
              <w:noProof/>
              <w:sz w:val="22"/>
              <w:szCs w:val="22"/>
              <w:lang w:eastAsia="en-GB"/>
            </w:rPr>
          </w:pPr>
          <w:hyperlink w:anchor="_Toc462575312" w:history="1">
            <w:r w:rsidR="00E03EE3" w:rsidRPr="003915E9">
              <w:rPr>
                <w:rStyle w:val="Hyperlink"/>
                <w:rFonts w:eastAsia="Calibri"/>
                <w:noProof/>
                <w:sz w:val="22"/>
                <w:szCs w:val="22"/>
                <w:lang w:eastAsia="zh-CN"/>
              </w:rPr>
              <w:t>3.3.3. xDLVO energy profiles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_Toc462575312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61</w:t>
            </w:r>
            <w:r w:rsidR="00E03EE3" w:rsidRPr="003915E9">
              <w:rPr>
                <w:noProof/>
                <w:webHidden/>
                <w:sz w:val="22"/>
                <w:szCs w:val="22"/>
              </w:rPr>
              <w:fldChar w:fldCharType="end"/>
            </w:r>
          </w:hyperlink>
        </w:p>
        <w:p w14:paraId="03E3A017" w14:textId="77777777" w:rsidR="00E03EE3" w:rsidRPr="003915E9" w:rsidRDefault="00A36734" w:rsidP="003915E9">
          <w:pPr>
            <w:pStyle w:val="TOC6"/>
            <w:rPr>
              <w:rFonts w:eastAsiaTheme="minorEastAsia" w:cstheme="minorBidi"/>
              <w:noProof/>
              <w:sz w:val="22"/>
              <w:szCs w:val="22"/>
              <w:lang w:eastAsia="en-GB"/>
            </w:rPr>
          </w:pPr>
          <w:hyperlink w:anchor="_Toc462575313" w:history="1">
            <w:r w:rsidR="00E03EE3" w:rsidRPr="003915E9">
              <w:rPr>
                <w:rStyle w:val="Hyperlink"/>
                <w:rFonts w:eastAsia="Calibri"/>
                <w:noProof/>
                <w:sz w:val="22"/>
                <w:szCs w:val="22"/>
              </w:rPr>
              <w:t>3.3.4. Cell biomass quantification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_Toc462575313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64</w:t>
            </w:r>
            <w:r w:rsidR="00E03EE3" w:rsidRPr="003915E9">
              <w:rPr>
                <w:noProof/>
                <w:webHidden/>
                <w:sz w:val="22"/>
                <w:szCs w:val="22"/>
              </w:rPr>
              <w:fldChar w:fldCharType="end"/>
            </w:r>
          </w:hyperlink>
        </w:p>
        <w:p w14:paraId="4E814C0D" w14:textId="77777777" w:rsidR="00E03EE3" w:rsidRPr="003915E9" w:rsidRDefault="00A36734" w:rsidP="003915E9">
          <w:pPr>
            <w:pStyle w:val="TOC6"/>
            <w:rPr>
              <w:rFonts w:eastAsiaTheme="minorEastAsia" w:cstheme="minorBidi"/>
              <w:noProof/>
              <w:sz w:val="22"/>
              <w:szCs w:val="22"/>
              <w:lang w:eastAsia="en-GB"/>
            </w:rPr>
          </w:pPr>
          <w:hyperlink w:anchor="_Toc462575314" w:history="1">
            <w:r w:rsidR="00E03EE3" w:rsidRPr="003915E9">
              <w:rPr>
                <w:rStyle w:val="Hyperlink"/>
                <w:rFonts w:eastAsia="Cambria"/>
                <w:noProof/>
                <w:sz w:val="22"/>
                <w:szCs w:val="22"/>
                <w:lang w:eastAsia="zh-CN"/>
              </w:rPr>
              <w:t>3.3.5.</w:t>
            </w:r>
            <w:r w:rsidR="00E03EE3" w:rsidRPr="003915E9">
              <w:rPr>
                <w:rStyle w:val="Hyperlink"/>
                <w:rFonts w:eastAsia="Calibri"/>
                <w:noProof/>
                <w:sz w:val="22"/>
                <w:szCs w:val="22"/>
                <w:lang w:eastAsia="zh-CN"/>
              </w:rPr>
              <w:t xml:space="preserve"> Initial adhesion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_Toc462575314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65</w:t>
            </w:r>
            <w:r w:rsidR="00E03EE3" w:rsidRPr="003915E9">
              <w:rPr>
                <w:noProof/>
                <w:webHidden/>
                <w:sz w:val="22"/>
                <w:szCs w:val="22"/>
              </w:rPr>
              <w:fldChar w:fldCharType="end"/>
            </w:r>
          </w:hyperlink>
        </w:p>
        <w:p w14:paraId="514F6351" w14:textId="77777777" w:rsidR="00E03EE3" w:rsidRPr="003915E9" w:rsidRDefault="00A36734" w:rsidP="003915E9">
          <w:pPr>
            <w:pStyle w:val="TOC6"/>
            <w:rPr>
              <w:rFonts w:eastAsiaTheme="minorEastAsia" w:cstheme="minorBidi"/>
              <w:noProof/>
              <w:sz w:val="22"/>
              <w:szCs w:val="22"/>
              <w:lang w:eastAsia="en-GB"/>
            </w:rPr>
          </w:pPr>
          <w:hyperlink w:anchor="_Toc462575315" w:history="1">
            <w:r w:rsidR="00E03EE3" w:rsidRPr="003915E9">
              <w:rPr>
                <w:rStyle w:val="Hyperlink"/>
                <w:rFonts w:eastAsia="Calibri"/>
                <w:noProof/>
                <w:sz w:val="22"/>
                <w:szCs w:val="22"/>
                <w:lang w:eastAsia="zh-CN"/>
              </w:rPr>
              <w:t>3.3.6. Biofilm formation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_Toc462575315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66</w:t>
            </w:r>
            <w:r w:rsidR="00E03EE3" w:rsidRPr="003915E9">
              <w:rPr>
                <w:noProof/>
                <w:webHidden/>
                <w:sz w:val="22"/>
                <w:szCs w:val="22"/>
              </w:rPr>
              <w:fldChar w:fldCharType="end"/>
            </w:r>
          </w:hyperlink>
        </w:p>
        <w:p w14:paraId="6DA1F709" w14:textId="77777777" w:rsidR="00E03EE3" w:rsidRPr="003915E9" w:rsidRDefault="00A36734" w:rsidP="003915E9">
          <w:pPr>
            <w:pStyle w:val="TOC6"/>
            <w:rPr>
              <w:rFonts w:eastAsiaTheme="minorEastAsia" w:cstheme="minorBidi"/>
              <w:noProof/>
              <w:sz w:val="22"/>
              <w:szCs w:val="22"/>
              <w:lang w:eastAsia="en-GB"/>
            </w:rPr>
          </w:pPr>
          <w:hyperlink w:anchor="_Toc462575316" w:history="1">
            <w:r w:rsidR="00E03EE3" w:rsidRPr="003915E9">
              <w:rPr>
                <w:rStyle w:val="Hyperlink"/>
                <w:rFonts w:eastAsia="Calibri"/>
                <w:noProof/>
                <w:sz w:val="22"/>
                <w:szCs w:val="22"/>
                <w:lang w:eastAsia="zh-CN"/>
              </w:rPr>
              <w:t>3.3.7. Scanning electron microscopy</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_Toc462575316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67</w:t>
            </w:r>
            <w:r w:rsidR="00E03EE3" w:rsidRPr="003915E9">
              <w:rPr>
                <w:noProof/>
                <w:webHidden/>
                <w:sz w:val="22"/>
                <w:szCs w:val="22"/>
              </w:rPr>
              <w:fldChar w:fldCharType="end"/>
            </w:r>
          </w:hyperlink>
        </w:p>
        <w:p w14:paraId="798F0196" w14:textId="77777777" w:rsidR="00E03EE3" w:rsidRPr="003915E9" w:rsidRDefault="00A36734" w:rsidP="003915E9">
          <w:pPr>
            <w:pStyle w:val="TOC1"/>
            <w:rPr>
              <w:rFonts w:eastAsiaTheme="minorEastAsia" w:cstheme="minorBidi"/>
              <w:b/>
              <w:sz w:val="22"/>
              <w:szCs w:val="22"/>
              <w:lang w:eastAsia="en-GB"/>
            </w:rPr>
          </w:pPr>
          <w:hyperlink w:anchor="_Toc462575317" w:history="1">
            <w:r w:rsidR="00E03EE3" w:rsidRPr="003915E9">
              <w:rPr>
                <w:rStyle w:val="Hyperlink"/>
                <w:caps w:val="0"/>
                <w:sz w:val="22"/>
                <w:szCs w:val="22"/>
                <w:lang w:eastAsia="zh-CN"/>
              </w:rPr>
              <w:t>3.4. Discussion</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_Toc462575317 \h </w:instrText>
            </w:r>
            <w:r w:rsidR="00E03EE3" w:rsidRPr="003915E9">
              <w:rPr>
                <w:webHidden/>
                <w:sz w:val="22"/>
                <w:szCs w:val="22"/>
              </w:rPr>
            </w:r>
            <w:r w:rsidR="00E03EE3" w:rsidRPr="003915E9">
              <w:rPr>
                <w:webHidden/>
                <w:sz w:val="22"/>
                <w:szCs w:val="22"/>
              </w:rPr>
              <w:fldChar w:fldCharType="separate"/>
            </w:r>
            <w:r w:rsidR="00302AD3">
              <w:rPr>
                <w:webHidden/>
                <w:sz w:val="22"/>
                <w:szCs w:val="22"/>
              </w:rPr>
              <w:t>69</w:t>
            </w:r>
            <w:r w:rsidR="00E03EE3" w:rsidRPr="003915E9">
              <w:rPr>
                <w:webHidden/>
                <w:sz w:val="22"/>
                <w:szCs w:val="22"/>
              </w:rPr>
              <w:fldChar w:fldCharType="end"/>
            </w:r>
          </w:hyperlink>
        </w:p>
        <w:p w14:paraId="7E3CD84A" w14:textId="77777777" w:rsidR="00E03EE3" w:rsidRPr="003915E9" w:rsidRDefault="00A36734" w:rsidP="003915E9">
          <w:pPr>
            <w:pStyle w:val="TOC1"/>
            <w:rPr>
              <w:rFonts w:eastAsiaTheme="minorEastAsia" w:cstheme="minorBidi"/>
              <w:b/>
              <w:sz w:val="22"/>
              <w:szCs w:val="22"/>
              <w:lang w:eastAsia="en-GB"/>
            </w:rPr>
          </w:pPr>
          <w:hyperlink w:anchor="_Toc462575318" w:history="1">
            <w:r w:rsidR="00E03EE3" w:rsidRPr="003915E9">
              <w:rPr>
                <w:rStyle w:val="Hyperlink"/>
                <w:caps w:val="0"/>
                <w:sz w:val="22"/>
                <w:szCs w:val="22"/>
                <w:lang w:eastAsia="zh-CN"/>
              </w:rPr>
              <w:t>3.5. Conclusions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_Toc462575318 \h </w:instrText>
            </w:r>
            <w:r w:rsidR="00E03EE3" w:rsidRPr="003915E9">
              <w:rPr>
                <w:webHidden/>
                <w:sz w:val="22"/>
                <w:szCs w:val="22"/>
              </w:rPr>
            </w:r>
            <w:r w:rsidR="00E03EE3" w:rsidRPr="003915E9">
              <w:rPr>
                <w:webHidden/>
                <w:sz w:val="22"/>
                <w:szCs w:val="22"/>
              </w:rPr>
              <w:fldChar w:fldCharType="separate"/>
            </w:r>
            <w:r w:rsidR="00302AD3">
              <w:rPr>
                <w:webHidden/>
                <w:sz w:val="22"/>
                <w:szCs w:val="22"/>
              </w:rPr>
              <w:t>72</w:t>
            </w:r>
            <w:r w:rsidR="00E03EE3" w:rsidRPr="003915E9">
              <w:rPr>
                <w:webHidden/>
                <w:sz w:val="22"/>
                <w:szCs w:val="22"/>
              </w:rPr>
              <w:fldChar w:fldCharType="end"/>
            </w:r>
          </w:hyperlink>
        </w:p>
        <w:p w14:paraId="7F42985F" w14:textId="5C7EDC90" w:rsidR="00E03EE3" w:rsidRPr="003915E9" w:rsidRDefault="00A36734" w:rsidP="003915E9">
          <w:pPr>
            <w:pStyle w:val="TOC2"/>
            <w:rPr>
              <w:rFonts w:eastAsiaTheme="minorEastAsia" w:cstheme="minorBidi"/>
            </w:rPr>
          </w:pPr>
          <w:hyperlink w:anchor="_Toc462575319" w:history="1">
            <w:r w:rsidR="00E03EE3" w:rsidRPr="003915E9">
              <w:rPr>
                <w:rStyle w:val="Hyperlink"/>
              </w:rPr>
              <w:t>Chapter 4</w:t>
            </w:r>
            <w:r w:rsidR="003915E9" w:rsidRPr="003915E9">
              <w:rPr>
                <w:rStyle w:val="Hyperlink"/>
              </w:rPr>
              <w:t>: Influence of the support material on the cell surface properties of Methanosarcina barkeri</w:t>
            </w:r>
            <w:r w:rsidR="00E03EE3" w:rsidRPr="003915E9">
              <w:rPr>
                <w:webHidden/>
              </w:rPr>
              <w:tab/>
            </w:r>
            <w:r w:rsidR="00E03EE3" w:rsidRPr="003915E9">
              <w:rPr>
                <w:webHidden/>
              </w:rPr>
              <w:fldChar w:fldCharType="begin"/>
            </w:r>
            <w:r w:rsidR="00E03EE3" w:rsidRPr="003915E9">
              <w:rPr>
                <w:webHidden/>
              </w:rPr>
              <w:instrText xml:space="preserve"> PAGEREF _Toc462575319 \h </w:instrText>
            </w:r>
            <w:r w:rsidR="00E03EE3" w:rsidRPr="003915E9">
              <w:rPr>
                <w:webHidden/>
              </w:rPr>
            </w:r>
            <w:r w:rsidR="00E03EE3" w:rsidRPr="003915E9">
              <w:rPr>
                <w:webHidden/>
              </w:rPr>
              <w:fldChar w:fldCharType="separate"/>
            </w:r>
            <w:r w:rsidR="00302AD3">
              <w:rPr>
                <w:webHidden/>
              </w:rPr>
              <w:t>74</w:t>
            </w:r>
            <w:r w:rsidR="00E03EE3" w:rsidRPr="003915E9">
              <w:rPr>
                <w:webHidden/>
              </w:rPr>
              <w:fldChar w:fldCharType="end"/>
            </w:r>
          </w:hyperlink>
        </w:p>
        <w:p w14:paraId="7E424D88" w14:textId="77777777" w:rsidR="00E03EE3" w:rsidRPr="003915E9" w:rsidRDefault="00A36734" w:rsidP="003915E9">
          <w:pPr>
            <w:pStyle w:val="TOC1"/>
            <w:rPr>
              <w:rFonts w:eastAsiaTheme="minorEastAsia" w:cstheme="minorBidi"/>
              <w:b/>
              <w:sz w:val="22"/>
              <w:szCs w:val="22"/>
              <w:lang w:eastAsia="en-GB"/>
            </w:rPr>
          </w:pPr>
          <w:hyperlink w:anchor="_Toc462575321" w:history="1">
            <w:r w:rsidR="00E03EE3" w:rsidRPr="003915E9">
              <w:rPr>
                <w:rStyle w:val="Hyperlink"/>
                <w:caps w:val="0"/>
                <w:sz w:val="22"/>
                <w:szCs w:val="22"/>
                <w:lang w:eastAsia="zh-CN"/>
              </w:rPr>
              <w:t>4.1. Introduction</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_Toc462575321 \h </w:instrText>
            </w:r>
            <w:r w:rsidR="00E03EE3" w:rsidRPr="003915E9">
              <w:rPr>
                <w:webHidden/>
                <w:sz w:val="22"/>
                <w:szCs w:val="22"/>
              </w:rPr>
            </w:r>
            <w:r w:rsidR="00E03EE3" w:rsidRPr="003915E9">
              <w:rPr>
                <w:webHidden/>
                <w:sz w:val="22"/>
                <w:szCs w:val="22"/>
              </w:rPr>
              <w:fldChar w:fldCharType="separate"/>
            </w:r>
            <w:r w:rsidR="00302AD3">
              <w:rPr>
                <w:webHidden/>
                <w:sz w:val="22"/>
                <w:szCs w:val="22"/>
              </w:rPr>
              <w:t>74</w:t>
            </w:r>
            <w:r w:rsidR="00E03EE3" w:rsidRPr="003915E9">
              <w:rPr>
                <w:webHidden/>
                <w:sz w:val="22"/>
                <w:szCs w:val="22"/>
              </w:rPr>
              <w:fldChar w:fldCharType="end"/>
            </w:r>
          </w:hyperlink>
        </w:p>
        <w:p w14:paraId="50A559EF" w14:textId="77777777" w:rsidR="00E03EE3" w:rsidRPr="003915E9" w:rsidRDefault="00A36734" w:rsidP="003915E9">
          <w:pPr>
            <w:pStyle w:val="TOC1"/>
            <w:rPr>
              <w:rFonts w:eastAsiaTheme="minorEastAsia" w:cstheme="minorBidi"/>
              <w:b/>
              <w:sz w:val="22"/>
              <w:szCs w:val="22"/>
              <w:lang w:eastAsia="en-GB"/>
            </w:rPr>
          </w:pPr>
          <w:hyperlink w:anchor="_Toc462575322" w:history="1">
            <w:r w:rsidR="00E03EE3" w:rsidRPr="003915E9">
              <w:rPr>
                <w:rStyle w:val="Hyperlink"/>
                <w:caps w:val="0"/>
                <w:sz w:val="22"/>
                <w:szCs w:val="22"/>
                <w:lang w:eastAsia="zh-CN"/>
              </w:rPr>
              <w:t>4.2. Materials and Methods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_Toc462575322 \h </w:instrText>
            </w:r>
            <w:r w:rsidR="00E03EE3" w:rsidRPr="003915E9">
              <w:rPr>
                <w:webHidden/>
                <w:sz w:val="22"/>
                <w:szCs w:val="22"/>
              </w:rPr>
            </w:r>
            <w:r w:rsidR="00E03EE3" w:rsidRPr="003915E9">
              <w:rPr>
                <w:webHidden/>
                <w:sz w:val="22"/>
                <w:szCs w:val="22"/>
              </w:rPr>
              <w:fldChar w:fldCharType="separate"/>
            </w:r>
            <w:r w:rsidR="00302AD3">
              <w:rPr>
                <w:webHidden/>
                <w:sz w:val="22"/>
                <w:szCs w:val="22"/>
              </w:rPr>
              <w:t>75</w:t>
            </w:r>
            <w:r w:rsidR="00E03EE3" w:rsidRPr="003915E9">
              <w:rPr>
                <w:webHidden/>
                <w:sz w:val="22"/>
                <w:szCs w:val="22"/>
              </w:rPr>
              <w:fldChar w:fldCharType="end"/>
            </w:r>
          </w:hyperlink>
        </w:p>
        <w:p w14:paraId="727805A8" w14:textId="77777777" w:rsidR="00E03EE3" w:rsidRPr="003915E9" w:rsidRDefault="00A36734" w:rsidP="003915E9">
          <w:pPr>
            <w:pStyle w:val="TOC6"/>
            <w:rPr>
              <w:rFonts w:eastAsiaTheme="minorEastAsia" w:cstheme="minorBidi"/>
              <w:noProof/>
              <w:sz w:val="22"/>
              <w:szCs w:val="22"/>
              <w:lang w:eastAsia="en-GB"/>
            </w:rPr>
          </w:pPr>
          <w:hyperlink w:anchor="_Toc462575323" w:history="1">
            <w:r w:rsidR="00E03EE3" w:rsidRPr="003915E9">
              <w:rPr>
                <w:rStyle w:val="Hyperlink"/>
                <w:rFonts w:eastAsia="Calibri"/>
                <w:noProof/>
                <w:sz w:val="22"/>
                <w:szCs w:val="22"/>
                <w:lang w:eastAsia="zh-CN"/>
              </w:rPr>
              <w:t>4.2.1. Support material preparation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_Toc462575323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75</w:t>
            </w:r>
            <w:r w:rsidR="00E03EE3" w:rsidRPr="003915E9">
              <w:rPr>
                <w:noProof/>
                <w:webHidden/>
                <w:sz w:val="22"/>
                <w:szCs w:val="22"/>
              </w:rPr>
              <w:fldChar w:fldCharType="end"/>
            </w:r>
          </w:hyperlink>
        </w:p>
        <w:p w14:paraId="017DE416" w14:textId="77777777" w:rsidR="00E03EE3" w:rsidRPr="003915E9" w:rsidRDefault="00A36734" w:rsidP="003915E9">
          <w:pPr>
            <w:pStyle w:val="TOC6"/>
            <w:rPr>
              <w:rFonts w:eastAsiaTheme="minorEastAsia" w:cstheme="minorBidi"/>
              <w:noProof/>
              <w:sz w:val="22"/>
              <w:szCs w:val="22"/>
              <w:lang w:eastAsia="en-GB"/>
            </w:rPr>
          </w:pPr>
          <w:hyperlink w:anchor="_Toc462575324" w:history="1">
            <w:r w:rsidR="00E03EE3" w:rsidRPr="003915E9">
              <w:rPr>
                <w:rStyle w:val="Hyperlink"/>
                <w:rFonts w:eastAsia="Calibri"/>
                <w:noProof/>
                <w:sz w:val="22"/>
                <w:szCs w:val="22"/>
              </w:rPr>
              <w:t>4.2.2. Batch culture setup and biofilm sampling</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_Toc462575324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76</w:t>
            </w:r>
            <w:r w:rsidR="00E03EE3" w:rsidRPr="003915E9">
              <w:rPr>
                <w:noProof/>
                <w:webHidden/>
                <w:sz w:val="22"/>
                <w:szCs w:val="22"/>
              </w:rPr>
              <w:fldChar w:fldCharType="end"/>
            </w:r>
          </w:hyperlink>
        </w:p>
        <w:p w14:paraId="55A3E2C1" w14:textId="77777777" w:rsidR="00E03EE3" w:rsidRPr="003915E9" w:rsidRDefault="00A36734" w:rsidP="003915E9">
          <w:pPr>
            <w:pStyle w:val="TOC6"/>
            <w:rPr>
              <w:rFonts w:eastAsiaTheme="minorEastAsia" w:cstheme="minorBidi"/>
              <w:noProof/>
              <w:sz w:val="22"/>
              <w:szCs w:val="22"/>
              <w:lang w:eastAsia="en-GB"/>
            </w:rPr>
          </w:pPr>
          <w:hyperlink w:anchor="_Toc462575325" w:history="1">
            <w:r w:rsidR="00E03EE3" w:rsidRPr="003915E9">
              <w:rPr>
                <w:rStyle w:val="Hyperlink"/>
                <w:rFonts w:eastAsia="Calibri"/>
                <w:noProof/>
                <w:sz w:val="22"/>
                <w:szCs w:val="22"/>
                <w:lang w:eastAsia="zh-CN"/>
              </w:rPr>
              <w:t>4.2.3. Fourier-transform infrared spectroscopy (FTIR) analysis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_Toc462575325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78</w:t>
            </w:r>
            <w:r w:rsidR="00E03EE3" w:rsidRPr="003915E9">
              <w:rPr>
                <w:noProof/>
                <w:webHidden/>
                <w:sz w:val="22"/>
                <w:szCs w:val="22"/>
              </w:rPr>
              <w:fldChar w:fldCharType="end"/>
            </w:r>
          </w:hyperlink>
        </w:p>
        <w:p w14:paraId="0B3ED9E3" w14:textId="77777777" w:rsidR="00E03EE3" w:rsidRPr="003915E9" w:rsidRDefault="00A36734" w:rsidP="003915E9">
          <w:pPr>
            <w:pStyle w:val="TOC6"/>
            <w:rPr>
              <w:rFonts w:eastAsiaTheme="minorEastAsia" w:cstheme="minorBidi"/>
              <w:noProof/>
              <w:sz w:val="22"/>
              <w:szCs w:val="22"/>
              <w:lang w:eastAsia="en-GB"/>
            </w:rPr>
          </w:pPr>
          <w:hyperlink w:anchor="_Toc462575326" w:history="1">
            <w:r w:rsidR="00E03EE3" w:rsidRPr="003915E9">
              <w:rPr>
                <w:rStyle w:val="Hyperlink"/>
                <w:rFonts w:eastAsia="Calibri"/>
                <w:noProof/>
                <w:sz w:val="22"/>
                <w:szCs w:val="22"/>
                <w:lang w:eastAsia="zh-CN"/>
              </w:rPr>
              <w:t>4.2.4. X-ray photoelectron spectroscopy (XPS)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_Toc462575326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79</w:t>
            </w:r>
            <w:r w:rsidR="00E03EE3" w:rsidRPr="003915E9">
              <w:rPr>
                <w:noProof/>
                <w:webHidden/>
                <w:sz w:val="22"/>
                <w:szCs w:val="22"/>
              </w:rPr>
              <w:fldChar w:fldCharType="end"/>
            </w:r>
          </w:hyperlink>
        </w:p>
        <w:p w14:paraId="05399B41" w14:textId="77777777" w:rsidR="00E03EE3" w:rsidRPr="003915E9" w:rsidRDefault="00A36734" w:rsidP="003915E9">
          <w:pPr>
            <w:pStyle w:val="TOC6"/>
            <w:rPr>
              <w:rFonts w:eastAsiaTheme="minorEastAsia" w:cstheme="minorBidi"/>
              <w:noProof/>
              <w:sz w:val="22"/>
              <w:szCs w:val="22"/>
              <w:lang w:eastAsia="en-GB"/>
            </w:rPr>
          </w:pPr>
          <w:hyperlink w:anchor="_Toc462575327" w:history="1">
            <w:r w:rsidR="00E03EE3" w:rsidRPr="003915E9">
              <w:rPr>
                <w:rStyle w:val="Hyperlink"/>
                <w:rFonts w:eastAsia="Calibri"/>
                <w:noProof/>
                <w:sz w:val="22"/>
                <w:szCs w:val="22"/>
                <w:lang w:eastAsia="zh-CN"/>
              </w:rPr>
              <w:t>4.2.5. Zeta potential analysis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_Toc462575327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80</w:t>
            </w:r>
            <w:r w:rsidR="00E03EE3" w:rsidRPr="003915E9">
              <w:rPr>
                <w:noProof/>
                <w:webHidden/>
                <w:sz w:val="22"/>
                <w:szCs w:val="22"/>
              </w:rPr>
              <w:fldChar w:fldCharType="end"/>
            </w:r>
          </w:hyperlink>
        </w:p>
        <w:p w14:paraId="0E05D286" w14:textId="77777777" w:rsidR="00E03EE3" w:rsidRPr="003915E9" w:rsidRDefault="00A36734" w:rsidP="003915E9">
          <w:pPr>
            <w:pStyle w:val="TOC6"/>
            <w:rPr>
              <w:rFonts w:eastAsiaTheme="minorEastAsia" w:cstheme="minorBidi"/>
              <w:noProof/>
              <w:sz w:val="22"/>
              <w:szCs w:val="22"/>
              <w:lang w:eastAsia="en-GB"/>
            </w:rPr>
          </w:pPr>
          <w:hyperlink w:anchor="_Toc462575328" w:history="1">
            <w:r w:rsidR="00E03EE3" w:rsidRPr="003915E9">
              <w:rPr>
                <w:rStyle w:val="Hyperlink"/>
                <w:rFonts w:eastAsia="Calibri"/>
                <w:noProof/>
                <w:sz w:val="22"/>
                <w:szCs w:val="22"/>
                <w:lang w:eastAsia="zh-CN"/>
              </w:rPr>
              <w:t>4.2.6. Multiple fluorescent staining of cell surface components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_Toc462575328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80</w:t>
            </w:r>
            <w:r w:rsidR="00E03EE3" w:rsidRPr="003915E9">
              <w:rPr>
                <w:noProof/>
                <w:webHidden/>
                <w:sz w:val="22"/>
                <w:szCs w:val="22"/>
              </w:rPr>
              <w:fldChar w:fldCharType="end"/>
            </w:r>
          </w:hyperlink>
        </w:p>
        <w:p w14:paraId="106A2437" w14:textId="77777777" w:rsidR="00E03EE3" w:rsidRPr="003915E9" w:rsidRDefault="00A36734" w:rsidP="003915E9">
          <w:pPr>
            <w:pStyle w:val="TOC6"/>
            <w:rPr>
              <w:rFonts w:eastAsiaTheme="minorEastAsia" w:cstheme="minorBidi"/>
              <w:noProof/>
              <w:sz w:val="22"/>
              <w:szCs w:val="22"/>
              <w:lang w:eastAsia="en-GB"/>
            </w:rPr>
          </w:pPr>
          <w:hyperlink w:anchor="_Toc462575329" w:history="1">
            <w:r w:rsidR="00E03EE3" w:rsidRPr="003915E9">
              <w:rPr>
                <w:rStyle w:val="Hyperlink"/>
                <w:rFonts w:eastAsia="Calibri"/>
                <w:noProof/>
                <w:sz w:val="22"/>
                <w:szCs w:val="22"/>
                <w:lang w:eastAsia="zh-CN"/>
              </w:rPr>
              <w:t>4.2.7. Statistical analysis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_Toc462575329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82</w:t>
            </w:r>
            <w:r w:rsidR="00E03EE3" w:rsidRPr="003915E9">
              <w:rPr>
                <w:noProof/>
                <w:webHidden/>
                <w:sz w:val="22"/>
                <w:szCs w:val="22"/>
              </w:rPr>
              <w:fldChar w:fldCharType="end"/>
            </w:r>
          </w:hyperlink>
        </w:p>
        <w:p w14:paraId="52FC1B09" w14:textId="77777777" w:rsidR="00E03EE3" w:rsidRPr="003915E9" w:rsidRDefault="00A36734" w:rsidP="003915E9">
          <w:pPr>
            <w:pStyle w:val="TOC1"/>
            <w:rPr>
              <w:rFonts w:eastAsiaTheme="minorEastAsia" w:cstheme="minorBidi"/>
              <w:b/>
              <w:sz w:val="22"/>
              <w:szCs w:val="22"/>
              <w:lang w:eastAsia="en-GB"/>
            </w:rPr>
          </w:pPr>
          <w:hyperlink w:anchor="_Toc462575330" w:history="1">
            <w:r w:rsidR="00E03EE3" w:rsidRPr="003915E9">
              <w:rPr>
                <w:rStyle w:val="Hyperlink"/>
                <w:caps w:val="0"/>
                <w:sz w:val="22"/>
                <w:szCs w:val="22"/>
                <w:lang w:eastAsia="zh-CN"/>
              </w:rPr>
              <w:t>4.3. Results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_Toc462575330 \h </w:instrText>
            </w:r>
            <w:r w:rsidR="00E03EE3" w:rsidRPr="003915E9">
              <w:rPr>
                <w:webHidden/>
                <w:sz w:val="22"/>
                <w:szCs w:val="22"/>
              </w:rPr>
            </w:r>
            <w:r w:rsidR="00E03EE3" w:rsidRPr="003915E9">
              <w:rPr>
                <w:webHidden/>
                <w:sz w:val="22"/>
                <w:szCs w:val="22"/>
              </w:rPr>
              <w:fldChar w:fldCharType="separate"/>
            </w:r>
            <w:r w:rsidR="00302AD3">
              <w:rPr>
                <w:webHidden/>
                <w:sz w:val="22"/>
                <w:szCs w:val="22"/>
              </w:rPr>
              <w:t>82</w:t>
            </w:r>
            <w:r w:rsidR="00E03EE3" w:rsidRPr="003915E9">
              <w:rPr>
                <w:webHidden/>
                <w:sz w:val="22"/>
                <w:szCs w:val="22"/>
              </w:rPr>
              <w:fldChar w:fldCharType="end"/>
            </w:r>
          </w:hyperlink>
        </w:p>
        <w:p w14:paraId="2CA605EE" w14:textId="77777777" w:rsidR="00E03EE3" w:rsidRPr="003915E9" w:rsidRDefault="00A36734" w:rsidP="003915E9">
          <w:pPr>
            <w:pStyle w:val="TOC6"/>
            <w:rPr>
              <w:rFonts w:eastAsiaTheme="minorEastAsia" w:cstheme="minorBidi"/>
              <w:noProof/>
              <w:sz w:val="22"/>
              <w:szCs w:val="22"/>
              <w:lang w:eastAsia="en-GB"/>
            </w:rPr>
          </w:pPr>
          <w:hyperlink w:anchor="_Toc462575331" w:history="1">
            <w:r w:rsidR="00E03EE3" w:rsidRPr="003915E9">
              <w:rPr>
                <w:rStyle w:val="Hyperlink"/>
                <w:rFonts w:eastAsia="Calibri"/>
                <w:noProof/>
                <w:sz w:val="22"/>
                <w:szCs w:val="22"/>
                <w:lang w:eastAsia="zh-CN"/>
              </w:rPr>
              <w:t>4.3.1. Fourier transform infrared spectroscopy (FTIR) analysis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_Toc462575331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82</w:t>
            </w:r>
            <w:r w:rsidR="00E03EE3" w:rsidRPr="003915E9">
              <w:rPr>
                <w:noProof/>
                <w:webHidden/>
                <w:sz w:val="22"/>
                <w:szCs w:val="22"/>
              </w:rPr>
              <w:fldChar w:fldCharType="end"/>
            </w:r>
          </w:hyperlink>
        </w:p>
        <w:p w14:paraId="783E573F" w14:textId="77777777" w:rsidR="00E03EE3" w:rsidRPr="003915E9" w:rsidRDefault="00A36734" w:rsidP="003915E9">
          <w:pPr>
            <w:pStyle w:val="TOC6"/>
            <w:rPr>
              <w:rFonts w:eastAsiaTheme="minorEastAsia" w:cstheme="minorBidi"/>
              <w:noProof/>
              <w:sz w:val="22"/>
              <w:szCs w:val="22"/>
              <w:lang w:eastAsia="en-GB"/>
            </w:rPr>
          </w:pPr>
          <w:hyperlink w:anchor="_Toc462575332" w:history="1">
            <w:r w:rsidR="00E03EE3" w:rsidRPr="003915E9">
              <w:rPr>
                <w:rStyle w:val="Hyperlink"/>
                <w:rFonts w:eastAsia="Calibri"/>
                <w:noProof/>
                <w:sz w:val="22"/>
                <w:szCs w:val="22"/>
                <w:lang w:eastAsia="zh-CN"/>
              </w:rPr>
              <w:t>4.3.2. X-ray photoelectron spectroscopy (XPS) analysis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_Toc462575332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84</w:t>
            </w:r>
            <w:r w:rsidR="00E03EE3" w:rsidRPr="003915E9">
              <w:rPr>
                <w:noProof/>
                <w:webHidden/>
                <w:sz w:val="22"/>
                <w:szCs w:val="22"/>
              </w:rPr>
              <w:fldChar w:fldCharType="end"/>
            </w:r>
          </w:hyperlink>
        </w:p>
        <w:p w14:paraId="0AA5F949" w14:textId="77777777" w:rsidR="00E03EE3" w:rsidRPr="003915E9" w:rsidRDefault="00A36734" w:rsidP="003915E9">
          <w:pPr>
            <w:pStyle w:val="TOC6"/>
            <w:rPr>
              <w:rFonts w:eastAsiaTheme="minorEastAsia" w:cstheme="minorBidi"/>
              <w:noProof/>
              <w:sz w:val="22"/>
              <w:szCs w:val="22"/>
              <w:lang w:eastAsia="en-GB"/>
            </w:rPr>
          </w:pPr>
          <w:hyperlink w:anchor="_Toc462575333" w:history="1">
            <w:r w:rsidR="00E03EE3" w:rsidRPr="003915E9">
              <w:rPr>
                <w:rStyle w:val="Hyperlink"/>
                <w:rFonts w:eastAsia="Calibri"/>
                <w:noProof/>
                <w:sz w:val="22"/>
                <w:szCs w:val="22"/>
                <w:lang w:eastAsia="zh-CN"/>
              </w:rPr>
              <w:t>4.3.3. Zeta potential analysis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_Toc462575333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87</w:t>
            </w:r>
            <w:r w:rsidR="00E03EE3" w:rsidRPr="003915E9">
              <w:rPr>
                <w:noProof/>
                <w:webHidden/>
                <w:sz w:val="22"/>
                <w:szCs w:val="22"/>
              </w:rPr>
              <w:fldChar w:fldCharType="end"/>
            </w:r>
          </w:hyperlink>
        </w:p>
        <w:p w14:paraId="1C59207E" w14:textId="77777777" w:rsidR="00E03EE3" w:rsidRPr="003915E9" w:rsidRDefault="00A36734" w:rsidP="003915E9">
          <w:pPr>
            <w:pStyle w:val="TOC6"/>
            <w:rPr>
              <w:rFonts w:eastAsiaTheme="minorEastAsia" w:cstheme="minorBidi"/>
              <w:noProof/>
              <w:sz w:val="22"/>
              <w:szCs w:val="22"/>
              <w:lang w:eastAsia="en-GB"/>
            </w:rPr>
          </w:pPr>
          <w:hyperlink w:anchor="_Toc462575334" w:history="1">
            <w:r w:rsidR="00E03EE3" w:rsidRPr="003915E9">
              <w:rPr>
                <w:rStyle w:val="Hyperlink"/>
                <w:rFonts w:eastAsia="Calibri"/>
                <w:noProof/>
                <w:sz w:val="22"/>
                <w:szCs w:val="22"/>
                <w:lang w:eastAsia="zh-CN"/>
              </w:rPr>
              <w:t>4.3.4. Epifluorescence microscopy of cell surface components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_Toc462575334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88</w:t>
            </w:r>
            <w:r w:rsidR="00E03EE3" w:rsidRPr="003915E9">
              <w:rPr>
                <w:noProof/>
                <w:webHidden/>
                <w:sz w:val="22"/>
                <w:szCs w:val="22"/>
              </w:rPr>
              <w:fldChar w:fldCharType="end"/>
            </w:r>
          </w:hyperlink>
        </w:p>
        <w:p w14:paraId="22403361" w14:textId="77777777" w:rsidR="00E03EE3" w:rsidRPr="003915E9" w:rsidRDefault="00A36734" w:rsidP="003915E9">
          <w:pPr>
            <w:pStyle w:val="TOC1"/>
            <w:rPr>
              <w:rFonts w:eastAsiaTheme="minorEastAsia" w:cstheme="minorBidi"/>
              <w:b/>
              <w:sz w:val="22"/>
              <w:szCs w:val="22"/>
              <w:lang w:eastAsia="en-GB"/>
            </w:rPr>
          </w:pPr>
          <w:hyperlink w:anchor="_Toc462575335" w:history="1">
            <w:r w:rsidR="00E03EE3" w:rsidRPr="003915E9">
              <w:rPr>
                <w:rStyle w:val="Hyperlink"/>
                <w:caps w:val="0"/>
                <w:sz w:val="22"/>
                <w:szCs w:val="22"/>
                <w:lang w:eastAsia="zh-CN"/>
              </w:rPr>
              <w:t>4.4. Discussion</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_Toc462575335 \h </w:instrText>
            </w:r>
            <w:r w:rsidR="00E03EE3" w:rsidRPr="003915E9">
              <w:rPr>
                <w:webHidden/>
                <w:sz w:val="22"/>
                <w:szCs w:val="22"/>
              </w:rPr>
            </w:r>
            <w:r w:rsidR="00E03EE3" w:rsidRPr="003915E9">
              <w:rPr>
                <w:webHidden/>
                <w:sz w:val="22"/>
                <w:szCs w:val="22"/>
              </w:rPr>
              <w:fldChar w:fldCharType="separate"/>
            </w:r>
            <w:r w:rsidR="00302AD3">
              <w:rPr>
                <w:webHidden/>
                <w:sz w:val="22"/>
                <w:szCs w:val="22"/>
              </w:rPr>
              <w:t>89</w:t>
            </w:r>
            <w:r w:rsidR="00E03EE3" w:rsidRPr="003915E9">
              <w:rPr>
                <w:webHidden/>
                <w:sz w:val="22"/>
                <w:szCs w:val="22"/>
              </w:rPr>
              <w:fldChar w:fldCharType="end"/>
            </w:r>
          </w:hyperlink>
        </w:p>
        <w:p w14:paraId="13FFCD28" w14:textId="77777777" w:rsidR="00E03EE3" w:rsidRPr="003915E9" w:rsidRDefault="00A36734" w:rsidP="003915E9">
          <w:pPr>
            <w:pStyle w:val="TOC1"/>
            <w:rPr>
              <w:rFonts w:eastAsiaTheme="minorEastAsia" w:cstheme="minorBidi"/>
              <w:b/>
              <w:sz w:val="22"/>
              <w:szCs w:val="22"/>
              <w:lang w:eastAsia="en-GB"/>
            </w:rPr>
          </w:pPr>
          <w:hyperlink w:anchor="_Toc462575336" w:history="1">
            <w:r w:rsidR="00E03EE3" w:rsidRPr="003915E9">
              <w:rPr>
                <w:rStyle w:val="Hyperlink"/>
                <w:caps w:val="0"/>
                <w:sz w:val="22"/>
                <w:szCs w:val="22"/>
                <w:lang w:eastAsia="zh-CN"/>
              </w:rPr>
              <w:t>4.5. Conclusions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_Toc462575336 \h </w:instrText>
            </w:r>
            <w:r w:rsidR="00E03EE3" w:rsidRPr="003915E9">
              <w:rPr>
                <w:webHidden/>
                <w:sz w:val="22"/>
                <w:szCs w:val="22"/>
              </w:rPr>
            </w:r>
            <w:r w:rsidR="00E03EE3" w:rsidRPr="003915E9">
              <w:rPr>
                <w:webHidden/>
                <w:sz w:val="22"/>
                <w:szCs w:val="22"/>
              </w:rPr>
              <w:fldChar w:fldCharType="separate"/>
            </w:r>
            <w:r w:rsidR="00302AD3">
              <w:rPr>
                <w:webHidden/>
                <w:sz w:val="22"/>
                <w:szCs w:val="22"/>
              </w:rPr>
              <w:t>91</w:t>
            </w:r>
            <w:r w:rsidR="00E03EE3" w:rsidRPr="003915E9">
              <w:rPr>
                <w:webHidden/>
                <w:sz w:val="22"/>
                <w:szCs w:val="22"/>
              </w:rPr>
              <w:fldChar w:fldCharType="end"/>
            </w:r>
          </w:hyperlink>
        </w:p>
        <w:p w14:paraId="576E44DB" w14:textId="2D7739FA" w:rsidR="00E03EE3" w:rsidRPr="003915E9" w:rsidRDefault="00A36734" w:rsidP="003915E9">
          <w:pPr>
            <w:pStyle w:val="TOC2"/>
            <w:rPr>
              <w:rFonts w:eastAsiaTheme="minorEastAsia" w:cstheme="minorBidi"/>
            </w:rPr>
          </w:pPr>
          <w:hyperlink w:anchor="_Toc462575337" w:history="1">
            <w:r w:rsidR="00E03EE3" w:rsidRPr="003915E9">
              <w:rPr>
                <w:rStyle w:val="Hyperlink"/>
              </w:rPr>
              <w:t>Chapter 5</w:t>
            </w:r>
            <w:r w:rsidR="003915E9" w:rsidRPr="003915E9">
              <w:rPr>
                <w:rStyle w:val="Hyperlink"/>
              </w:rPr>
              <w:t>: Influence of a biofilm lifestyle on the functional proteome of Methanosarcina barkeri as a function of support material</w:t>
            </w:r>
            <w:r w:rsidR="00E03EE3" w:rsidRPr="003915E9">
              <w:rPr>
                <w:webHidden/>
              </w:rPr>
              <w:tab/>
            </w:r>
            <w:r w:rsidR="00E03EE3" w:rsidRPr="003915E9">
              <w:rPr>
                <w:webHidden/>
              </w:rPr>
              <w:fldChar w:fldCharType="begin"/>
            </w:r>
            <w:r w:rsidR="00E03EE3" w:rsidRPr="003915E9">
              <w:rPr>
                <w:webHidden/>
              </w:rPr>
              <w:instrText xml:space="preserve"> PAGEREF _Toc462575337 \h </w:instrText>
            </w:r>
            <w:r w:rsidR="00E03EE3" w:rsidRPr="003915E9">
              <w:rPr>
                <w:webHidden/>
              </w:rPr>
            </w:r>
            <w:r w:rsidR="00E03EE3" w:rsidRPr="003915E9">
              <w:rPr>
                <w:webHidden/>
              </w:rPr>
              <w:fldChar w:fldCharType="separate"/>
            </w:r>
            <w:r w:rsidR="00302AD3">
              <w:rPr>
                <w:webHidden/>
              </w:rPr>
              <w:t>93</w:t>
            </w:r>
            <w:r w:rsidR="00E03EE3" w:rsidRPr="003915E9">
              <w:rPr>
                <w:webHidden/>
              </w:rPr>
              <w:fldChar w:fldCharType="end"/>
            </w:r>
          </w:hyperlink>
        </w:p>
        <w:p w14:paraId="0E777FBA" w14:textId="77777777" w:rsidR="00E03EE3" w:rsidRPr="003915E9" w:rsidRDefault="00A36734" w:rsidP="003915E9">
          <w:pPr>
            <w:pStyle w:val="TOC1"/>
            <w:rPr>
              <w:rFonts w:eastAsiaTheme="minorEastAsia" w:cstheme="minorBidi"/>
              <w:b/>
              <w:sz w:val="22"/>
              <w:szCs w:val="22"/>
              <w:lang w:eastAsia="en-GB"/>
            </w:rPr>
          </w:pPr>
          <w:hyperlink w:anchor="_Toc462575339" w:history="1">
            <w:r w:rsidR="00E03EE3" w:rsidRPr="003915E9">
              <w:rPr>
                <w:rStyle w:val="Hyperlink"/>
                <w:caps w:val="0"/>
                <w:sz w:val="22"/>
                <w:szCs w:val="22"/>
                <w:lang w:eastAsia="en-GB"/>
              </w:rPr>
              <w:t>5.1. Introduction</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_Toc462575339 \h </w:instrText>
            </w:r>
            <w:r w:rsidR="00E03EE3" w:rsidRPr="003915E9">
              <w:rPr>
                <w:webHidden/>
                <w:sz w:val="22"/>
                <w:szCs w:val="22"/>
              </w:rPr>
            </w:r>
            <w:r w:rsidR="00E03EE3" w:rsidRPr="003915E9">
              <w:rPr>
                <w:webHidden/>
                <w:sz w:val="22"/>
                <w:szCs w:val="22"/>
              </w:rPr>
              <w:fldChar w:fldCharType="separate"/>
            </w:r>
            <w:r w:rsidR="00302AD3">
              <w:rPr>
                <w:webHidden/>
                <w:sz w:val="22"/>
                <w:szCs w:val="22"/>
              </w:rPr>
              <w:t>93</w:t>
            </w:r>
            <w:r w:rsidR="00E03EE3" w:rsidRPr="003915E9">
              <w:rPr>
                <w:webHidden/>
                <w:sz w:val="22"/>
                <w:szCs w:val="22"/>
              </w:rPr>
              <w:fldChar w:fldCharType="end"/>
            </w:r>
          </w:hyperlink>
        </w:p>
        <w:p w14:paraId="196BB899" w14:textId="77777777" w:rsidR="00E03EE3" w:rsidRPr="003915E9" w:rsidRDefault="00A36734" w:rsidP="003915E9">
          <w:pPr>
            <w:pStyle w:val="TOC1"/>
            <w:rPr>
              <w:rFonts w:eastAsiaTheme="minorEastAsia" w:cstheme="minorBidi"/>
              <w:b/>
              <w:sz w:val="22"/>
              <w:szCs w:val="22"/>
              <w:lang w:eastAsia="en-GB"/>
            </w:rPr>
          </w:pPr>
          <w:hyperlink w:anchor="_Toc462575340" w:history="1">
            <w:r w:rsidR="00E03EE3" w:rsidRPr="003915E9">
              <w:rPr>
                <w:rStyle w:val="Hyperlink"/>
                <w:caps w:val="0"/>
                <w:sz w:val="22"/>
                <w:szCs w:val="22"/>
                <w:lang w:eastAsia="en-GB"/>
              </w:rPr>
              <w:t>5.2. Materials and Methods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_Toc462575340 \h </w:instrText>
            </w:r>
            <w:r w:rsidR="00E03EE3" w:rsidRPr="003915E9">
              <w:rPr>
                <w:webHidden/>
                <w:sz w:val="22"/>
                <w:szCs w:val="22"/>
              </w:rPr>
            </w:r>
            <w:r w:rsidR="00E03EE3" w:rsidRPr="003915E9">
              <w:rPr>
                <w:webHidden/>
                <w:sz w:val="22"/>
                <w:szCs w:val="22"/>
              </w:rPr>
              <w:fldChar w:fldCharType="separate"/>
            </w:r>
            <w:r w:rsidR="00302AD3">
              <w:rPr>
                <w:webHidden/>
                <w:sz w:val="22"/>
                <w:szCs w:val="22"/>
              </w:rPr>
              <w:t>94</w:t>
            </w:r>
            <w:r w:rsidR="00E03EE3" w:rsidRPr="003915E9">
              <w:rPr>
                <w:webHidden/>
                <w:sz w:val="22"/>
                <w:szCs w:val="22"/>
              </w:rPr>
              <w:fldChar w:fldCharType="end"/>
            </w:r>
          </w:hyperlink>
        </w:p>
        <w:p w14:paraId="549577A2" w14:textId="77777777" w:rsidR="00E03EE3" w:rsidRPr="003915E9" w:rsidRDefault="00A36734" w:rsidP="003915E9">
          <w:pPr>
            <w:pStyle w:val="TOC6"/>
            <w:rPr>
              <w:rFonts w:eastAsiaTheme="minorEastAsia" w:cstheme="minorBidi"/>
              <w:noProof/>
              <w:sz w:val="22"/>
              <w:szCs w:val="22"/>
              <w:lang w:eastAsia="en-GB"/>
            </w:rPr>
          </w:pPr>
          <w:hyperlink w:anchor="_Toc462575341" w:history="1">
            <w:r w:rsidR="00E03EE3" w:rsidRPr="003915E9">
              <w:rPr>
                <w:rStyle w:val="Hyperlink"/>
                <w:rFonts w:eastAsia="Cambria"/>
                <w:noProof/>
                <w:sz w:val="22"/>
                <w:szCs w:val="22"/>
                <w:lang w:eastAsia="en-GB"/>
              </w:rPr>
              <w:t>5.2.1. Support material preparation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_Toc462575341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94</w:t>
            </w:r>
            <w:r w:rsidR="00E03EE3" w:rsidRPr="003915E9">
              <w:rPr>
                <w:noProof/>
                <w:webHidden/>
                <w:sz w:val="22"/>
                <w:szCs w:val="22"/>
              </w:rPr>
              <w:fldChar w:fldCharType="end"/>
            </w:r>
          </w:hyperlink>
        </w:p>
        <w:p w14:paraId="051B6895" w14:textId="77777777" w:rsidR="00E03EE3" w:rsidRPr="003915E9" w:rsidRDefault="00A36734" w:rsidP="003915E9">
          <w:pPr>
            <w:pStyle w:val="TOC6"/>
            <w:rPr>
              <w:rFonts w:eastAsiaTheme="minorEastAsia" w:cstheme="minorBidi"/>
              <w:noProof/>
              <w:sz w:val="22"/>
              <w:szCs w:val="22"/>
              <w:lang w:eastAsia="en-GB"/>
            </w:rPr>
          </w:pPr>
          <w:hyperlink w:anchor="_Toc462575342" w:history="1">
            <w:r w:rsidR="00E03EE3" w:rsidRPr="003915E9">
              <w:rPr>
                <w:rStyle w:val="Hyperlink"/>
                <w:rFonts w:eastAsia="Cambria"/>
                <w:noProof/>
                <w:sz w:val="22"/>
                <w:szCs w:val="22"/>
                <w:lang w:eastAsia="en-GB"/>
              </w:rPr>
              <w:t>5.2.2. Biofilm accumulation experiment</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_Toc462575342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94</w:t>
            </w:r>
            <w:r w:rsidR="00E03EE3" w:rsidRPr="003915E9">
              <w:rPr>
                <w:noProof/>
                <w:webHidden/>
                <w:sz w:val="22"/>
                <w:szCs w:val="22"/>
              </w:rPr>
              <w:fldChar w:fldCharType="end"/>
            </w:r>
          </w:hyperlink>
        </w:p>
        <w:p w14:paraId="0787D0BB" w14:textId="77777777" w:rsidR="00E03EE3" w:rsidRPr="003915E9" w:rsidRDefault="00A36734" w:rsidP="003915E9">
          <w:pPr>
            <w:pStyle w:val="TOC6"/>
            <w:rPr>
              <w:rFonts w:eastAsiaTheme="minorEastAsia" w:cstheme="minorBidi"/>
              <w:noProof/>
              <w:sz w:val="22"/>
              <w:szCs w:val="22"/>
              <w:lang w:eastAsia="en-GB"/>
            </w:rPr>
          </w:pPr>
          <w:hyperlink w:anchor="_Toc462575343" w:history="1">
            <w:r w:rsidR="00E03EE3" w:rsidRPr="003915E9">
              <w:rPr>
                <w:rStyle w:val="Hyperlink"/>
                <w:rFonts w:eastAsia="Cambria"/>
                <w:noProof/>
                <w:sz w:val="22"/>
                <w:szCs w:val="22"/>
                <w:lang w:eastAsia="en-GB"/>
              </w:rPr>
              <w:t>5.2.3. Batch culture setup and biofilm sampling for proteomics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_Toc462575343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95</w:t>
            </w:r>
            <w:r w:rsidR="00E03EE3" w:rsidRPr="003915E9">
              <w:rPr>
                <w:noProof/>
                <w:webHidden/>
                <w:sz w:val="22"/>
                <w:szCs w:val="22"/>
              </w:rPr>
              <w:fldChar w:fldCharType="end"/>
            </w:r>
          </w:hyperlink>
        </w:p>
        <w:p w14:paraId="005F5D0B" w14:textId="77777777" w:rsidR="00E03EE3" w:rsidRPr="003915E9" w:rsidRDefault="00A36734" w:rsidP="003915E9">
          <w:pPr>
            <w:pStyle w:val="TOC6"/>
            <w:rPr>
              <w:rFonts w:eastAsiaTheme="minorEastAsia" w:cstheme="minorBidi"/>
              <w:noProof/>
              <w:sz w:val="22"/>
              <w:szCs w:val="22"/>
              <w:lang w:eastAsia="en-GB"/>
            </w:rPr>
          </w:pPr>
          <w:hyperlink w:anchor="_Toc462575344" w:history="1">
            <w:r w:rsidR="00E03EE3" w:rsidRPr="003915E9">
              <w:rPr>
                <w:rStyle w:val="Hyperlink"/>
                <w:rFonts w:eastAsia="Cambria"/>
                <w:noProof/>
                <w:sz w:val="22"/>
                <w:szCs w:val="22"/>
                <w:lang w:eastAsia="en-GB"/>
              </w:rPr>
              <w:t>5.2.4. Protein extraction and concentration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_Toc462575344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95</w:t>
            </w:r>
            <w:r w:rsidR="00E03EE3" w:rsidRPr="003915E9">
              <w:rPr>
                <w:noProof/>
                <w:webHidden/>
                <w:sz w:val="22"/>
                <w:szCs w:val="22"/>
              </w:rPr>
              <w:fldChar w:fldCharType="end"/>
            </w:r>
          </w:hyperlink>
        </w:p>
        <w:p w14:paraId="658130EE" w14:textId="77777777" w:rsidR="00E03EE3" w:rsidRPr="003915E9" w:rsidRDefault="00A36734" w:rsidP="003915E9">
          <w:pPr>
            <w:pStyle w:val="TOC6"/>
            <w:rPr>
              <w:rFonts w:eastAsiaTheme="minorEastAsia" w:cstheme="minorBidi"/>
              <w:noProof/>
              <w:sz w:val="22"/>
              <w:szCs w:val="22"/>
              <w:lang w:eastAsia="en-GB"/>
            </w:rPr>
          </w:pPr>
          <w:hyperlink w:anchor="_Toc462575345" w:history="1">
            <w:r w:rsidR="00E03EE3" w:rsidRPr="003915E9">
              <w:rPr>
                <w:rStyle w:val="Hyperlink"/>
                <w:rFonts w:eastAsia="Cambria"/>
                <w:noProof/>
                <w:sz w:val="22"/>
                <w:szCs w:val="22"/>
                <w:lang w:eastAsia="en-GB"/>
              </w:rPr>
              <w:t>5.2.5. Protein quantification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_Toc462575345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97</w:t>
            </w:r>
            <w:r w:rsidR="00E03EE3" w:rsidRPr="003915E9">
              <w:rPr>
                <w:noProof/>
                <w:webHidden/>
                <w:sz w:val="22"/>
                <w:szCs w:val="22"/>
              </w:rPr>
              <w:fldChar w:fldCharType="end"/>
            </w:r>
          </w:hyperlink>
        </w:p>
        <w:p w14:paraId="283F14AC" w14:textId="77777777" w:rsidR="00E03EE3" w:rsidRPr="003915E9" w:rsidRDefault="00A36734" w:rsidP="003915E9">
          <w:pPr>
            <w:pStyle w:val="TOC6"/>
            <w:rPr>
              <w:rFonts w:eastAsiaTheme="minorEastAsia" w:cstheme="minorBidi"/>
              <w:noProof/>
              <w:sz w:val="22"/>
              <w:szCs w:val="22"/>
              <w:lang w:eastAsia="en-GB"/>
            </w:rPr>
          </w:pPr>
          <w:hyperlink w:anchor="_Toc462575346" w:history="1">
            <w:r w:rsidR="00E03EE3" w:rsidRPr="003915E9">
              <w:rPr>
                <w:rStyle w:val="Hyperlink"/>
                <w:rFonts w:eastAsia="Cambria"/>
                <w:noProof/>
                <w:sz w:val="22"/>
                <w:szCs w:val="22"/>
                <w:lang w:eastAsia="en-GB"/>
              </w:rPr>
              <w:t>5.2.6. Silver staining of proteins from SDS-PAGE</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_Toc462575346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99</w:t>
            </w:r>
            <w:r w:rsidR="00E03EE3" w:rsidRPr="003915E9">
              <w:rPr>
                <w:noProof/>
                <w:webHidden/>
                <w:sz w:val="22"/>
                <w:szCs w:val="22"/>
              </w:rPr>
              <w:fldChar w:fldCharType="end"/>
            </w:r>
          </w:hyperlink>
        </w:p>
        <w:p w14:paraId="1708D62A" w14:textId="77777777" w:rsidR="00E03EE3" w:rsidRPr="003915E9" w:rsidRDefault="00A36734" w:rsidP="003915E9">
          <w:pPr>
            <w:pStyle w:val="TOC6"/>
            <w:rPr>
              <w:rFonts w:eastAsiaTheme="minorEastAsia" w:cstheme="minorBidi"/>
              <w:noProof/>
              <w:sz w:val="22"/>
              <w:szCs w:val="22"/>
              <w:lang w:eastAsia="en-GB"/>
            </w:rPr>
          </w:pPr>
          <w:hyperlink w:anchor="_Toc462575347" w:history="1">
            <w:r w:rsidR="00E03EE3" w:rsidRPr="003915E9">
              <w:rPr>
                <w:rStyle w:val="Hyperlink"/>
                <w:rFonts w:eastAsia="Cambria"/>
                <w:noProof/>
                <w:sz w:val="22"/>
                <w:szCs w:val="22"/>
                <w:lang w:eastAsia="en-GB"/>
              </w:rPr>
              <w:t>5.2.7. Trypsin digestion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_Toc462575347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99</w:t>
            </w:r>
            <w:r w:rsidR="00E03EE3" w:rsidRPr="003915E9">
              <w:rPr>
                <w:noProof/>
                <w:webHidden/>
                <w:sz w:val="22"/>
                <w:szCs w:val="22"/>
              </w:rPr>
              <w:fldChar w:fldCharType="end"/>
            </w:r>
          </w:hyperlink>
        </w:p>
        <w:p w14:paraId="490CCE44" w14:textId="77777777" w:rsidR="00E03EE3" w:rsidRPr="003915E9" w:rsidRDefault="00A36734" w:rsidP="003915E9">
          <w:pPr>
            <w:pStyle w:val="TOC6"/>
            <w:rPr>
              <w:rFonts w:eastAsiaTheme="minorEastAsia" w:cstheme="minorBidi"/>
              <w:noProof/>
              <w:sz w:val="22"/>
              <w:szCs w:val="22"/>
              <w:lang w:eastAsia="en-GB"/>
            </w:rPr>
          </w:pPr>
          <w:hyperlink w:anchor="_Toc462575348" w:history="1">
            <w:r w:rsidR="00E03EE3" w:rsidRPr="003915E9">
              <w:rPr>
                <w:rStyle w:val="Hyperlink"/>
                <w:rFonts w:eastAsia="Cambria"/>
                <w:noProof/>
                <w:sz w:val="22"/>
                <w:szCs w:val="22"/>
                <w:lang w:eastAsia="en-GB"/>
              </w:rPr>
              <w:t>5.2.8. iTRAQ labelling</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_Toc462575348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100</w:t>
            </w:r>
            <w:r w:rsidR="00E03EE3" w:rsidRPr="003915E9">
              <w:rPr>
                <w:noProof/>
                <w:webHidden/>
                <w:sz w:val="22"/>
                <w:szCs w:val="22"/>
              </w:rPr>
              <w:fldChar w:fldCharType="end"/>
            </w:r>
          </w:hyperlink>
        </w:p>
        <w:p w14:paraId="0B51EBB6" w14:textId="77777777" w:rsidR="00E03EE3" w:rsidRPr="003915E9" w:rsidRDefault="00A36734" w:rsidP="003915E9">
          <w:pPr>
            <w:pStyle w:val="TOC6"/>
            <w:rPr>
              <w:rFonts w:eastAsiaTheme="minorEastAsia" w:cstheme="minorBidi"/>
              <w:noProof/>
              <w:sz w:val="22"/>
              <w:szCs w:val="22"/>
              <w:lang w:eastAsia="en-GB"/>
            </w:rPr>
          </w:pPr>
          <w:hyperlink w:anchor="_Toc462575349" w:history="1">
            <w:r w:rsidR="00E03EE3" w:rsidRPr="003915E9">
              <w:rPr>
                <w:rStyle w:val="Hyperlink"/>
                <w:rFonts w:eastAsia="Cambria"/>
                <w:bCs/>
                <w:iCs/>
                <w:noProof/>
                <w:sz w:val="22"/>
                <w:szCs w:val="22"/>
                <w:lang w:eastAsia="en-GB"/>
              </w:rPr>
              <w:t xml:space="preserve">5.2.9. </w:t>
            </w:r>
            <w:r w:rsidR="00E03EE3" w:rsidRPr="003915E9">
              <w:rPr>
                <w:rStyle w:val="Hyperlink"/>
                <w:rFonts w:eastAsia="Cambria"/>
                <w:noProof/>
                <w:sz w:val="22"/>
                <w:szCs w:val="22"/>
                <w:lang w:eastAsia="en-GB"/>
              </w:rPr>
              <w:t>RP-HPLC separation of digested proteins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_Toc462575349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101</w:t>
            </w:r>
            <w:r w:rsidR="00E03EE3" w:rsidRPr="003915E9">
              <w:rPr>
                <w:noProof/>
                <w:webHidden/>
                <w:sz w:val="22"/>
                <w:szCs w:val="22"/>
              </w:rPr>
              <w:fldChar w:fldCharType="end"/>
            </w:r>
          </w:hyperlink>
        </w:p>
        <w:p w14:paraId="60CC52E6" w14:textId="77777777" w:rsidR="00E03EE3" w:rsidRPr="003915E9" w:rsidRDefault="00A36734" w:rsidP="003915E9">
          <w:pPr>
            <w:pStyle w:val="TOC6"/>
            <w:rPr>
              <w:rFonts w:eastAsiaTheme="minorEastAsia" w:cstheme="minorBidi"/>
              <w:noProof/>
              <w:sz w:val="22"/>
              <w:szCs w:val="22"/>
              <w:lang w:eastAsia="en-GB"/>
            </w:rPr>
          </w:pPr>
          <w:hyperlink w:anchor="_Toc462575350" w:history="1">
            <w:r w:rsidR="00E03EE3" w:rsidRPr="003915E9">
              <w:rPr>
                <w:rStyle w:val="Hyperlink"/>
                <w:rFonts w:eastAsia="Cambria"/>
                <w:noProof/>
                <w:sz w:val="22"/>
                <w:szCs w:val="22"/>
                <w:lang w:eastAsia="en-GB"/>
              </w:rPr>
              <w:t>5.2.10. RP-LC-MS analysis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_Toc462575350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102</w:t>
            </w:r>
            <w:r w:rsidR="00E03EE3" w:rsidRPr="003915E9">
              <w:rPr>
                <w:noProof/>
                <w:webHidden/>
                <w:sz w:val="22"/>
                <w:szCs w:val="22"/>
              </w:rPr>
              <w:fldChar w:fldCharType="end"/>
            </w:r>
          </w:hyperlink>
        </w:p>
        <w:p w14:paraId="19951AB9" w14:textId="77777777" w:rsidR="00E03EE3" w:rsidRPr="003915E9" w:rsidRDefault="00A36734" w:rsidP="003915E9">
          <w:pPr>
            <w:pStyle w:val="TOC6"/>
            <w:rPr>
              <w:rFonts w:eastAsiaTheme="minorEastAsia" w:cstheme="minorBidi"/>
              <w:noProof/>
              <w:sz w:val="22"/>
              <w:szCs w:val="22"/>
              <w:lang w:eastAsia="en-GB"/>
            </w:rPr>
          </w:pPr>
          <w:hyperlink w:anchor="_Toc462575351" w:history="1">
            <w:r w:rsidR="00E03EE3" w:rsidRPr="003915E9">
              <w:rPr>
                <w:rStyle w:val="Hyperlink"/>
                <w:rFonts w:eastAsia="Cambria"/>
                <w:noProof/>
                <w:sz w:val="22"/>
                <w:szCs w:val="22"/>
                <w:lang w:eastAsia="en-GB"/>
              </w:rPr>
              <w:t>5.2.11. Protein identification and quantification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_Toc462575351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102</w:t>
            </w:r>
            <w:r w:rsidR="00E03EE3" w:rsidRPr="003915E9">
              <w:rPr>
                <w:noProof/>
                <w:webHidden/>
                <w:sz w:val="22"/>
                <w:szCs w:val="22"/>
              </w:rPr>
              <w:fldChar w:fldCharType="end"/>
            </w:r>
          </w:hyperlink>
        </w:p>
        <w:p w14:paraId="082EE488" w14:textId="77777777" w:rsidR="00E03EE3" w:rsidRPr="003915E9" w:rsidRDefault="00A36734" w:rsidP="003915E9">
          <w:pPr>
            <w:pStyle w:val="TOC6"/>
            <w:rPr>
              <w:rFonts w:eastAsiaTheme="minorEastAsia" w:cstheme="minorBidi"/>
              <w:noProof/>
              <w:sz w:val="22"/>
              <w:szCs w:val="22"/>
              <w:lang w:eastAsia="en-GB"/>
            </w:rPr>
          </w:pPr>
          <w:hyperlink w:anchor="_Toc462575352" w:history="1">
            <w:r w:rsidR="00E03EE3" w:rsidRPr="003915E9">
              <w:rPr>
                <w:rStyle w:val="Hyperlink"/>
                <w:rFonts w:eastAsia="Cambria"/>
                <w:noProof/>
                <w:sz w:val="22"/>
                <w:szCs w:val="22"/>
                <w:lang w:eastAsia="en-GB"/>
              </w:rPr>
              <w:t>5.2.12. Validation of iTRAQ results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_Toc462575352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103</w:t>
            </w:r>
            <w:r w:rsidR="00E03EE3" w:rsidRPr="003915E9">
              <w:rPr>
                <w:noProof/>
                <w:webHidden/>
                <w:sz w:val="22"/>
                <w:szCs w:val="22"/>
              </w:rPr>
              <w:fldChar w:fldCharType="end"/>
            </w:r>
          </w:hyperlink>
        </w:p>
        <w:p w14:paraId="0A01E72A" w14:textId="77777777" w:rsidR="00E03EE3" w:rsidRPr="003915E9" w:rsidRDefault="00A36734" w:rsidP="003915E9">
          <w:pPr>
            <w:pStyle w:val="TOC1"/>
            <w:rPr>
              <w:rFonts w:eastAsiaTheme="minorEastAsia" w:cstheme="minorBidi"/>
              <w:b/>
              <w:sz w:val="22"/>
              <w:szCs w:val="22"/>
              <w:lang w:eastAsia="en-GB"/>
            </w:rPr>
          </w:pPr>
          <w:hyperlink w:anchor="_Toc462575353" w:history="1">
            <w:r w:rsidR="00E03EE3" w:rsidRPr="003915E9">
              <w:rPr>
                <w:rStyle w:val="Hyperlink"/>
                <w:caps w:val="0"/>
                <w:sz w:val="22"/>
                <w:szCs w:val="22"/>
                <w:lang w:eastAsia="en-GB"/>
              </w:rPr>
              <w:t>5.3. Results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_Toc462575353 \h </w:instrText>
            </w:r>
            <w:r w:rsidR="00E03EE3" w:rsidRPr="003915E9">
              <w:rPr>
                <w:webHidden/>
                <w:sz w:val="22"/>
                <w:szCs w:val="22"/>
              </w:rPr>
            </w:r>
            <w:r w:rsidR="00E03EE3" w:rsidRPr="003915E9">
              <w:rPr>
                <w:webHidden/>
                <w:sz w:val="22"/>
                <w:szCs w:val="22"/>
              </w:rPr>
              <w:fldChar w:fldCharType="separate"/>
            </w:r>
            <w:r w:rsidR="00302AD3">
              <w:rPr>
                <w:webHidden/>
                <w:sz w:val="22"/>
                <w:szCs w:val="22"/>
              </w:rPr>
              <w:t>105</w:t>
            </w:r>
            <w:r w:rsidR="00E03EE3" w:rsidRPr="003915E9">
              <w:rPr>
                <w:webHidden/>
                <w:sz w:val="22"/>
                <w:szCs w:val="22"/>
              </w:rPr>
              <w:fldChar w:fldCharType="end"/>
            </w:r>
          </w:hyperlink>
        </w:p>
        <w:p w14:paraId="060DDAC0" w14:textId="77777777" w:rsidR="00E03EE3" w:rsidRPr="003915E9" w:rsidRDefault="00A36734" w:rsidP="003915E9">
          <w:pPr>
            <w:pStyle w:val="TOC6"/>
            <w:rPr>
              <w:rFonts w:eastAsiaTheme="minorEastAsia" w:cstheme="minorBidi"/>
              <w:noProof/>
              <w:sz w:val="22"/>
              <w:szCs w:val="22"/>
              <w:lang w:eastAsia="en-GB"/>
            </w:rPr>
          </w:pPr>
          <w:hyperlink w:anchor="_Toc462575354" w:history="1">
            <w:r w:rsidR="00E03EE3" w:rsidRPr="003915E9">
              <w:rPr>
                <w:rStyle w:val="Hyperlink"/>
                <w:rFonts w:eastAsia="Cambria"/>
                <w:noProof/>
                <w:sz w:val="22"/>
                <w:szCs w:val="22"/>
                <w:lang w:eastAsia="en-GB"/>
              </w:rPr>
              <w:t>5.3.1. Biofilm accumulation experiment</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_Toc462575354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105</w:t>
            </w:r>
            <w:r w:rsidR="00E03EE3" w:rsidRPr="003915E9">
              <w:rPr>
                <w:noProof/>
                <w:webHidden/>
                <w:sz w:val="22"/>
                <w:szCs w:val="22"/>
              </w:rPr>
              <w:fldChar w:fldCharType="end"/>
            </w:r>
          </w:hyperlink>
        </w:p>
        <w:p w14:paraId="5C8DBCD5" w14:textId="77777777" w:rsidR="00E03EE3" w:rsidRPr="003915E9" w:rsidRDefault="00A36734" w:rsidP="003915E9">
          <w:pPr>
            <w:pStyle w:val="TOC6"/>
            <w:rPr>
              <w:rFonts w:eastAsiaTheme="minorEastAsia" w:cstheme="minorBidi"/>
              <w:noProof/>
              <w:sz w:val="22"/>
              <w:szCs w:val="22"/>
              <w:lang w:eastAsia="en-GB"/>
            </w:rPr>
          </w:pPr>
          <w:hyperlink w:anchor="_Toc462575355" w:history="1">
            <w:r w:rsidR="00E03EE3" w:rsidRPr="003915E9">
              <w:rPr>
                <w:rStyle w:val="Hyperlink"/>
                <w:rFonts w:eastAsia="Cambria"/>
                <w:noProof/>
                <w:sz w:val="22"/>
                <w:szCs w:val="22"/>
                <w:lang w:eastAsia="en-GB"/>
              </w:rPr>
              <w:t>5.3.2. Protein quantification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_Toc462575355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106</w:t>
            </w:r>
            <w:r w:rsidR="00E03EE3" w:rsidRPr="003915E9">
              <w:rPr>
                <w:noProof/>
                <w:webHidden/>
                <w:sz w:val="22"/>
                <w:szCs w:val="22"/>
              </w:rPr>
              <w:fldChar w:fldCharType="end"/>
            </w:r>
          </w:hyperlink>
        </w:p>
        <w:p w14:paraId="4492235A" w14:textId="77777777" w:rsidR="00E03EE3" w:rsidRPr="003915E9" w:rsidRDefault="00A36734" w:rsidP="003915E9">
          <w:pPr>
            <w:pStyle w:val="TOC6"/>
            <w:rPr>
              <w:rFonts w:eastAsiaTheme="minorEastAsia" w:cstheme="minorBidi"/>
              <w:noProof/>
              <w:sz w:val="22"/>
              <w:szCs w:val="22"/>
              <w:lang w:eastAsia="en-GB"/>
            </w:rPr>
          </w:pPr>
          <w:hyperlink w:anchor="_Toc462575356" w:history="1">
            <w:r w:rsidR="00E03EE3" w:rsidRPr="003915E9">
              <w:rPr>
                <w:rStyle w:val="Hyperlink"/>
                <w:rFonts w:eastAsia="Cambria"/>
                <w:noProof/>
                <w:sz w:val="22"/>
                <w:szCs w:val="22"/>
                <w:lang w:eastAsia="en-GB"/>
              </w:rPr>
              <w:t>5.3.3. PCA analysis of mass spectrometry data</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_Toc462575356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108</w:t>
            </w:r>
            <w:r w:rsidR="00E03EE3" w:rsidRPr="003915E9">
              <w:rPr>
                <w:noProof/>
                <w:webHidden/>
                <w:sz w:val="22"/>
                <w:szCs w:val="22"/>
              </w:rPr>
              <w:fldChar w:fldCharType="end"/>
            </w:r>
          </w:hyperlink>
        </w:p>
        <w:p w14:paraId="356303B8" w14:textId="77777777" w:rsidR="00E03EE3" w:rsidRPr="003915E9" w:rsidRDefault="00A36734" w:rsidP="003915E9">
          <w:pPr>
            <w:pStyle w:val="TOC6"/>
            <w:rPr>
              <w:rFonts w:eastAsiaTheme="minorEastAsia" w:cstheme="minorBidi"/>
              <w:noProof/>
              <w:sz w:val="22"/>
              <w:szCs w:val="22"/>
              <w:lang w:eastAsia="en-GB"/>
            </w:rPr>
          </w:pPr>
          <w:hyperlink w:anchor="_Toc462575357" w:history="1">
            <w:r w:rsidR="00E03EE3" w:rsidRPr="003915E9">
              <w:rPr>
                <w:rStyle w:val="Hyperlink"/>
                <w:rFonts w:eastAsia="Cambria"/>
                <w:noProof/>
                <w:sz w:val="22"/>
                <w:szCs w:val="22"/>
                <w:lang w:eastAsia="en-GB"/>
              </w:rPr>
              <w:t>5.3.4. iTRAQ protein identification and quantification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_Toc462575357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109</w:t>
            </w:r>
            <w:r w:rsidR="00E03EE3" w:rsidRPr="003915E9">
              <w:rPr>
                <w:noProof/>
                <w:webHidden/>
                <w:sz w:val="22"/>
                <w:szCs w:val="22"/>
              </w:rPr>
              <w:fldChar w:fldCharType="end"/>
            </w:r>
          </w:hyperlink>
        </w:p>
        <w:p w14:paraId="32928362" w14:textId="77777777" w:rsidR="00E03EE3" w:rsidRPr="003915E9" w:rsidRDefault="00A36734" w:rsidP="003915E9">
          <w:pPr>
            <w:pStyle w:val="TOC6"/>
            <w:rPr>
              <w:rFonts w:eastAsiaTheme="minorEastAsia" w:cstheme="minorBidi"/>
              <w:noProof/>
              <w:sz w:val="22"/>
              <w:szCs w:val="22"/>
              <w:lang w:eastAsia="en-GB"/>
            </w:rPr>
          </w:pPr>
          <w:hyperlink w:anchor="_Toc462575358" w:history="1">
            <w:r w:rsidR="00E03EE3" w:rsidRPr="003915E9">
              <w:rPr>
                <w:rStyle w:val="Hyperlink"/>
                <w:rFonts w:eastAsia="Cambria"/>
                <w:noProof/>
                <w:sz w:val="22"/>
                <w:szCs w:val="22"/>
                <w:lang w:eastAsia="en-GB"/>
              </w:rPr>
              <w:t>5.3.5. Investigation of cellular adaptation strategies during biofilm formation</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_Toc462575358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112</w:t>
            </w:r>
            <w:r w:rsidR="00E03EE3" w:rsidRPr="003915E9">
              <w:rPr>
                <w:noProof/>
                <w:webHidden/>
                <w:sz w:val="22"/>
                <w:szCs w:val="22"/>
              </w:rPr>
              <w:fldChar w:fldCharType="end"/>
            </w:r>
          </w:hyperlink>
        </w:p>
        <w:p w14:paraId="39C722C4" w14:textId="77777777" w:rsidR="00E03EE3" w:rsidRPr="003915E9" w:rsidRDefault="00A36734" w:rsidP="003915E9">
          <w:pPr>
            <w:pStyle w:val="TOC7"/>
            <w:rPr>
              <w:rFonts w:eastAsiaTheme="minorEastAsia" w:cstheme="minorBidi"/>
              <w:i/>
              <w:noProof/>
              <w:sz w:val="22"/>
              <w:szCs w:val="22"/>
              <w:lang w:eastAsia="en-GB"/>
            </w:rPr>
          </w:pPr>
          <w:hyperlink w:anchor="_Toc462575359" w:history="1">
            <w:r w:rsidR="00E03EE3" w:rsidRPr="003915E9">
              <w:rPr>
                <w:rStyle w:val="Hyperlink"/>
                <w:rFonts w:eastAsia="Cambria"/>
                <w:i/>
                <w:noProof/>
                <w:sz w:val="22"/>
                <w:szCs w:val="22"/>
                <w:lang w:eastAsia="en-GB"/>
              </w:rPr>
              <w:t>5.3.5.1. Methanogenesis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_Toc462575359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112</w:t>
            </w:r>
            <w:r w:rsidR="00E03EE3" w:rsidRPr="003915E9">
              <w:rPr>
                <w:i/>
                <w:noProof/>
                <w:webHidden/>
                <w:sz w:val="22"/>
                <w:szCs w:val="22"/>
              </w:rPr>
              <w:fldChar w:fldCharType="end"/>
            </w:r>
          </w:hyperlink>
        </w:p>
        <w:p w14:paraId="278D7CB7" w14:textId="77777777" w:rsidR="00E03EE3" w:rsidRPr="003915E9" w:rsidRDefault="00A36734" w:rsidP="003915E9">
          <w:pPr>
            <w:pStyle w:val="TOC7"/>
            <w:rPr>
              <w:rFonts w:eastAsiaTheme="minorEastAsia" w:cstheme="minorBidi"/>
              <w:i/>
              <w:noProof/>
              <w:sz w:val="22"/>
              <w:szCs w:val="22"/>
              <w:lang w:eastAsia="en-GB"/>
            </w:rPr>
          </w:pPr>
          <w:hyperlink w:anchor="_Toc462575360" w:history="1">
            <w:r w:rsidR="00E03EE3" w:rsidRPr="003915E9">
              <w:rPr>
                <w:rStyle w:val="Hyperlink"/>
                <w:rFonts w:eastAsia="Cambria"/>
                <w:i/>
                <w:noProof/>
                <w:sz w:val="22"/>
                <w:szCs w:val="22"/>
                <w:lang w:eastAsia="en-GB"/>
              </w:rPr>
              <w:t>5.3.5.2. Cell wall biogenesis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_Toc462575360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116</w:t>
            </w:r>
            <w:r w:rsidR="00E03EE3" w:rsidRPr="003915E9">
              <w:rPr>
                <w:i/>
                <w:noProof/>
                <w:webHidden/>
                <w:sz w:val="22"/>
                <w:szCs w:val="22"/>
              </w:rPr>
              <w:fldChar w:fldCharType="end"/>
            </w:r>
          </w:hyperlink>
        </w:p>
        <w:p w14:paraId="79F64534" w14:textId="77777777" w:rsidR="00E03EE3" w:rsidRPr="003915E9" w:rsidRDefault="00A36734" w:rsidP="003915E9">
          <w:pPr>
            <w:pStyle w:val="TOC7"/>
            <w:rPr>
              <w:rFonts w:eastAsiaTheme="minorEastAsia" w:cstheme="minorBidi"/>
              <w:i/>
              <w:noProof/>
              <w:sz w:val="22"/>
              <w:szCs w:val="22"/>
              <w:lang w:eastAsia="en-GB"/>
            </w:rPr>
          </w:pPr>
          <w:hyperlink w:anchor="_Toc462575361" w:history="1">
            <w:r w:rsidR="00E03EE3" w:rsidRPr="003915E9">
              <w:rPr>
                <w:rStyle w:val="Hyperlink"/>
                <w:rFonts w:eastAsia="Cambria"/>
                <w:i/>
                <w:noProof/>
                <w:sz w:val="22"/>
                <w:szCs w:val="22"/>
                <w:lang w:eastAsia="en-GB"/>
              </w:rPr>
              <w:t>5.3.5.3. Signalling mechanisms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_Toc462575361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120</w:t>
            </w:r>
            <w:r w:rsidR="00E03EE3" w:rsidRPr="003915E9">
              <w:rPr>
                <w:i/>
                <w:noProof/>
                <w:webHidden/>
                <w:sz w:val="22"/>
                <w:szCs w:val="22"/>
              </w:rPr>
              <w:fldChar w:fldCharType="end"/>
            </w:r>
          </w:hyperlink>
        </w:p>
        <w:p w14:paraId="77C9DC17" w14:textId="77777777" w:rsidR="00E03EE3" w:rsidRPr="003915E9" w:rsidRDefault="00A36734" w:rsidP="003915E9">
          <w:pPr>
            <w:pStyle w:val="TOC7"/>
            <w:rPr>
              <w:rFonts w:eastAsiaTheme="minorEastAsia" w:cstheme="minorBidi"/>
              <w:i/>
              <w:noProof/>
              <w:sz w:val="22"/>
              <w:szCs w:val="22"/>
              <w:lang w:eastAsia="en-GB"/>
            </w:rPr>
          </w:pPr>
          <w:hyperlink w:anchor="_Toc462575362" w:history="1">
            <w:r w:rsidR="00E03EE3" w:rsidRPr="003915E9">
              <w:rPr>
                <w:rStyle w:val="Hyperlink"/>
                <w:rFonts w:eastAsia="Cambria"/>
                <w:i/>
                <w:noProof/>
                <w:sz w:val="22"/>
                <w:szCs w:val="22"/>
              </w:rPr>
              <w:t>5.3.5.4. Cellular processes</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_Toc462575362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122</w:t>
            </w:r>
            <w:r w:rsidR="00E03EE3" w:rsidRPr="003915E9">
              <w:rPr>
                <w:i/>
                <w:noProof/>
                <w:webHidden/>
                <w:sz w:val="22"/>
                <w:szCs w:val="22"/>
              </w:rPr>
              <w:fldChar w:fldCharType="end"/>
            </w:r>
          </w:hyperlink>
        </w:p>
        <w:p w14:paraId="160D5678" w14:textId="77777777" w:rsidR="00E03EE3" w:rsidRPr="003915E9" w:rsidRDefault="00A36734" w:rsidP="003915E9">
          <w:pPr>
            <w:pStyle w:val="TOC7"/>
            <w:rPr>
              <w:rFonts w:eastAsiaTheme="minorEastAsia" w:cstheme="minorBidi"/>
              <w:i/>
              <w:noProof/>
              <w:sz w:val="22"/>
              <w:szCs w:val="22"/>
              <w:lang w:eastAsia="en-GB"/>
            </w:rPr>
          </w:pPr>
          <w:hyperlink w:anchor="_Toc462575363" w:history="1">
            <w:r w:rsidR="00E03EE3" w:rsidRPr="003915E9">
              <w:rPr>
                <w:rStyle w:val="Hyperlink"/>
                <w:rFonts w:eastAsia="Cambria"/>
                <w:i/>
                <w:noProof/>
                <w:sz w:val="22"/>
                <w:szCs w:val="22"/>
                <w:lang w:eastAsia="en-GB"/>
              </w:rPr>
              <w:t>5.3.5.5. Substrate transport and folding</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_Toc462575363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126</w:t>
            </w:r>
            <w:r w:rsidR="00E03EE3" w:rsidRPr="003915E9">
              <w:rPr>
                <w:i/>
                <w:noProof/>
                <w:webHidden/>
                <w:sz w:val="22"/>
                <w:szCs w:val="22"/>
              </w:rPr>
              <w:fldChar w:fldCharType="end"/>
            </w:r>
          </w:hyperlink>
        </w:p>
        <w:p w14:paraId="18BAF3AA" w14:textId="77777777" w:rsidR="00E03EE3" w:rsidRPr="003915E9" w:rsidRDefault="00A36734" w:rsidP="003915E9">
          <w:pPr>
            <w:pStyle w:val="TOC7"/>
            <w:rPr>
              <w:rFonts w:eastAsiaTheme="minorEastAsia" w:cstheme="minorBidi"/>
              <w:i/>
              <w:noProof/>
              <w:sz w:val="22"/>
              <w:szCs w:val="22"/>
              <w:lang w:eastAsia="en-GB"/>
            </w:rPr>
          </w:pPr>
          <w:hyperlink w:anchor="_Toc462575364" w:history="1">
            <w:r w:rsidR="00E03EE3" w:rsidRPr="003915E9">
              <w:rPr>
                <w:rStyle w:val="Hyperlink"/>
                <w:rFonts w:eastAsia="Cambria"/>
                <w:i/>
                <w:noProof/>
                <w:sz w:val="22"/>
                <w:szCs w:val="22"/>
                <w:lang w:eastAsia="en-GB"/>
              </w:rPr>
              <w:t>5.3.5.6. Metabolism</w:t>
            </w:r>
            <w:r w:rsidR="00E03EE3" w:rsidRPr="003915E9">
              <w:rPr>
                <w:i/>
                <w:noProof/>
                <w:webHidden/>
                <w:sz w:val="22"/>
                <w:szCs w:val="22"/>
              </w:rPr>
              <w:tab/>
            </w:r>
            <w:r w:rsidR="00E03EE3" w:rsidRPr="003915E9">
              <w:rPr>
                <w:i/>
                <w:noProof/>
                <w:webHidden/>
                <w:sz w:val="22"/>
                <w:szCs w:val="22"/>
              </w:rPr>
              <w:fldChar w:fldCharType="begin"/>
            </w:r>
            <w:r w:rsidR="00E03EE3" w:rsidRPr="003915E9">
              <w:rPr>
                <w:i/>
                <w:noProof/>
                <w:webHidden/>
                <w:sz w:val="22"/>
                <w:szCs w:val="22"/>
              </w:rPr>
              <w:instrText xml:space="preserve"> PAGEREF _Toc462575364 \h </w:instrText>
            </w:r>
            <w:r w:rsidR="00E03EE3" w:rsidRPr="003915E9">
              <w:rPr>
                <w:i/>
                <w:noProof/>
                <w:webHidden/>
                <w:sz w:val="22"/>
                <w:szCs w:val="22"/>
              </w:rPr>
            </w:r>
            <w:r w:rsidR="00E03EE3" w:rsidRPr="003915E9">
              <w:rPr>
                <w:i/>
                <w:noProof/>
                <w:webHidden/>
                <w:sz w:val="22"/>
                <w:szCs w:val="22"/>
              </w:rPr>
              <w:fldChar w:fldCharType="separate"/>
            </w:r>
            <w:r w:rsidR="00302AD3">
              <w:rPr>
                <w:i/>
                <w:noProof/>
                <w:webHidden/>
                <w:sz w:val="22"/>
                <w:szCs w:val="22"/>
              </w:rPr>
              <w:t>128</w:t>
            </w:r>
            <w:r w:rsidR="00E03EE3" w:rsidRPr="003915E9">
              <w:rPr>
                <w:i/>
                <w:noProof/>
                <w:webHidden/>
                <w:sz w:val="22"/>
                <w:szCs w:val="22"/>
              </w:rPr>
              <w:fldChar w:fldCharType="end"/>
            </w:r>
          </w:hyperlink>
        </w:p>
        <w:p w14:paraId="572291D4" w14:textId="4460A45F" w:rsidR="00E03EE3" w:rsidRPr="003915E9" w:rsidRDefault="00A36734" w:rsidP="003915E9">
          <w:pPr>
            <w:pStyle w:val="TOC6"/>
            <w:rPr>
              <w:rFonts w:eastAsiaTheme="minorEastAsia" w:cstheme="minorBidi"/>
              <w:noProof/>
              <w:sz w:val="22"/>
              <w:szCs w:val="22"/>
              <w:lang w:eastAsia="en-GB"/>
            </w:rPr>
          </w:pPr>
          <w:hyperlink w:anchor="_Toc462575365" w:history="1">
            <w:r w:rsidR="003915E9">
              <w:rPr>
                <w:rStyle w:val="Hyperlink"/>
                <w:rFonts w:eastAsia="Cambria"/>
                <w:noProof/>
                <w:sz w:val="22"/>
                <w:szCs w:val="22"/>
                <w:lang w:eastAsia="en-GB"/>
              </w:rPr>
              <w:t>5.3.6</w:t>
            </w:r>
            <w:r w:rsidR="00E03EE3" w:rsidRPr="003915E9">
              <w:rPr>
                <w:rStyle w:val="Hyperlink"/>
                <w:rFonts w:eastAsia="Cambria"/>
                <w:noProof/>
                <w:sz w:val="22"/>
                <w:szCs w:val="22"/>
                <w:lang w:eastAsia="en-GB"/>
              </w:rPr>
              <w:t>. Validation of iTRAQ results</w:t>
            </w:r>
            <w:r w:rsidR="00E03EE3" w:rsidRPr="003915E9">
              <w:rPr>
                <w:noProof/>
                <w:webHidden/>
                <w:sz w:val="22"/>
                <w:szCs w:val="22"/>
              </w:rPr>
              <w:tab/>
            </w:r>
            <w:r w:rsidR="00E03EE3" w:rsidRPr="003915E9">
              <w:rPr>
                <w:noProof/>
                <w:webHidden/>
                <w:sz w:val="22"/>
                <w:szCs w:val="22"/>
              </w:rPr>
              <w:fldChar w:fldCharType="begin"/>
            </w:r>
            <w:r w:rsidR="00E03EE3" w:rsidRPr="003915E9">
              <w:rPr>
                <w:noProof/>
                <w:webHidden/>
                <w:sz w:val="22"/>
                <w:szCs w:val="22"/>
              </w:rPr>
              <w:instrText xml:space="preserve"> PAGEREF _Toc462575365 \h </w:instrText>
            </w:r>
            <w:r w:rsidR="00E03EE3" w:rsidRPr="003915E9">
              <w:rPr>
                <w:noProof/>
                <w:webHidden/>
                <w:sz w:val="22"/>
                <w:szCs w:val="22"/>
              </w:rPr>
            </w:r>
            <w:r w:rsidR="00E03EE3" w:rsidRPr="003915E9">
              <w:rPr>
                <w:noProof/>
                <w:webHidden/>
                <w:sz w:val="22"/>
                <w:szCs w:val="22"/>
              </w:rPr>
              <w:fldChar w:fldCharType="separate"/>
            </w:r>
            <w:r w:rsidR="00302AD3">
              <w:rPr>
                <w:noProof/>
                <w:webHidden/>
                <w:sz w:val="22"/>
                <w:szCs w:val="22"/>
              </w:rPr>
              <w:t>135</w:t>
            </w:r>
            <w:r w:rsidR="00E03EE3" w:rsidRPr="003915E9">
              <w:rPr>
                <w:noProof/>
                <w:webHidden/>
                <w:sz w:val="22"/>
                <w:szCs w:val="22"/>
              </w:rPr>
              <w:fldChar w:fldCharType="end"/>
            </w:r>
          </w:hyperlink>
        </w:p>
        <w:p w14:paraId="64416062" w14:textId="77777777" w:rsidR="00E03EE3" w:rsidRPr="003915E9" w:rsidRDefault="00A36734" w:rsidP="003915E9">
          <w:pPr>
            <w:pStyle w:val="TOC1"/>
            <w:rPr>
              <w:rFonts w:eastAsiaTheme="minorEastAsia" w:cstheme="minorBidi"/>
              <w:b/>
              <w:sz w:val="22"/>
              <w:szCs w:val="22"/>
              <w:lang w:eastAsia="en-GB"/>
            </w:rPr>
          </w:pPr>
          <w:hyperlink w:anchor="_Toc462575366" w:history="1">
            <w:r w:rsidR="00E03EE3" w:rsidRPr="003915E9">
              <w:rPr>
                <w:rStyle w:val="Hyperlink"/>
                <w:caps w:val="0"/>
                <w:sz w:val="22"/>
                <w:szCs w:val="22"/>
                <w:lang w:eastAsia="en-GB"/>
              </w:rPr>
              <w:t>5.4. Discussion</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_Toc462575366 \h </w:instrText>
            </w:r>
            <w:r w:rsidR="00E03EE3" w:rsidRPr="003915E9">
              <w:rPr>
                <w:webHidden/>
                <w:sz w:val="22"/>
                <w:szCs w:val="22"/>
              </w:rPr>
            </w:r>
            <w:r w:rsidR="00E03EE3" w:rsidRPr="003915E9">
              <w:rPr>
                <w:webHidden/>
                <w:sz w:val="22"/>
                <w:szCs w:val="22"/>
              </w:rPr>
              <w:fldChar w:fldCharType="separate"/>
            </w:r>
            <w:r w:rsidR="00302AD3">
              <w:rPr>
                <w:webHidden/>
                <w:sz w:val="22"/>
                <w:szCs w:val="22"/>
              </w:rPr>
              <w:t>136</w:t>
            </w:r>
            <w:r w:rsidR="00E03EE3" w:rsidRPr="003915E9">
              <w:rPr>
                <w:webHidden/>
                <w:sz w:val="22"/>
                <w:szCs w:val="22"/>
              </w:rPr>
              <w:fldChar w:fldCharType="end"/>
            </w:r>
          </w:hyperlink>
        </w:p>
        <w:p w14:paraId="3B1B7ECC" w14:textId="77777777" w:rsidR="00E03EE3" w:rsidRPr="003915E9" w:rsidRDefault="00A36734" w:rsidP="003915E9">
          <w:pPr>
            <w:pStyle w:val="TOC1"/>
            <w:rPr>
              <w:rFonts w:eastAsiaTheme="minorEastAsia" w:cstheme="minorBidi"/>
              <w:b/>
              <w:sz w:val="22"/>
              <w:szCs w:val="22"/>
              <w:lang w:eastAsia="en-GB"/>
            </w:rPr>
          </w:pPr>
          <w:hyperlink w:anchor="_Toc462575367" w:history="1">
            <w:r w:rsidR="00E03EE3" w:rsidRPr="003915E9">
              <w:rPr>
                <w:rStyle w:val="Hyperlink"/>
                <w:caps w:val="0"/>
                <w:sz w:val="22"/>
                <w:szCs w:val="22"/>
                <w:lang w:eastAsia="en-GB"/>
              </w:rPr>
              <w:t>5.5. Conclusions</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_Toc462575367 \h </w:instrText>
            </w:r>
            <w:r w:rsidR="00E03EE3" w:rsidRPr="003915E9">
              <w:rPr>
                <w:webHidden/>
                <w:sz w:val="22"/>
                <w:szCs w:val="22"/>
              </w:rPr>
            </w:r>
            <w:r w:rsidR="00E03EE3" w:rsidRPr="003915E9">
              <w:rPr>
                <w:webHidden/>
                <w:sz w:val="22"/>
                <w:szCs w:val="22"/>
              </w:rPr>
              <w:fldChar w:fldCharType="separate"/>
            </w:r>
            <w:r w:rsidR="00302AD3">
              <w:rPr>
                <w:webHidden/>
                <w:sz w:val="22"/>
                <w:szCs w:val="22"/>
              </w:rPr>
              <w:t>140</w:t>
            </w:r>
            <w:r w:rsidR="00E03EE3" w:rsidRPr="003915E9">
              <w:rPr>
                <w:webHidden/>
                <w:sz w:val="22"/>
                <w:szCs w:val="22"/>
              </w:rPr>
              <w:fldChar w:fldCharType="end"/>
            </w:r>
          </w:hyperlink>
        </w:p>
        <w:p w14:paraId="28DC20DE" w14:textId="79B4334F" w:rsidR="00E03EE3" w:rsidRPr="003915E9" w:rsidRDefault="00A36734" w:rsidP="003915E9">
          <w:pPr>
            <w:pStyle w:val="TOC2"/>
            <w:rPr>
              <w:rFonts w:eastAsiaTheme="minorEastAsia" w:cstheme="minorBidi"/>
            </w:rPr>
          </w:pPr>
          <w:hyperlink w:anchor="_Toc462575368" w:history="1">
            <w:r w:rsidR="00E03EE3" w:rsidRPr="003915E9">
              <w:rPr>
                <w:rStyle w:val="Hyperlink"/>
              </w:rPr>
              <w:t>Chapter 6</w:t>
            </w:r>
            <w:r w:rsidR="003915E9" w:rsidRPr="003915E9">
              <w:rPr>
                <w:rStyle w:val="Hyperlink"/>
              </w:rPr>
              <w:t>: Conclusions and Future Work</w:t>
            </w:r>
            <w:r w:rsidR="00E03EE3" w:rsidRPr="003915E9">
              <w:rPr>
                <w:webHidden/>
              </w:rPr>
              <w:tab/>
            </w:r>
            <w:r w:rsidR="00E03EE3" w:rsidRPr="003915E9">
              <w:rPr>
                <w:webHidden/>
              </w:rPr>
              <w:fldChar w:fldCharType="begin"/>
            </w:r>
            <w:r w:rsidR="00E03EE3" w:rsidRPr="003915E9">
              <w:rPr>
                <w:webHidden/>
              </w:rPr>
              <w:instrText xml:space="preserve"> PAGEREF _Toc462575368 \h </w:instrText>
            </w:r>
            <w:r w:rsidR="00E03EE3" w:rsidRPr="003915E9">
              <w:rPr>
                <w:webHidden/>
              </w:rPr>
            </w:r>
            <w:r w:rsidR="00E03EE3" w:rsidRPr="003915E9">
              <w:rPr>
                <w:webHidden/>
              </w:rPr>
              <w:fldChar w:fldCharType="separate"/>
            </w:r>
            <w:r w:rsidR="00302AD3">
              <w:rPr>
                <w:webHidden/>
              </w:rPr>
              <w:t>142</w:t>
            </w:r>
            <w:r w:rsidR="00E03EE3" w:rsidRPr="003915E9">
              <w:rPr>
                <w:webHidden/>
              </w:rPr>
              <w:fldChar w:fldCharType="end"/>
            </w:r>
          </w:hyperlink>
        </w:p>
        <w:p w14:paraId="482EDC98" w14:textId="77777777" w:rsidR="00E03EE3" w:rsidRPr="003915E9" w:rsidRDefault="00A36734" w:rsidP="003915E9">
          <w:pPr>
            <w:pStyle w:val="TOC1"/>
            <w:rPr>
              <w:rFonts w:eastAsiaTheme="minorEastAsia" w:cstheme="minorBidi"/>
              <w:b/>
              <w:sz w:val="22"/>
              <w:szCs w:val="22"/>
              <w:lang w:eastAsia="en-GB"/>
            </w:rPr>
          </w:pPr>
          <w:hyperlink w:anchor="_Toc462575370" w:history="1">
            <w:r w:rsidR="00E03EE3" w:rsidRPr="003915E9">
              <w:rPr>
                <w:rStyle w:val="Hyperlink"/>
                <w:caps w:val="0"/>
                <w:sz w:val="22"/>
                <w:szCs w:val="22"/>
                <w:lang w:eastAsia="en-GB"/>
              </w:rPr>
              <w:t>6.1. Introduction</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_Toc462575370 \h </w:instrText>
            </w:r>
            <w:r w:rsidR="00E03EE3" w:rsidRPr="003915E9">
              <w:rPr>
                <w:webHidden/>
                <w:sz w:val="22"/>
                <w:szCs w:val="22"/>
              </w:rPr>
            </w:r>
            <w:r w:rsidR="00E03EE3" w:rsidRPr="003915E9">
              <w:rPr>
                <w:webHidden/>
                <w:sz w:val="22"/>
                <w:szCs w:val="22"/>
              </w:rPr>
              <w:fldChar w:fldCharType="separate"/>
            </w:r>
            <w:r w:rsidR="00302AD3">
              <w:rPr>
                <w:webHidden/>
                <w:sz w:val="22"/>
                <w:szCs w:val="22"/>
              </w:rPr>
              <w:t>142</w:t>
            </w:r>
            <w:r w:rsidR="00E03EE3" w:rsidRPr="003915E9">
              <w:rPr>
                <w:webHidden/>
                <w:sz w:val="22"/>
                <w:szCs w:val="22"/>
              </w:rPr>
              <w:fldChar w:fldCharType="end"/>
            </w:r>
          </w:hyperlink>
        </w:p>
        <w:p w14:paraId="48D19F1E" w14:textId="77777777" w:rsidR="00E03EE3" w:rsidRPr="003915E9" w:rsidRDefault="00A36734" w:rsidP="003915E9">
          <w:pPr>
            <w:pStyle w:val="TOC1"/>
            <w:rPr>
              <w:rFonts w:eastAsiaTheme="minorEastAsia" w:cstheme="minorBidi"/>
              <w:b/>
              <w:sz w:val="22"/>
              <w:szCs w:val="22"/>
              <w:lang w:eastAsia="en-GB"/>
            </w:rPr>
          </w:pPr>
          <w:hyperlink w:anchor="_Toc462575371" w:history="1">
            <w:r w:rsidR="00E03EE3" w:rsidRPr="003915E9">
              <w:rPr>
                <w:rStyle w:val="Hyperlink"/>
                <w:caps w:val="0"/>
                <w:sz w:val="22"/>
                <w:szCs w:val="22"/>
                <w:lang w:eastAsia="en-GB"/>
              </w:rPr>
              <w:t xml:space="preserve">6.2. Understanding biofilm formation in </w:t>
            </w:r>
            <w:r w:rsidR="00E03EE3" w:rsidRPr="003915E9">
              <w:rPr>
                <w:rStyle w:val="Hyperlink"/>
                <w:i/>
                <w:caps w:val="0"/>
                <w:sz w:val="22"/>
                <w:szCs w:val="22"/>
                <w:lang w:eastAsia="en-GB"/>
              </w:rPr>
              <w:t>M. barkeri</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_Toc462575371 \h </w:instrText>
            </w:r>
            <w:r w:rsidR="00E03EE3" w:rsidRPr="003915E9">
              <w:rPr>
                <w:webHidden/>
                <w:sz w:val="22"/>
                <w:szCs w:val="22"/>
              </w:rPr>
            </w:r>
            <w:r w:rsidR="00E03EE3" w:rsidRPr="003915E9">
              <w:rPr>
                <w:webHidden/>
                <w:sz w:val="22"/>
                <w:szCs w:val="22"/>
              </w:rPr>
              <w:fldChar w:fldCharType="separate"/>
            </w:r>
            <w:r w:rsidR="00302AD3">
              <w:rPr>
                <w:webHidden/>
                <w:sz w:val="22"/>
                <w:szCs w:val="22"/>
              </w:rPr>
              <w:t>143</w:t>
            </w:r>
            <w:r w:rsidR="00E03EE3" w:rsidRPr="003915E9">
              <w:rPr>
                <w:webHidden/>
                <w:sz w:val="22"/>
                <w:szCs w:val="22"/>
              </w:rPr>
              <w:fldChar w:fldCharType="end"/>
            </w:r>
          </w:hyperlink>
        </w:p>
        <w:p w14:paraId="2CD20AF4" w14:textId="77777777" w:rsidR="00E03EE3" w:rsidRPr="003915E9" w:rsidRDefault="00A36734" w:rsidP="003915E9">
          <w:pPr>
            <w:pStyle w:val="TOC1"/>
            <w:rPr>
              <w:rFonts w:eastAsiaTheme="minorEastAsia" w:cstheme="minorBidi"/>
              <w:b/>
              <w:sz w:val="22"/>
              <w:szCs w:val="22"/>
              <w:lang w:eastAsia="en-GB"/>
            </w:rPr>
          </w:pPr>
          <w:hyperlink w:anchor="_Toc462575372" w:history="1">
            <w:r w:rsidR="00E03EE3" w:rsidRPr="003915E9">
              <w:rPr>
                <w:rStyle w:val="Hyperlink"/>
                <w:caps w:val="0"/>
                <w:sz w:val="22"/>
                <w:szCs w:val="22"/>
                <w:lang w:eastAsia="en-GB"/>
              </w:rPr>
              <w:t>6.3. Future work</w:t>
            </w:r>
            <w:r w:rsidR="00E03EE3" w:rsidRPr="003915E9">
              <w:rPr>
                <w:webHidden/>
                <w:sz w:val="22"/>
                <w:szCs w:val="22"/>
              </w:rPr>
              <w:tab/>
            </w:r>
            <w:r w:rsidR="00E03EE3" w:rsidRPr="003915E9">
              <w:rPr>
                <w:webHidden/>
                <w:sz w:val="22"/>
                <w:szCs w:val="22"/>
              </w:rPr>
              <w:fldChar w:fldCharType="begin"/>
            </w:r>
            <w:r w:rsidR="00E03EE3" w:rsidRPr="003915E9">
              <w:rPr>
                <w:webHidden/>
                <w:sz w:val="22"/>
                <w:szCs w:val="22"/>
              </w:rPr>
              <w:instrText xml:space="preserve"> PAGEREF _Toc462575372 \h </w:instrText>
            </w:r>
            <w:r w:rsidR="00E03EE3" w:rsidRPr="003915E9">
              <w:rPr>
                <w:webHidden/>
                <w:sz w:val="22"/>
                <w:szCs w:val="22"/>
              </w:rPr>
            </w:r>
            <w:r w:rsidR="00E03EE3" w:rsidRPr="003915E9">
              <w:rPr>
                <w:webHidden/>
                <w:sz w:val="22"/>
                <w:szCs w:val="22"/>
              </w:rPr>
              <w:fldChar w:fldCharType="separate"/>
            </w:r>
            <w:r w:rsidR="00302AD3">
              <w:rPr>
                <w:webHidden/>
                <w:sz w:val="22"/>
                <w:szCs w:val="22"/>
              </w:rPr>
              <w:t>145</w:t>
            </w:r>
            <w:r w:rsidR="00E03EE3" w:rsidRPr="003915E9">
              <w:rPr>
                <w:webHidden/>
                <w:sz w:val="22"/>
                <w:szCs w:val="22"/>
              </w:rPr>
              <w:fldChar w:fldCharType="end"/>
            </w:r>
          </w:hyperlink>
        </w:p>
        <w:p w14:paraId="10FB104E" w14:textId="77777777" w:rsidR="00E03EE3" w:rsidRDefault="00A36734" w:rsidP="003915E9">
          <w:pPr>
            <w:pStyle w:val="TOC1"/>
            <w:rPr>
              <w:b/>
              <w:sz w:val="22"/>
              <w:szCs w:val="22"/>
            </w:rPr>
          </w:pPr>
          <w:hyperlink w:anchor="_Toc462575373" w:history="1">
            <w:r w:rsidR="00E03EE3" w:rsidRPr="003915E9">
              <w:rPr>
                <w:rStyle w:val="Hyperlink"/>
                <w:b/>
                <w:caps w:val="0"/>
                <w:sz w:val="22"/>
                <w:szCs w:val="22"/>
              </w:rPr>
              <w:t>References</w:t>
            </w:r>
            <w:r w:rsidR="00E03EE3" w:rsidRPr="003915E9">
              <w:rPr>
                <w:b/>
                <w:webHidden/>
                <w:sz w:val="22"/>
                <w:szCs w:val="22"/>
              </w:rPr>
              <w:tab/>
            </w:r>
            <w:r w:rsidR="00E03EE3" w:rsidRPr="003915E9">
              <w:rPr>
                <w:b/>
                <w:webHidden/>
                <w:sz w:val="22"/>
                <w:szCs w:val="22"/>
              </w:rPr>
              <w:fldChar w:fldCharType="begin"/>
            </w:r>
            <w:r w:rsidR="00E03EE3" w:rsidRPr="002C1503">
              <w:rPr>
                <w:b/>
                <w:webHidden/>
                <w:sz w:val="22"/>
                <w:szCs w:val="22"/>
              </w:rPr>
              <w:instrText xml:space="preserve"> PAGEREF _Toc462575373 \h </w:instrText>
            </w:r>
            <w:r w:rsidR="00E03EE3" w:rsidRPr="003915E9">
              <w:rPr>
                <w:b/>
                <w:webHidden/>
                <w:sz w:val="22"/>
                <w:szCs w:val="22"/>
              </w:rPr>
            </w:r>
            <w:r w:rsidR="00E03EE3" w:rsidRPr="003915E9">
              <w:rPr>
                <w:b/>
                <w:webHidden/>
                <w:sz w:val="22"/>
                <w:szCs w:val="22"/>
              </w:rPr>
              <w:fldChar w:fldCharType="separate"/>
            </w:r>
            <w:r w:rsidR="00302AD3">
              <w:rPr>
                <w:b/>
                <w:webHidden/>
                <w:sz w:val="22"/>
                <w:szCs w:val="22"/>
              </w:rPr>
              <w:t>147</w:t>
            </w:r>
            <w:r w:rsidR="00E03EE3" w:rsidRPr="003915E9">
              <w:rPr>
                <w:b/>
                <w:webHidden/>
                <w:sz w:val="22"/>
                <w:szCs w:val="22"/>
              </w:rPr>
              <w:fldChar w:fldCharType="end"/>
            </w:r>
          </w:hyperlink>
        </w:p>
        <w:p w14:paraId="419F46B1" w14:textId="495D7482" w:rsidR="002C1503" w:rsidRPr="00224A2D" w:rsidRDefault="002C1503" w:rsidP="00224A2D">
          <w:pPr>
            <w:rPr>
              <w:rFonts w:eastAsiaTheme="minorEastAsia" w:cstheme="minorHAnsi"/>
              <w:b/>
              <w:sz w:val="22"/>
              <w:szCs w:val="22"/>
            </w:rPr>
          </w:pPr>
          <w:r w:rsidRPr="00224A2D">
            <w:rPr>
              <w:rFonts w:asciiTheme="minorHAnsi" w:eastAsiaTheme="minorEastAsia" w:hAnsiTheme="minorHAnsi" w:cstheme="minorHAnsi"/>
              <w:b/>
              <w:sz w:val="22"/>
              <w:szCs w:val="22"/>
            </w:rPr>
            <w:t>Appendix</w:t>
          </w:r>
          <w:r>
            <w:rPr>
              <w:rFonts w:asciiTheme="minorHAnsi" w:eastAsiaTheme="minorEastAsia" w:hAnsiTheme="minorHAnsi" w:cstheme="minorHAnsi"/>
              <w:b/>
              <w:sz w:val="22"/>
              <w:szCs w:val="22"/>
            </w:rPr>
            <w:t>………………………………………………………………………………………………………….</w:t>
          </w:r>
          <w:r w:rsidRPr="002C1503">
            <w:rPr>
              <w:rFonts w:asciiTheme="minorHAnsi" w:eastAsiaTheme="minorEastAsia" w:hAnsiTheme="minorHAnsi" w:cstheme="minorHAnsi"/>
              <w:b/>
              <w:webHidden/>
              <w:sz w:val="22"/>
              <w:szCs w:val="22"/>
            </w:rPr>
            <w:tab/>
          </w:r>
          <w:r>
            <w:rPr>
              <w:rFonts w:asciiTheme="minorHAnsi" w:eastAsiaTheme="minorEastAsia" w:hAnsiTheme="minorHAnsi" w:cstheme="minorHAnsi"/>
              <w:b/>
              <w:webHidden/>
              <w:sz w:val="22"/>
              <w:szCs w:val="22"/>
            </w:rPr>
            <w:t>………….171</w:t>
          </w:r>
        </w:p>
        <w:p w14:paraId="334634A5" w14:textId="5FD789E5" w:rsidR="00407344" w:rsidRPr="003915E9" w:rsidRDefault="00E03EE3">
          <w:pPr>
            <w:rPr>
              <w:rFonts w:asciiTheme="minorHAnsi" w:hAnsiTheme="minorHAnsi"/>
              <w:sz w:val="22"/>
              <w:szCs w:val="22"/>
            </w:rPr>
          </w:pPr>
          <w:r w:rsidRPr="003915E9">
            <w:rPr>
              <w:rFonts w:asciiTheme="minorHAnsi" w:hAnsiTheme="minorHAnsi"/>
              <w:b/>
              <w:bCs/>
              <w:caps/>
              <w:sz w:val="22"/>
              <w:szCs w:val="22"/>
            </w:rPr>
            <w:lastRenderedPageBreak/>
            <w:fldChar w:fldCharType="end"/>
          </w:r>
        </w:p>
      </w:sdtContent>
    </w:sdt>
    <w:p w14:paraId="0CEAFA71" w14:textId="77777777" w:rsidR="009B6D13" w:rsidRPr="003915E9" w:rsidRDefault="009B6D13" w:rsidP="00436CD0">
      <w:pPr>
        <w:spacing w:line="431" w:lineRule="auto"/>
        <w:jc w:val="right"/>
        <w:rPr>
          <w:rFonts w:asciiTheme="minorHAnsi" w:hAnsiTheme="minorHAnsi"/>
          <w:sz w:val="22"/>
          <w:szCs w:val="22"/>
        </w:rPr>
      </w:pPr>
    </w:p>
    <w:p w14:paraId="2D96737B" w14:textId="77777777" w:rsidR="009B6D13" w:rsidRPr="003915E9" w:rsidRDefault="009B6D13" w:rsidP="00436CD0">
      <w:pPr>
        <w:spacing w:line="431" w:lineRule="auto"/>
        <w:jc w:val="right"/>
        <w:rPr>
          <w:rFonts w:asciiTheme="minorHAnsi" w:hAnsiTheme="minorHAnsi"/>
          <w:sz w:val="22"/>
          <w:szCs w:val="22"/>
        </w:rPr>
      </w:pPr>
    </w:p>
    <w:p w14:paraId="7FD8F286" w14:textId="77777777" w:rsidR="009B6D13" w:rsidRPr="003915E9" w:rsidRDefault="009B6D13" w:rsidP="00436CD0">
      <w:pPr>
        <w:spacing w:line="431" w:lineRule="auto"/>
        <w:jc w:val="right"/>
        <w:rPr>
          <w:rFonts w:asciiTheme="minorHAnsi" w:hAnsiTheme="minorHAnsi"/>
          <w:sz w:val="22"/>
          <w:szCs w:val="22"/>
        </w:rPr>
      </w:pPr>
    </w:p>
    <w:p w14:paraId="40DCEB67" w14:textId="77777777" w:rsidR="009B6D13" w:rsidRDefault="009B6D13" w:rsidP="00436CD0">
      <w:pPr>
        <w:spacing w:line="431" w:lineRule="auto"/>
        <w:jc w:val="right"/>
        <w:rPr>
          <w:rFonts w:asciiTheme="minorHAnsi" w:hAnsiTheme="minorHAnsi"/>
          <w:sz w:val="22"/>
          <w:szCs w:val="22"/>
        </w:rPr>
      </w:pPr>
    </w:p>
    <w:p w14:paraId="763F9778" w14:textId="77777777" w:rsidR="009B6D13" w:rsidRDefault="009B6D13" w:rsidP="00436CD0">
      <w:pPr>
        <w:spacing w:line="431" w:lineRule="auto"/>
        <w:jc w:val="right"/>
        <w:rPr>
          <w:rFonts w:asciiTheme="minorHAnsi" w:hAnsiTheme="minorHAnsi"/>
          <w:sz w:val="22"/>
          <w:szCs w:val="22"/>
        </w:rPr>
      </w:pPr>
    </w:p>
    <w:p w14:paraId="00A2DA9F" w14:textId="77777777" w:rsidR="009B6D13" w:rsidRDefault="009B6D13" w:rsidP="00436CD0">
      <w:pPr>
        <w:spacing w:line="431" w:lineRule="auto"/>
        <w:jc w:val="right"/>
        <w:rPr>
          <w:rFonts w:asciiTheme="minorHAnsi" w:hAnsiTheme="minorHAnsi"/>
          <w:sz w:val="22"/>
          <w:szCs w:val="22"/>
        </w:rPr>
      </w:pPr>
    </w:p>
    <w:p w14:paraId="02A9BB57" w14:textId="77777777" w:rsidR="009B6D13" w:rsidRDefault="009B6D13" w:rsidP="00436CD0">
      <w:pPr>
        <w:spacing w:line="431" w:lineRule="auto"/>
        <w:jc w:val="right"/>
        <w:rPr>
          <w:rFonts w:asciiTheme="minorHAnsi" w:hAnsiTheme="minorHAnsi"/>
          <w:sz w:val="22"/>
          <w:szCs w:val="22"/>
        </w:rPr>
      </w:pPr>
    </w:p>
    <w:p w14:paraId="4484A736" w14:textId="77777777" w:rsidR="009B6D13" w:rsidRDefault="009B6D13" w:rsidP="00436CD0">
      <w:pPr>
        <w:spacing w:line="431" w:lineRule="auto"/>
        <w:jc w:val="right"/>
        <w:rPr>
          <w:rFonts w:asciiTheme="minorHAnsi" w:hAnsiTheme="minorHAnsi"/>
          <w:sz w:val="22"/>
          <w:szCs w:val="22"/>
        </w:rPr>
      </w:pPr>
    </w:p>
    <w:p w14:paraId="300FA735" w14:textId="77777777" w:rsidR="009B6D13" w:rsidRDefault="009B6D13" w:rsidP="00436CD0">
      <w:pPr>
        <w:spacing w:line="431" w:lineRule="auto"/>
        <w:jc w:val="right"/>
        <w:rPr>
          <w:rFonts w:asciiTheme="minorHAnsi" w:hAnsiTheme="minorHAnsi"/>
          <w:sz w:val="22"/>
          <w:szCs w:val="22"/>
        </w:rPr>
      </w:pPr>
    </w:p>
    <w:p w14:paraId="638E6CA6" w14:textId="77777777" w:rsidR="009B6D13" w:rsidRDefault="009B6D13" w:rsidP="00436CD0">
      <w:pPr>
        <w:spacing w:line="431" w:lineRule="auto"/>
        <w:jc w:val="right"/>
        <w:rPr>
          <w:rFonts w:asciiTheme="minorHAnsi" w:hAnsiTheme="minorHAnsi"/>
          <w:sz w:val="22"/>
          <w:szCs w:val="22"/>
        </w:rPr>
      </w:pPr>
    </w:p>
    <w:p w14:paraId="69EB18AF" w14:textId="77777777" w:rsidR="009B6D13" w:rsidRDefault="009B6D13" w:rsidP="00436CD0">
      <w:pPr>
        <w:spacing w:line="431" w:lineRule="auto"/>
        <w:jc w:val="right"/>
        <w:rPr>
          <w:rFonts w:asciiTheme="minorHAnsi" w:hAnsiTheme="minorHAnsi"/>
          <w:sz w:val="22"/>
          <w:szCs w:val="22"/>
        </w:rPr>
      </w:pPr>
    </w:p>
    <w:p w14:paraId="7B1EDF7E" w14:textId="77777777" w:rsidR="009B6D13" w:rsidRDefault="009B6D13" w:rsidP="00436CD0">
      <w:pPr>
        <w:spacing w:line="431" w:lineRule="auto"/>
        <w:jc w:val="right"/>
        <w:rPr>
          <w:rFonts w:asciiTheme="minorHAnsi" w:hAnsiTheme="minorHAnsi"/>
          <w:sz w:val="22"/>
          <w:szCs w:val="22"/>
        </w:rPr>
      </w:pPr>
    </w:p>
    <w:p w14:paraId="6A70D085" w14:textId="77777777" w:rsidR="009B6D13" w:rsidRDefault="009B6D13" w:rsidP="00436CD0">
      <w:pPr>
        <w:spacing w:line="431" w:lineRule="auto"/>
        <w:jc w:val="right"/>
        <w:rPr>
          <w:rFonts w:asciiTheme="minorHAnsi" w:hAnsiTheme="minorHAnsi"/>
          <w:sz w:val="22"/>
          <w:szCs w:val="22"/>
        </w:rPr>
      </w:pPr>
    </w:p>
    <w:p w14:paraId="04FC5FF4" w14:textId="77777777" w:rsidR="009B6D13" w:rsidRDefault="009B6D13" w:rsidP="00436CD0">
      <w:pPr>
        <w:spacing w:line="431" w:lineRule="auto"/>
        <w:jc w:val="right"/>
        <w:rPr>
          <w:rFonts w:asciiTheme="minorHAnsi" w:hAnsiTheme="minorHAnsi"/>
          <w:sz w:val="22"/>
          <w:szCs w:val="22"/>
        </w:rPr>
      </w:pPr>
    </w:p>
    <w:p w14:paraId="60F9BAC0" w14:textId="77777777" w:rsidR="009B6D13" w:rsidRDefault="009B6D13" w:rsidP="00436CD0">
      <w:pPr>
        <w:spacing w:line="431" w:lineRule="auto"/>
        <w:jc w:val="right"/>
        <w:rPr>
          <w:rFonts w:asciiTheme="minorHAnsi" w:hAnsiTheme="minorHAnsi"/>
          <w:sz w:val="22"/>
          <w:szCs w:val="22"/>
        </w:rPr>
      </w:pPr>
    </w:p>
    <w:p w14:paraId="677E50E8" w14:textId="77777777" w:rsidR="009B6D13" w:rsidRDefault="009B6D13" w:rsidP="00436CD0">
      <w:pPr>
        <w:spacing w:line="431" w:lineRule="auto"/>
        <w:jc w:val="right"/>
        <w:rPr>
          <w:rFonts w:asciiTheme="minorHAnsi" w:hAnsiTheme="minorHAnsi"/>
          <w:sz w:val="22"/>
          <w:szCs w:val="22"/>
        </w:rPr>
      </w:pPr>
    </w:p>
    <w:p w14:paraId="73F2C977" w14:textId="77777777" w:rsidR="009B6D13" w:rsidRDefault="009B6D13" w:rsidP="00436CD0">
      <w:pPr>
        <w:spacing w:line="431" w:lineRule="auto"/>
        <w:jc w:val="right"/>
        <w:rPr>
          <w:rFonts w:asciiTheme="minorHAnsi" w:hAnsiTheme="minorHAnsi"/>
          <w:sz w:val="22"/>
          <w:szCs w:val="22"/>
        </w:rPr>
      </w:pPr>
    </w:p>
    <w:p w14:paraId="4427DDBB" w14:textId="77777777" w:rsidR="009B6D13" w:rsidRDefault="009B6D13" w:rsidP="00436CD0">
      <w:pPr>
        <w:spacing w:line="431" w:lineRule="auto"/>
        <w:jc w:val="right"/>
        <w:rPr>
          <w:rFonts w:asciiTheme="minorHAnsi" w:hAnsiTheme="minorHAnsi"/>
          <w:sz w:val="22"/>
          <w:szCs w:val="22"/>
        </w:rPr>
      </w:pPr>
    </w:p>
    <w:p w14:paraId="48722061" w14:textId="77777777" w:rsidR="009B6D13" w:rsidRDefault="009B6D13" w:rsidP="00436CD0">
      <w:pPr>
        <w:spacing w:line="431" w:lineRule="auto"/>
        <w:jc w:val="right"/>
        <w:rPr>
          <w:rFonts w:asciiTheme="minorHAnsi" w:hAnsiTheme="minorHAnsi"/>
          <w:sz w:val="22"/>
          <w:szCs w:val="22"/>
        </w:rPr>
      </w:pPr>
    </w:p>
    <w:p w14:paraId="5D511416" w14:textId="77777777" w:rsidR="009B6D13" w:rsidRDefault="009B6D13" w:rsidP="00436CD0">
      <w:pPr>
        <w:spacing w:line="431" w:lineRule="auto"/>
        <w:jc w:val="right"/>
        <w:rPr>
          <w:rFonts w:asciiTheme="minorHAnsi" w:hAnsiTheme="minorHAnsi"/>
          <w:sz w:val="22"/>
          <w:szCs w:val="22"/>
        </w:rPr>
      </w:pPr>
    </w:p>
    <w:p w14:paraId="0A7C6A96" w14:textId="77777777" w:rsidR="009B6D13" w:rsidRDefault="009B6D13" w:rsidP="00436CD0">
      <w:pPr>
        <w:spacing w:line="431" w:lineRule="auto"/>
        <w:jc w:val="right"/>
        <w:rPr>
          <w:rFonts w:asciiTheme="minorHAnsi" w:hAnsiTheme="minorHAnsi"/>
          <w:sz w:val="22"/>
          <w:szCs w:val="22"/>
        </w:rPr>
      </w:pPr>
    </w:p>
    <w:p w14:paraId="6211A0C1" w14:textId="77777777" w:rsidR="009B6D13" w:rsidRDefault="009B6D13" w:rsidP="00436CD0">
      <w:pPr>
        <w:spacing w:line="431" w:lineRule="auto"/>
        <w:jc w:val="right"/>
        <w:rPr>
          <w:rFonts w:asciiTheme="minorHAnsi" w:hAnsiTheme="minorHAnsi"/>
          <w:sz w:val="22"/>
          <w:szCs w:val="22"/>
        </w:rPr>
      </w:pPr>
    </w:p>
    <w:p w14:paraId="59510904" w14:textId="77777777" w:rsidR="009B6D13" w:rsidRDefault="009B6D13" w:rsidP="00436CD0">
      <w:pPr>
        <w:spacing w:line="431" w:lineRule="auto"/>
        <w:jc w:val="right"/>
        <w:rPr>
          <w:rFonts w:asciiTheme="minorHAnsi" w:hAnsiTheme="minorHAnsi"/>
          <w:sz w:val="22"/>
          <w:szCs w:val="22"/>
        </w:rPr>
      </w:pPr>
    </w:p>
    <w:p w14:paraId="14D3D6CA" w14:textId="77777777" w:rsidR="009B6D13" w:rsidRDefault="009B6D13" w:rsidP="00436CD0">
      <w:pPr>
        <w:spacing w:line="431" w:lineRule="auto"/>
        <w:jc w:val="right"/>
        <w:rPr>
          <w:rFonts w:asciiTheme="minorHAnsi" w:hAnsiTheme="minorHAnsi"/>
          <w:sz w:val="22"/>
          <w:szCs w:val="22"/>
        </w:rPr>
      </w:pPr>
    </w:p>
    <w:p w14:paraId="1DE3D249" w14:textId="77777777" w:rsidR="009B6D13" w:rsidRDefault="009B6D13" w:rsidP="00436CD0">
      <w:pPr>
        <w:spacing w:line="431" w:lineRule="auto"/>
        <w:jc w:val="right"/>
        <w:rPr>
          <w:rFonts w:asciiTheme="minorHAnsi" w:hAnsiTheme="minorHAnsi"/>
          <w:sz w:val="22"/>
          <w:szCs w:val="22"/>
        </w:rPr>
      </w:pPr>
    </w:p>
    <w:p w14:paraId="5CCBC5D9" w14:textId="77777777" w:rsidR="00A9324D" w:rsidRDefault="00A9324D" w:rsidP="00436CD0">
      <w:pPr>
        <w:spacing w:line="431" w:lineRule="auto"/>
        <w:jc w:val="right"/>
        <w:rPr>
          <w:rFonts w:asciiTheme="minorHAnsi" w:hAnsiTheme="minorHAnsi"/>
          <w:sz w:val="22"/>
          <w:szCs w:val="22"/>
        </w:rPr>
        <w:sectPr w:rsidR="00A9324D" w:rsidSect="00407344">
          <w:pgSz w:w="11906" w:h="16838"/>
          <w:pgMar w:top="1418" w:right="1418" w:bottom="1418" w:left="2268" w:header="708" w:footer="708" w:gutter="0"/>
          <w:pgNumType w:fmt="lowerRoman"/>
          <w:cols w:space="708"/>
          <w:docGrid w:linePitch="360"/>
        </w:sectPr>
      </w:pPr>
    </w:p>
    <w:p w14:paraId="5922B4C8" w14:textId="389D3F2E" w:rsidR="00436CD0" w:rsidRPr="00C44D8C" w:rsidRDefault="00436CD0" w:rsidP="009D6C7D">
      <w:pPr>
        <w:pStyle w:val="Heading2"/>
        <w:jc w:val="right"/>
        <w:rPr>
          <w:lang w:eastAsia="en-GB"/>
        </w:rPr>
      </w:pPr>
      <w:bookmarkStart w:id="23" w:name="_Toc462575251"/>
      <w:r w:rsidRPr="00C44D8C">
        <w:rPr>
          <w:lang w:eastAsia="en-GB"/>
        </w:rPr>
        <w:lastRenderedPageBreak/>
        <w:t>Chapter 1</w:t>
      </w:r>
      <w:bookmarkEnd w:id="23"/>
    </w:p>
    <w:p w14:paraId="237E3EF7" w14:textId="61F03BA6" w:rsidR="00436CD0" w:rsidRPr="00C44D8C" w:rsidRDefault="00436CD0" w:rsidP="009D6C7D">
      <w:pPr>
        <w:pStyle w:val="Heading1"/>
        <w:rPr>
          <w:rFonts w:eastAsia="SimSun" w:cs="Arial"/>
          <w:sz w:val="22"/>
          <w:szCs w:val="22"/>
          <w:lang w:eastAsia="en-GB"/>
        </w:rPr>
      </w:pPr>
      <w:bookmarkStart w:id="24" w:name="_Toc462574529"/>
      <w:bookmarkStart w:id="25" w:name="_Toc462574720"/>
      <w:bookmarkStart w:id="26" w:name="_Toc462575252"/>
      <w:r w:rsidRPr="00C44D8C">
        <w:rPr>
          <w:rFonts w:eastAsia="Calibri" w:cs="Calibri"/>
          <w:sz w:val="22"/>
          <w:szCs w:val="22"/>
          <w:lang w:eastAsia="en-GB"/>
        </w:rPr>
        <w:t>_______________________________________</w:t>
      </w:r>
      <w:r w:rsidR="00FE1A56" w:rsidRPr="00C44D8C">
        <w:rPr>
          <w:rFonts w:eastAsia="Calibri" w:cs="Calibri"/>
          <w:sz w:val="22"/>
          <w:szCs w:val="22"/>
          <w:lang w:eastAsia="en-GB"/>
        </w:rPr>
        <w:t>_____________________________</w:t>
      </w:r>
      <w:r w:rsidR="00A9324D">
        <w:rPr>
          <w:rFonts w:eastAsia="Calibri" w:cs="Calibri"/>
          <w:sz w:val="22"/>
          <w:szCs w:val="22"/>
          <w:lang w:eastAsia="en-GB"/>
        </w:rPr>
        <w:t>______</w:t>
      </w:r>
      <w:bookmarkEnd w:id="24"/>
      <w:bookmarkEnd w:id="25"/>
      <w:bookmarkEnd w:id="26"/>
    </w:p>
    <w:p w14:paraId="3D424932" w14:textId="5D9E740E" w:rsidR="00436CD0" w:rsidRPr="00DF337D" w:rsidRDefault="00436CD0" w:rsidP="009D6C7D">
      <w:pPr>
        <w:pStyle w:val="Heading5"/>
        <w:rPr>
          <w:rFonts w:eastAsia="SimSun"/>
        </w:rPr>
      </w:pPr>
      <w:bookmarkStart w:id="27" w:name="_Toc460927862"/>
      <w:bookmarkStart w:id="28" w:name="_Toc462574530"/>
      <w:bookmarkStart w:id="29" w:name="_Toc462574721"/>
      <w:bookmarkStart w:id="30" w:name="_Toc462575253"/>
      <w:r w:rsidRPr="00DF337D">
        <w:rPr>
          <w:rFonts w:eastAsia="SimSun"/>
        </w:rPr>
        <w:t>Introduction</w:t>
      </w:r>
      <w:bookmarkEnd w:id="27"/>
      <w:bookmarkEnd w:id="28"/>
      <w:bookmarkEnd w:id="29"/>
      <w:bookmarkEnd w:id="30"/>
    </w:p>
    <w:p w14:paraId="32FED73C" w14:textId="77777777" w:rsidR="00436CD0" w:rsidRPr="004A0746" w:rsidRDefault="00436CD0" w:rsidP="00436CD0">
      <w:pPr>
        <w:spacing w:line="331" w:lineRule="auto"/>
        <w:jc w:val="center"/>
        <w:rPr>
          <w:rFonts w:asciiTheme="minorHAnsi" w:eastAsia="SimSun" w:hAnsiTheme="minorHAnsi" w:cs="Arial"/>
          <w:szCs w:val="24"/>
          <w:lang w:eastAsia="en-GB"/>
        </w:rPr>
      </w:pPr>
      <w:r w:rsidRPr="004A0746">
        <w:rPr>
          <w:rFonts w:asciiTheme="minorHAnsi" w:eastAsia="Calibri" w:hAnsiTheme="minorHAnsi" w:cs="Calibri"/>
          <w:i/>
          <w:color w:val="181818"/>
          <w:szCs w:val="24"/>
          <w:highlight w:val="white"/>
          <w:lang w:eastAsia="en-GB"/>
        </w:rPr>
        <w:t xml:space="preserve">“The suspense is terrible. I hope it will last.” </w:t>
      </w:r>
      <w:r w:rsidRPr="004A0746">
        <w:rPr>
          <w:rFonts w:asciiTheme="minorHAnsi" w:eastAsia="Calibri" w:hAnsiTheme="minorHAnsi" w:cs="Calibri"/>
          <w:i/>
          <w:color w:val="181818"/>
          <w:szCs w:val="24"/>
          <w:highlight w:val="white"/>
          <w:lang w:eastAsia="en-GB"/>
        </w:rPr>
        <w:br/>
      </w:r>
      <w:r w:rsidRPr="004A0746">
        <w:rPr>
          <w:rFonts w:asciiTheme="minorHAnsi" w:eastAsia="Calibri" w:hAnsiTheme="minorHAnsi" w:cs="Calibri"/>
          <w:color w:val="181818"/>
          <w:szCs w:val="24"/>
          <w:highlight w:val="white"/>
          <w:lang w:eastAsia="en-GB"/>
        </w:rPr>
        <w:t>― Oscar Wilde</w:t>
      </w:r>
    </w:p>
    <w:p w14:paraId="7593EAFE" w14:textId="77777777" w:rsidR="00436CD0" w:rsidRPr="00C44D8C" w:rsidRDefault="00436CD0" w:rsidP="00436CD0">
      <w:pPr>
        <w:spacing w:line="360" w:lineRule="auto"/>
        <w:rPr>
          <w:rFonts w:asciiTheme="minorHAnsi" w:eastAsia="SimSun" w:hAnsiTheme="minorHAnsi" w:cs="Arial"/>
          <w:sz w:val="22"/>
          <w:szCs w:val="22"/>
          <w:lang w:eastAsia="en-GB"/>
        </w:rPr>
      </w:pPr>
    </w:p>
    <w:p w14:paraId="46AAF614" w14:textId="4C0EB9DB" w:rsidR="00436CD0" w:rsidRPr="00C44D8C" w:rsidRDefault="00436CD0" w:rsidP="00E20118">
      <w:pPr>
        <w:pStyle w:val="Heading1"/>
        <w:rPr>
          <w:lang w:eastAsia="en-GB"/>
        </w:rPr>
      </w:pPr>
      <w:bookmarkStart w:id="31" w:name="_Toc460927863"/>
      <w:bookmarkStart w:id="32" w:name="_Toc462575254"/>
      <w:r w:rsidRPr="00C44D8C">
        <w:rPr>
          <w:lang w:eastAsia="en-GB"/>
        </w:rPr>
        <w:t>1.1. Domestic wastewater: global challenges</w:t>
      </w:r>
      <w:bookmarkEnd w:id="31"/>
      <w:bookmarkEnd w:id="32"/>
    </w:p>
    <w:p w14:paraId="1B858206" w14:textId="39C9BD18" w:rsidR="00500014" w:rsidRPr="00500014" w:rsidRDefault="00436CD0" w:rsidP="00436CD0">
      <w:pPr>
        <w:spacing w:line="360" w:lineRule="auto"/>
        <w:rPr>
          <w:rFonts w:asciiTheme="minorHAnsi" w:eastAsia="Calibri" w:hAnsiTheme="minorHAnsi" w:cs="Calibri"/>
          <w:sz w:val="22"/>
          <w:szCs w:val="22"/>
          <w:lang w:eastAsia="en-GB"/>
        </w:rPr>
      </w:pPr>
      <w:r w:rsidRPr="00C44D8C">
        <w:rPr>
          <w:rFonts w:asciiTheme="minorHAnsi" w:eastAsia="Calibri" w:hAnsiTheme="minorHAnsi" w:cs="Calibri"/>
          <w:sz w:val="22"/>
          <w:szCs w:val="22"/>
          <w:lang w:eastAsia="en-GB"/>
        </w:rPr>
        <w:t>Rapid urbanisation, industrialisation and an ever-growing global human population have led to an increasing generation of domestic wastewater. Domestic wastewater is defined as being comprised of faeces, urine and greywater</w:t>
      </w:r>
      <w:r w:rsidR="002B1405">
        <w:rPr>
          <w:rFonts w:asciiTheme="minorHAnsi" w:eastAsia="Calibri" w:hAnsiTheme="minorHAnsi" w:cs="Calibri"/>
          <w:sz w:val="22"/>
          <w:szCs w:val="22"/>
          <w:lang w:eastAsia="en-GB"/>
        </w:rPr>
        <w:t xml:space="preserve"> </w:t>
      </w:r>
      <w:r w:rsidR="002B1405">
        <w:rPr>
          <w:rFonts w:asciiTheme="minorHAnsi" w:eastAsia="Calibri" w:hAnsiTheme="minorHAnsi" w:cs="Calibri"/>
          <w:sz w:val="22"/>
          <w:szCs w:val="22"/>
          <w:lang w:eastAsia="en-GB"/>
        </w:rPr>
        <w:fldChar w:fldCharType="begin" w:fldLock="1"/>
      </w:r>
      <w:r w:rsidR="003250CB">
        <w:rPr>
          <w:rFonts w:asciiTheme="minorHAnsi" w:eastAsia="Calibri" w:hAnsiTheme="minorHAnsi" w:cs="Calibri"/>
          <w:sz w:val="22"/>
          <w:szCs w:val="22"/>
          <w:lang w:eastAsia="en-GB"/>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"Mara", "given" : "D.", "non-dropping-particle" : "", "parse-names" : false, "suffix" : "" } ], "container-title" : "Earthscan, London, UK.", "id" : "ITEM-1", "issued" : { "date-parts" : [ [ "2004" ] ] }, "number-of-pages" : "1-293", "title" : "Domestic wastewater treatment in developing countries", "type" : "book" }, "uris" : [ "http://www.mendeley.com/documents/?uuid=f590fdb5-5251-4c15-bb95-e9bedb830800" ] } ], "mendeley" : { "formattedCitation" : "[1]", "plainTextFormattedCitation" : "[1]", "previouslyFormattedCitation" : "[1]" }, "properties" : { "noteIndex" : 0 }, "schema" : "https://github.com/citation-style-language/schema/raw/master/csl-citation.json" }</w:instrText>
      </w:r>
      <w:r w:rsidR="002B1405">
        <w:rPr>
          <w:rFonts w:asciiTheme="minorHAnsi" w:eastAsia="Calibri" w:hAnsiTheme="minorHAnsi" w:cs="Calibri"/>
          <w:sz w:val="22"/>
          <w:szCs w:val="22"/>
          <w:lang w:eastAsia="en-GB"/>
        </w:rPr>
        <w:fldChar w:fldCharType="separate"/>
      </w:r>
      <w:r w:rsidR="002B1405" w:rsidRPr="002B1405">
        <w:rPr>
          <w:rFonts w:asciiTheme="minorHAnsi" w:eastAsia="Calibri" w:hAnsiTheme="minorHAnsi" w:cs="Calibri"/>
          <w:noProof/>
          <w:sz w:val="22"/>
          <w:szCs w:val="22"/>
          <w:lang w:eastAsia="en-GB"/>
        </w:rPr>
        <w:t>[1]</w:t>
      </w:r>
      <w:r w:rsidR="002B1405">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and is a complex substrate with a high level of particulate suspended matter, and other domestic waste substrates, such as detergents, proteins and fatty compounds </w:t>
      </w:r>
      <w:r w:rsidR="00500014">
        <w:rPr>
          <w:rFonts w:asciiTheme="minorHAnsi" w:eastAsia="Calibri" w:hAnsiTheme="minorHAnsi" w:cs="Calibri"/>
          <w:sz w:val="22"/>
          <w:szCs w:val="22"/>
          <w:lang w:eastAsia="en-GB"/>
        </w:rPr>
        <w:fldChar w:fldCharType="begin" w:fldLock="1"/>
      </w:r>
      <w:r w:rsidR="00500014">
        <w:rPr>
          <w:rFonts w:asciiTheme="minorHAnsi" w:eastAsia="Calibri" w:hAnsiTheme="minorHAnsi" w:cs="Calibri"/>
          <w:sz w:val="22"/>
          <w:szCs w:val="22"/>
          <w:lang w:eastAsia="en-GB"/>
        </w:rPr>
        <w:instrText>ADDIN CSL_CITATION { "citationItems" : [ { "id" : "ITEM-1", "itemData" : { "DOI" : "10.1016/j.biortech.2005.05.015", "ISBN" : "0960-8524", "ISSN" : "09608524", "PMID" : "16055328", "abstract" : "This study presents a literature review on the treatment of domestic sewage in controlled environments having the anaerobic process and specifically the upflow anaerobic sludge blanket (UASB) concept as the core, under natural hot conditions. The UASB process application is however beset by the preponderance of suspended solids, and the paper looks at its optimization via pre- and post-treatments to curb the prevailing problems, in the light of possible discharge and re-use/recycling/resource recovery, leading to efficient environmental protection. Pre-treatment clarification could be done with ferric chloride/polyelectrolyte, so that phosphate precipitates during the process. The pre-treated liquid phase can be submitted to a high rate anaerobic process, using the simple and robust UASB technology. In a subsequent post-treatment step, ammonium can be removed by ion exchange using a zeolite column through which the wastewater percolates after leaving the anaerobic digester. The various stages can also eliminate a large fraction of the pathogens present in the raw wastewater, mainly through the pre-treatment sedimentation and the ion exchange filtration. The sludge produced in the precipitation stage can be stabilized in a conventional anaerobic digester. Integration of the different treatment steps provides a sustainable technology to treat domestic sewage under hot climate conditions. ?? 2005 Elsevier Ltd. All rights reserved.", "author" : [ { "dropping-particle" : "", "family" : "Aiyuk", "given" : "Sunny", "non-dropping-particle" : "", "parse-names" : false, "suffix" : "" }, { "dropping-particle" : "", "family" : "Forrez", "given" : "Ilse", "non-dropping-particle" : "", "parse-names" : false, "suffix" : "" }, { "dropping-particle" : "", "family" : "Lieven", "given" : "De Kempeneer", "non-dropping-particle" : "", "parse-names" : false, "suffix" : "" }, { "dropping-particle" : "", "family" : "Haandel", "given" : "Adrianus", "non-dropping-particle" : "van", "parse-names" : false, "suffix" : "" }, { "dropping-particle" : "", "family" : "Verstraete", "given" : "Willy", "non-dropping-particle" : "", "parse-names" : false, "suffix" : "" } ], "container-title" : "Bioresource Technology", "id" : "ITEM-1", "issue" : "17", "issued" : { "date-parts" : [ [ "2006" ] ] }, "page" : "2225-2241", "title" : "Anaerobic and complementary treatment of domestic sewage in regions with hot climates-A review", "type" : "article-journal", "volume" : "97" }, "uris" : [ "http://www.mendeley.com/documents/?uuid=3690e4ae-984a-4a5c-a82b-0abcbb4d09e6" ] } ], "mendeley" : { "formattedCitation" : "[2]", "plainTextFormattedCitation" : "[2]", "previouslyFormattedCitation" : "[2]" }, "properties" : { "noteIndex" : 0 }, "schema" : "https://github.com/citation-style-language/schema/raw/master/csl-citation.json" }</w:instrText>
      </w:r>
      <w:r w:rsidR="00500014">
        <w:rPr>
          <w:rFonts w:asciiTheme="minorHAnsi" w:eastAsia="Calibri" w:hAnsiTheme="minorHAnsi" w:cs="Calibri"/>
          <w:sz w:val="22"/>
          <w:szCs w:val="22"/>
          <w:lang w:eastAsia="en-GB"/>
        </w:rPr>
        <w:fldChar w:fldCharType="separate"/>
      </w:r>
      <w:r w:rsidR="00500014" w:rsidRPr="00500014">
        <w:rPr>
          <w:rFonts w:asciiTheme="minorHAnsi" w:eastAsia="Calibri" w:hAnsiTheme="minorHAnsi" w:cs="Calibri"/>
          <w:noProof/>
          <w:sz w:val="22"/>
          <w:szCs w:val="22"/>
          <w:lang w:eastAsia="en-GB"/>
        </w:rPr>
        <w:t>[2]</w:t>
      </w:r>
      <w:r w:rsidR="00500014">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With 50% of the global population currently residing in urban cities and expected to rise to 60% by 2030 </w:t>
      </w:r>
      <w:r w:rsidR="00500014">
        <w:rPr>
          <w:rFonts w:asciiTheme="minorHAnsi" w:eastAsia="Calibri" w:hAnsiTheme="minorHAnsi" w:cs="Calibri"/>
          <w:sz w:val="22"/>
          <w:szCs w:val="22"/>
          <w:lang w:eastAsia="en-GB"/>
        </w:rPr>
        <w:fldChar w:fldCharType="begin" w:fldLock="1"/>
      </w:r>
      <w:r w:rsidR="00500014">
        <w:rPr>
          <w:rFonts w:asciiTheme="minorHAnsi" w:eastAsia="Calibri" w:hAnsiTheme="minorHAnsi" w:cs="Calibri"/>
          <w:sz w:val="22"/>
          <w:szCs w:val="22"/>
          <w:lang w:eastAsia="en-GB"/>
        </w:rPr>
        <w:instrText>ADDIN CSL_CITATION { "citationItems" : [ { "id" : "ITEM-1", "itemData" : { "ISBN" : "9788277010755", "author" : [ { "dropping-particle" : "", "family" : "Corcoran, E., Nellemann, C., Baker, E., Bos, R., Osborn, D., Savelli", "given" : "H.", "non-dropping-particle" : "", "parse-names" : false, "suffix" : "" } ], "id" : "ITEM-1", "issued" : { "date-parts" : [ [ "2010" ] ] }, "title" : "SICK WATER ? THE CENTRAL ROLE OF WASTEWATER MANAGEMENT IN SUSTAINABLE DEVELOPMENT", "type" : "report" }, "uris" : [ "http://www.mendeley.com/documents/?uuid=d95ac8d9-33ce-4af8-b273-91c9d6ab028a" ] } ], "mendeley" : { "formattedCitation" : "[3]", "plainTextFormattedCitation" : "[3]", "previouslyFormattedCitation" : "[3]" }, "properties" : { "noteIndex" : 0 }, "schema" : "https://github.com/citation-style-language/schema/raw/master/csl-citation.json" }</w:instrText>
      </w:r>
      <w:r w:rsidR="00500014">
        <w:rPr>
          <w:rFonts w:asciiTheme="minorHAnsi" w:eastAsia="Calibri" w:hAnsiTheme="minorHAnsi" w:cs="Calibri"/>
          <w:sz w:val="22"/>
          <w:szCs w:val="22"/>
          <w:lang w:eastAsia="en-GB"/>
        </w:rPr>
        <w:fldChar w:fldCharType="separate"/>
      </w:r>
      <w:r w:rsidR="00500014" w:rsidRPr="00500014">
        <w:rPr>
          <w:rFonts w:asciiTheme="minorHAnsi" w:eastAsia="Calibri" w:hAnsiTheme="minorHAnsi" w:cs="Calibri"/>
          <w:noProof/>
          <w:sz w:val="22"/>
          <w:szCs w:val="22"/>
          <w:lang w:eastAsia="en-GB"/>
        </w:rPr>
        <w:t>[3]</w:t>
      </w:r>
      <w:r w:rsidR="00500014">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it is clear that such drastic changes in the global demography need to be met with upgraded wastewater infrastructure. However, the reality is that many urban cities already lack adequate waste management infrastructure to cope with current levels of urban waste streams </w:t>
      </w:r>
      <w:r w:rsidR="00500014">
        <w:rPr>
          <w:rFonts w:asciiTheme="minorHAnsi" w:eastAsia="Calibri" w:hAnsiTheme="minorHAnsi" w:cs="Calibri"/>
          <w:sz w:val="22"/>
          <w:szCs w:val="22"/>
          <w:lang w:eastAsia="en-GB"/>
        </w:rPr>
        <w:fldChar w:fldCharType="begin" w:fldLock="1"/>
      </w:r>
      <w:r w:rsidR="00500014">
        <w:rPr>
          <w:rFonts w:asciiTheme="minorHAnsi" w:eastAsia="Calibri" w:hAnsiTheme="minorHAnsi" w:cs="Calibri"/>
          <w:sz w:val="22"/>
          <w:szCs w:val="22"/>
          <w:lang w:eastAsia="en-GB"/>
        </w:rPr>
        <w:instrText>ADDIN CSL_CITATION { "citationItems" : [ { "id" : "ITEM-1", "itemData" : { "ISBN" : "9788277010755", "author" : [ { "dropping-particle" : "", "family" : "Corcoran, E., Nellemann, C., Baker, E., Bos, R., Osborn, D., Savelli", "given" : "H.", "non-dropping-particle" : "", "parse-names" : false, "suffix" : "" } ], "id" : "ITEM-1", "issued" : { "date-parts" : [ [ "2010" ] ] }, "title" : "SICK WATER ? THE CENTRAL ROLE OF WASTEWATER MANAGEMENT IN SUSTAINABLE DEVELOPMENT", "type" : "report" }, "uris" : [ "http://www.mendeley.com/documents/?uuid=d95ac8d9-33ce-4af8-b273-91c9d6ab028a" ] } ], "mendeley" : { "formattedCitation" : "[3]", "plainTextFormattedCitation" : "[3]", "previouslyFormattedCitation" : "[3]" }, "properties" : { "noteIndex" : 0 }, "schema" : "https://github.com/citation-style-language/schema/raw/master/csl-citation.json" }</w:instrText>
      </w:r>
      <w:r w:rsidR="00500014">
        <w:rPr>
          <w:rFonts w:asciiTheme="minorHAnsi" w:eastAsia="Calibri" w:hAnsiTheme="minorHAnsi" w:cs="Calibri"/>
          <w:sz w:val="22"/>
          <w:szCs w:val="22"/>
          <w:lang w:eastAsia="en-GB"/>
        </w:rPr>
        <w:fldChar w:fldCharType="separate"/>
      </w:r>
      <w:r w:rsidR="00500014" w:rsidRPr="00500014">
        <w:rPr>
          <w:rFonts w:asciiTheme="minorHAnsi" w:eastAsia="Calibri" w:hAnsiTheme="minorHAnsi" w:cs="Calibri"/>
          <w:noProof/>
          <w:sz w:val="22"/>
          <w:szCs w:val="22"/>
          <w:lang w:eastAsia="en-GB"/>
        </w:rPr>
        <w:t>[3]</w:t>
      </w:r>
      <w:r w:rsidR="00500014">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let alone a predicted surge in urban population dynamics. The provision of adequate wastewater treatment facilities is both energy-intensive and expensive, and there does not exist a ‘one size fits all’ solution that is applicable to all global urban areas. Therefore, it is a challenge to implement suitable sustainable solutions that fulfil the needs of an urbanised area</w:t>
      </w:r>
      <w:r w:rsidR="00500014">
        <w:rPr>
          <w:rFonts w:asciiTheme="minorHAnsi" w:eastAsia="Calibri" w:hAnsiTheme="minorHAnsi" w:cs="Calibri"/>
          <w:sz w:val="22"/>
          <w:szCs w:val="22"/>
          <w:lang w:eastAsia="en-GB"/>
        </w:rPr>
        <w:t xml:space="preserve"> </w:t>
      </w:r>
      <w:r w:rsidR="00500014">
        <w:rPr>
          <w:rFonts w:asciiTheme="minorHAnsi" w:eastAsia="Calibri" w:hAnsiTheme="minorHAnsi" w:cs="Calibri"/>
          <w:sz w:val="22"/>
          <w:szCs w:val="22"/>
          <w:lang w:eastAsia="en-GB"/>
        </w:rPr>
        <w:fldChar w:fldCharType="begin" w:fldLock="1"/>
      </w:r>
      <w:r w:rsidR="00500014">
        <w:rPr>
          <w:rFonts w:asciiTheme="minorHAnsi" w:eastAsia="Calibri" w:hAnsiTheme="minorHAnsi" w:cs="Calibri"/>
          <w:sz w:val="22"/>
          <w:szCs w:val="22"/>
          <w:lang w:eastAsia="en-GB"/>
        </w:rPr>
        <w:instrText>ADDIN CSL_CITATION { "citationItems" : [ { "id" : "ITEM-1", "itemData" : { "DOI" : "10.1016/j.biotechadv.2012.02.007", "ISSN" : "1873-1899", "PMID" : "22361648", "abstract" : "Poor sanitation in urban slums results in increased prevalence of diseases and pollution of the environment. Excreta, grey water and solid wastes are the major contributors to the pollution load into the slum environment and pose a risk to public health. The high rates of urbanization and population growth, poor accessibility and lack of legal status in urban slums make it difficult to improve their level of sanitation. New approaches may help to achieve the sanitation target of the Millennium Development Goal (MDG) 7; ensuring environmental sustainability. This paper reviews the characteristics of waste streams and the potential treatment processes and technologies that can be adopted and applied in urban slums in a sustainable way. Resource recovery oriented technologies minimise health risks and negative environmental impacts. In particular, there has been increasing recognition of the potential of anaerobic co-digestion for treatment of excreta and organic solid waste for energy recovery as an alternative to composting. Soil and sand filters have also been found suitable for removal of organic matter, pathogens, nutrients and micro-pollutants from grey water.", "author" : [ { "dropping-particle" : "", "family" : "Katukiza", "given" : "a Y", "non-dropping-particle" : "", "parse-names" : false, "suffix" : "" }, { "dropping-particle" : "", "family" : "Ronteltap", "given" : "M", "non-dropping-particle" : "", "parse-names" : false, "suffix" : "" }, { "dropping-particle" : "", "family" : "Niwagaba", "given" : "C B", "non-dropping-particle" : "", "parse-names" : false, "suffix" : "" }, { "dropping-particle" : "", "family" : "Foppen", "given" : "J W a", "non-dropping-particle" : "", "parse-names" : false, "suffix" : "" }, { "dropping-particle" : "", "family" : "Kansiime", "given" : "F", "non-dropping-particle" : "", "parse-names" : false, "suffix" : "" }, { "dropping-particle" : "", "family" : "Lens", "given" : "P N L", "non-dropping-particle" : "", "parse-names" : false, "suffix" : "" } ], "container-title" : "Biotechnology advances", "id" : "ITEM-1", "issue" : "5", "issued" : { "date-parts" : [ [ "2012" ] ] }, "page" : "964-78", "publisher" : "Elsevier Inc.", "title" : "Sustainable sanitation technology options for urban slums.", "type" : "article-journal", "volume" : "30" }, "uris" : [ "http://www.mendeley.com/documents/?uuid=e5e65694-27b3-4cef-acd1-819df2200f98" ] } ], "mendeley" : { "formattedCitation" : "[4]", "plainTextFormattedCitation" : "[4]", "previouslyFormattedCitation" : "[4]" }, "properties" : { "noteIndex" : 0 }, "schema" : "https://github.com/citation-style-language/schema/raw/master/csl-citation.json" }</w:instrText>
      </w:r>
      <w:r w:rsidR="00500014">
        <w:rPr>
          <w:rFonts w:asciiTheme="minorHAnsi" w:eastAsia="Calibri" w:hAnsiTheme="minorHAnsi" w:cs="Calibri"/>
          <w:sz w:val="22"/>
          <w:szCs w:val="22"/>
          <w:lang w:eastAsia="en-GB"/>
        </w:rPr>
        <w:fldChar w:fldCharType="separate"/>
      </w:r>
      <w:r w:rsidR="00500014" w:rsidRPr="00500014">
        <w:rPr>
          <w:rFonts w:asciiTheme="minorHAnsi" w:eastAsia="Calibri" w:hAnsiTheme="minorHAnsi" w:cs="Calibri"/>
          <w:noProof/>
          <w:sz w:val="22"/>
          <w:szCs w:val="22"/>
          <w:lang w:eastAsia="en-GB"/>
        </w:rPr>
        <w:t>[4]</w:t>
      </w:r>
      <w:r w:rsidR="00500014">
        <w:rPr>
          <w:rFonts w:asciiTheme="minorHAnsi" w:eastAsia="Calibri" w:hAnsiTheme="minorHAnsi" w:cs="Calibri"/>
          <w:sz w:val="22"/>
          <w:szCs w:val="22"/>
          <w:lang w:eastAsia="en-GB"/>
        </w:rPr>
        <w:fldChar w:fldCharType="end"/>
      </w:r>
      <w:r w:rsidR="00500014">
        <w:rPr>
          <w:rFonts w:asciiTheme="minorHAnsi" w:eastAsia="Calibri" w:hAnsiTheme="minorHAnsi" w:cs="Calibri"/>
          <w:sz w:val="22"/>
          <w:szCs w:val="22"/>
          <w:lang w:eastAsia="en-GB"/>
        </w:rPr>
        <w:t>.</w:t>
      </w:r>
    </w:p>
    <w:p w14:paraId="07915C1B" w14:textId="78B1C2F8" w:rsidR="00436CD0" w:rsidRPr="00C44D8C" w:rsidRDefault="00436CD0" w:rsidP="00436CD0">
      <w:pPr>
        <w:spacing w:line="360" w:lineRule="auto"/>
        <w:ind w:firstLine="720"/>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t>Poor global management and treatment of domestic wastewater has serious downstream effects, such as water scarcity, poor energy access and climate change. With untreated domestic wastewater contributing up to 10% of global methane (CH</w:t>
      </w:r>
      <w:r w:rsidRPr="00C44D8C">
        <w:rPr>
          <w:rFonts w:asciiTheme="minorHAnsi" w:eastAsia="Calibri" w:hAnsiTheme="minorHAnsi" w:cs="Calibri"/>
          <w:sz w:val="22"/>
          <w:szCs w:val="22"/>
          <w:vertAlign w:val="subscript"/>
          <w:lang w:eastAsia="en-GB"/>
        </w:rPr>
        <w:t>4</w:t>
      </w:r>
      <w:r w:rsidRPr="00C44D8C">
        <w:rPr>
          <w:rFonts w:asciiTheme="minorHAnsi" w:eastAsia="Calibri" w:hAnsiTheme="minorHAnsi" w:cs="Calibri"/>
          <w:sz w:val="22"/>
          <w:szCs w:val="22"/>
          <w:lang w:eastAsia="en-GB"/>
        </w:rPr>
        <w:t>)</w:t>
      </w:r>
      <w:r w:rsidRPr="00C44D8C">
        <w:rPr>
          <w:rFonts w:asciiTheme="minorHAnsi" w:eastAsia="Calibri" w:hAnsiTheme="minorHAnsi" w:cs="Calibri"/>
          <w:sz w:val="22"/>
          <w:szCs w:val="22"/>
          <w:vertAlign w:val="subscript"/>
          <w:lang w:eastAsia="en-GB"/>
        </w:rPr>
        <w:t xml:space="preserve"> </w:t>
      </w:r>
      <w:r w:rsidRPr="00C44D8C">
        <w:rPr>
          <w:rFonts w:asciiTheme="minorHAnsi" w:eastAsia="Calibri" w:hAnsiTheme="minorHAnsi" w:cs="Calibri"/>
          <w:sz w:val="22"/>
          <w:szCs w:val="22"/>
          <w:lang w:eastAsia="en-GB"/>
        </w:rPr>
        <w:t xml:space="preserve">emissions each year </w:t>
      </w:r>
      <w:r w:rsidR="00500014">
        <w:rPr>
          <w:rFonts w:asciiTheme="minorHAnsi" w:eastAsia="Calibri" w:hAnsiTheme="minorHAnsi" w:cs="Calibri"/>
          <w:sz w:val="22"/>
          <w:szCs w:val="22"/>
          <w:lang w:eastAsia="en-GB"/>
        </w:rPr>
        <w:fldChar w:fldCharType="begin" w:fldLock="1"/>
      </w:r>
      <w:r w:rsidR="00500014">
        <w:rPr>
          <w:rFonts w:asciiTheme="minorHAnsi" w:eastAsia="Calibri" w:hAnsiTheme="minorHAnsi" w:cs="Calibri"/>
          <w:sz w:val="22"/>
          <w:szCs w:val="22"/>
          <w:lang w:eastAsia="en-GB"/>
        </w:rPr>
        <w:instrText>ADDIN CSL_CITATION { "citationItems" : [ { "id" : "ITEM-1", "itemData" : { "DOI" : "10.1016/j.esd.2011.09.003", "ISSN" : "09730826", "author" : [ { "dropping-particle" : "", "family" : "Bond", "given" : "Tom", "non-dropping-particle" : "", "parse-names" : false, "suffix" : "" }, { "dropping-particle" : "", "family" : "Templeton", "given" : "Michael R.", "non-dropping-particle" : "", "parse-names" : false, "suffix" : "" } ], "container-title" : "Energy for Sustainable Development", "id" : "ITEM-1", "issue" : "4", "issued" : { "date-parts" : [ [ "2011", "12" ] ] }, "page" : "347-354", "publisher" : "International Energy Initiative", "title" : "History and future of domestic biogas plants in the developing world", "type" : "article-journal", "volume" : "15" }, "uris" : [ "http://www.mendeley.com/documents/?uuid=46bd4d7a-be62-45cc-a61c-3687da6bfa5d" ] } ], "mendeley" : { "formattedCitation" : "[5]", "plainTextFormattedCitation" : "[5]", "previouslyFormattedCitation" : "[5]" }, "properties" : { "noteIndex" : 0 }, "schema" : "https://github.com/citation-style-language/schema/raw/master/csl-citation.json" }</w:instrText>
      </w:r>
      <w:r w:rsidR="00500014">
        <w:rPr>
          <w:rFonts w:asciiTheme="minorHAnsi" w:eastAsia="Calibri" w:hAnsiTheme="minorHAnsi" w:cs="Calibri"/>
          <w:sz w:val="22"/>
          <w:szCs w:val="22"/>
          <w:lang w:eastAsia="en-GB"/>
        </w:rPr>
        <w:fldChar w:fldCharType="separate"/>
      </w:r>
      <w:r w:rsidR="00500014" w:rsidRPr="00500014">
        <w:rPr>
          <w:rFonts w:asciiTheme="minorHAnsi" w:eastAsia="Calibri" w:hAnsiTheme="minorHAnsi" w:cs="Calibri"/>
          <w:noProof/>
          <w:sz w:val="22"/>
          <w:szCs w:val="22"/>
          <w:lang w:eastAsia="en-GB"/>
        </w:rPr>
        <w:t>[5]</w:t>
      </w:r>
      <w:r w:rsidR="00500014">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it is clear that it is a significant source of methane </w:t>
      </w:r>
      <w:r w:rsidR="00500014">
        <w:rPr>
          <w:rFonts w:asciiTheme="minorHAnsi" w:eastAsia="Calibri" w:hAnsiTheme="minorHAnsi" w:cs="Calibri"/>
          <w:sz w:val="22"/>
          <w:szCs w:val="22"/>
          <w:lang w:eastAsia="en-GB"/>
        </w:rPr>
        <w:fldChar w:fldCharType="begin" w:fldLock="1"/>
      </w:r>
      <w:r w:rsidR="00500014">
        <w:rPr>
          <w:rFonts w:asciiTheme="minorHAnsi" w:eastAsia="Calibri" w:hAnsiTheme="minorHAnsi" w:cs="Calibri"/>
          <w:sz w:val="22"/>
          <w:szCs w:val="22"/>
          <w:lang w:eastAsia="en-GB"/>
        </w:rPr>
        <w:instrText>ADDIN CSL_CITATION { "citationItems" : [ { "id" : "ITEM-1", "itemData" : { "ISBN" : "9788277010755", "author" : [ { "dropping-particle" : "", "family" : "Corcoran, E., Nellemann, C., Baker, E., Bos, R., Osborn, D., Savelli", "given" : "H.", "non-dropping-particle" : "", "parse-names" : false, "suffix" : "" } ], "id" : "ITEM-1", "issued" : { "date-parts" : [ [ "2010" ] ] }, "title" : "SICK WATER ? THE CENTRAL ROLE OF WASTEWATER MANAGEMENT IN SUSTAINABLE DEVELOPMENT", "type" : "report" }, "uris" : [ "http://www.mendeley.com/documents/?uuid=d95ac8d9-33ce-4af8-b273-91c9d6ab028a" ] } ], "mendeley" : { "formattedCitation" : "[3]", "plainTextFormattedCitation" : "[3]", "previouslyFormattedCitation" : "[3]" }, "properties" : { "noteIndex" : 0 }, "schema" : "https://github.com/citation-style-language/schema/raw/master/csl-citation.json" }</w:instrText>
      </w:r>
      <w:r w:rsidR="00500014">
        <w:rPr>
          <w:rFonts w:asciiTheme="minorHAnsi" w:eastAsia="Calibri" w:hAnsiTheme="minorHAnsi" w:cs="Calibri"/>
          <w:sz w:val="22"/>
          <w:szCs w:val="22"/>
          <w:lang w:eastAsia="en-GB"/>
        </w:rPr>
        <w:fldChar w:fldCharType="separate"/>
      </w:r>
      <w:r w:rsidR="00500014" w:rsidRPr="00500014">
        <w:rPr>
          <w:rFonts w:asciiTheme="minorHAnsi" w:eastAsia="Calibri" w:hAnsiTheme="minorHAnsi" w:cs="Calibri"/>
          <w:noProof/>
          <w:sz w:val="22"/>
          <w:szCs w:val="22"/>
          <w:lang w:eastAsia="en-GB"/>
        </w:rPr>
        <w:t>[3]</w:t>
      </w:r>
      <w:r w:rsidR="00500014">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CH</w:t>
      </w:r>
      <w:r w:rsidRPr="00C44D8C">
        <w:rPr>
          <w:rFonts w:asciiTheme="minorHAnsi" w:eastAsia="Calibri" w:hAnsiTheme="minorHAnsi" w:cs="Calibri"/>
          <w:sz w:val="22"/>
          <w:szCs w:val="22"/>
          <w:vertAlign w:val="subscript"/>
          <w:lang w:eastAsia="en-GB"/>
        </w:rPr>
        <w:t xml:space="preserve">4 </w:t>
      </w:r>
      <w:r w:rsidRPr="00C44D8C">
        <w:rPr>
          <w:rFonts w:asciiTheme="minorHAnsi" w:eastAsia="Calibri" w:hAnsiTheme="minorHAnsi" w:cs="Calibri"/>
          <w:sz w:val="22"/>
          <w:szCs w:val="22"/>
          <w:lang w:eastAsia="en-GB"/>
        </w:rPr>
        <w:t>is a greenhouse gas with a global warming potential 25 times greater than that of carbon dioxide (CO</w:t>
      </w:r>
      <w:r w:rsidRPr="00C44D8C">
        <w:rPr>
          <w:rFonts w:asciiTheme="minorHAnsi" w:eastAsia="Calibri" w:hAnsiTheme="minorHAnsi" w:cs="Calibri"/>
          <w:sz w:val="22"/>
          <w:szCs w:val="22"/>
          <w:vertAlign w:val="subscript"/>
          <w:lang w:eastAsia="en-GB"/>
        </w:rPr>
        <w:t>2</w:t>
      </w:r>
      <w:r w:rsidR="00500014">
        <w:rPr>
          <w:rFonts w:asciiTheme="minorHAnsi" w:eastAsia="Calibri" w:hAnsiTheme="minorHAnsi" w:cs="Calibri"/>
          <w:sz w:val="22"/>
          <w:szCs w:val="22"/>
          <w:lang w:eastAsia="en-GB"/>
        </w:rPr>
        <w:t xml:space="preserve">) </w:t>
      </w:r>
      <w:r w:rsidR="00500014">
        <w:rPr>
          <w:rFonts w:asciiTheme="minorHAnsi" w:eastAsia="Calibri" w:hAnsiTheme="minorHAnsi" w:cs="Calibri"/>
          <w:sz w:val="22"/>
          <w:szCs w:val="22"/>
          <w:lang w:eastAsia="en-GB"/>
        </w:rPr>
        <w:fldChar w:fldCharType="begin" w:fldLock="1"/>
      </w:r>
      <w:r w:rsidR="00500014">
        <w:rPr>
          <w:rFonts w:asciiTheme="minorHAnsi" w:eastAsia="Calibri" w:hAnsiTheme="minorHAnsi" w:cs="Calibri"/>
          <w:sz w:val="22"/>
          <w:szCs w:val="22"/>
          <w:lang w:eastAsia="en-GB"/>
        </w:rPr>
        <w:instrText>ADDIN CSL_CITATION { "citationItems" : [ { "id" : "ITEM-1", "itemData" : { "DOI" : "10.1111/gcb.12131", "ISSN" : "1354-1013", "PMID" : "23505021", "abstract" : "Understanding the dynamics of methane (CH4 ) emissions is of paramount importance because CH4 has 25 times the global warming potential of carbon dioxide (CO2 ) and is currently the second most important anthropogenic greenhouse gas. Wetlands are the single largest natural CH4 source with median emissions from published studies of 164 Tg\u00a0yr(-1) , which is about a third of total global emissions. We provide a perspective on important new frontiers in obtaining a better understanding of CH4 dynamics in natural systems, with a focus on wetlands. One of the most exciting recent developments in this field is the attempt to integrate the different methodologies and spatial scales of biogeochemistry, molecular microbiology, and modeling, and thus this is a major focus of this review. Our specific objectives are to provide an up-to-date synthesis of estimates of global CH4 emissions from wetlands and other freshwater aquatic ecosystems, briefly summarize major biogeophysical controls over CH4 emissions from wetlands, suggest new frontiers in CH4 biogeochemistry, examine relationships between methanogen community structure and CH4 dynamics in situ, and to review the current generation of CH4 models. We highlight throughout some of the most pressing issues concerning global change and feedbacks on CH4 emissions from natural ecosystems. Major uncertainties in estimating current and future CH4 emissions from natural ecosystems include the following: (i) A number of important controls over CH4 production, consumption, and transport have not been, or are inadequately, incorporated into existing CH4 biogeochemistry models. (ii) Significant errors in regional and global emission estimates are derived from large spatial-scale extrapolations from highly heterogeneous and often poorly mapped wetland complexes. (iii) The limited number of observations of CH4 fluxes and their associated environmental variables loosely constrains the parameterization of process-based biogeochemistry models.", "author" : [ { "dropping-particle" : "", "family" : "Bridgham", "given" : "Scott D", "non-dropping-particle" : "", "parse-names" : false, "suffix" : "" }, { "dropping-particle" : "", "family" : "Cadillo-Quiroz", "given" : "Hinsby", "non-dropping-particle" : "", "parse-names" : false, "suffix" : "" }, { "dropping-particle" : "", "family" : "Keller", "given" : "Jason K", "non-dropping-particle" : "", "parse-names" : false, "suffix" : "" }, { "dropping-particle" : "", "family" : "Zhuang", "given" : "Qianlai", "non-dropping-particle" : "", "parse-names" : false, "suffix" : "" } ], "container-title" : "Global change biology", "id" : "ITEM-1", "issue" : "5", "issued" : { "date-parts" : [ [ "2013", "5" ] ] }, "page" : "1325-46", "title" : "Methane emissions from wetlands: biogeochemical, microbial, and modeling perspectives from local to global scales.", "type" : "article-journal", "volume" : "19" }, "uris" : [ "http://www.mendeley.com/documents/?uuid=885511ea-aad0-4dac-8ce6-88eb70a35258" ] } ], "mendeley" : { "formattedCitation" : "[6]", "plainTextFormattedCitation" : "[6]", "previouslyFormattedCitation" : "[6]" }, "properties" : { "noteIndex" : 0 }, "schema" : "https://github.com/citation-style-language/schema/raw/master/csl-citation.json" }</w:instrText>
      </w:r>
      <w:r w:rsidR="00500014">
        <w:rPr>
          <w:rFonts w:asciiTheme="minorHAnsi" w:eastAsia="Calibri" w:hAnsiTheme="minorHAnsi" w:cs="Calibri"/>
          <w:sz w:val="22"/>
          <w:szCs w:val="22"/>
          <w:lang w:eastAsia="en-GB"/>
        </w:rPr>
        <w:fldChar w:fldCharType="separate"/>
      </w:r>
      <w:r w:rsidR="00500014" w:rsidRPr="00500014">
        <w:rPr>
          <w:rFonts w:asciiTheme="minorHAnsi" w:eastAsia="Calibri" w:hAnsiTheme="minorHAnsi" w:cs="Calibri"/>
          <w:noProof/>
          <w:sz w:val="22"/>
          <w:szCs w:val="22"/>
          <w:lang w:eastAsia="en-GB"/>
        </w:rPr>
        <w:t>[6]</w:t>
      </w:r>
      <w:r w:rsidR="00500014">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By 2020, the uncontrolled release of CH</w:t>
      </w:r>
      <w:r w:rsidRPr="00C44D8C">
        <w:rPr>
          <w:rFonts w:asciiTheme="minorHAnsi" w:eastAsia="Calibri" w:hAnsiTheme="minorHAnsi" w:cs="Calibri"/>
          <w:sz w:val="22"/>
          <w:szCs w:val="22"/>
          <w:vertAlign w:val="subscript"/>
          <w:lang w:eastAsia="en-GB"/>
        </w:rPr>
        <w:t>4</w:t>
      </w:r>
      <w:r w:rsidRPr="00C44D8C">
        <w:rPr>
          <w:rFonts w:asciiTheme="minorHAnsi" w:eastAsia="Calibri" w:hAnsiTheme="minorHAnsi" w:cs="Calibri"/>
          <w:sz w:val="22"/>
          <w:szCs w:val="22"/>
          <w:lang w:eastAsia="en-GB"/>
        </w:rPr>
        <w:t xml:space="preserve"> from untreated wastewater could increase by 50% compared to 1990 levels</w:t>
      </w:r>
      <w:r w:rsidR="00500014">
        <w:rPr>
          <w:rFonts w:asciiTheme="minorHAnsi" w:eastAsia="Calibri" w:hAnsiTheme="minorHAnsi" w:cs="Calibri"/>
          <w:sz w:val="22"/>
          <w:szCs w:val="22"/>
          <w:lang w:eastAsia="en-GB"/>
        </w:rPr>
        <w:t xml:space="preserve"> </w:t>
      </w:r>
      <w:r w:rsidR="00500014">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"ISBN" : "9788277010755", "author" : [ { "dropping-particle" : "", "family" : "Corcoran, E., Nellemann, C., Baker, E., Bos, R., Osborn, D., Savelli", "given" : "H.", "non-dropping-particle" : "", "parse-names" : false, "suffix" : "" } ], "id" : "ITEM-1", "issued" : { "date-parts" : [ [ "2010" ] ] }, "title" : "SICK WATER ? THE CENTRAL ROLE OF WASTEWATER MANAGEMENT IN SUSTAINABLE DEVELOPMENT", "type" : "report" }, "uris" : [ "http://www.mendeley.com/documents/?uuid=d95ac8d9-33ce-4af8-b273-91c9d6ab028a" ] } ], "mendeley" : { "formattedCitation" : "[3]", "plainTextFormattedCitation" : "[3]", "previouslyFormattedCitation" : "[3]" }, "properties" : { "noteIndex" : 0 }, "schema" : "https://github.com/citation-style-language/schema/raw/master/csl-citation.json" }</w:instrText>
      </w:r>
      <w:r w:rsidR="00500014">
        <w:rPr>
          <w:rFonts w:asciiTheme="minorHAnsi" w:eastAsia="Calibri" w:hAnsiTheme="minorHAnsi" w:cs="Calibri"/>
          <w:sz w:val="22"/>
          <w:szCs w:val="22"/>
          <w:lang w:eastAsia="en-GB"/>
        </w:rPr>
        <w:fldChar w:fldCharType="separate"/>
      </w:r>
      <w:r w:rsidR="00500014" w:rsidRPr="00500014">
        <w:rPr>
          <w:rFonts w:asciiTheme="minorHAnsi" w:eastAsia="Calibri" w:hAnsiTheme="minorHAnsi" w:cs="Calibri"/>
          <w:noProof/>
          <w:sz w:val="22"/>
          <w:szCs w:val="22"/>
          <w:lang w:eastAsia="en-GB"/>
        </w:rPr>
        <w:t>[3]</w:t>
      </w:r>
      <w:r w:rsidR="00500014">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This has serious repercussions to the global ecology and to the future stability of the environment and climate. </w:t>
      </w:r>
    </w:p>
    <w:p w14:paraId="6E872B22" w14:textId="4B496E83" w:rsidR="00436CD0" w:rsidRPr="00C44D8C" w:rsidRDefault="00436CD0" w:rsidP="00436CD0">
      <w:pPr>
        <w:spacing w:line="360" w:lineRule="auto"/>
        <w:ind w:firstLine="720"/>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t>Domestic wastewater is also a significant source and carrier of water pollutants and pathogenic disease</w:t>
      </w:r>
      <w:r w:rsidR="00500014">
        <w:rPr>
          <w:rFonts w:asciiTheme="minorHAnsi" w:eastAsia="Calibri" w:hAnsiTheme="minorHAnsi" w:cs="Calibri"/>
          <w:sz w:val="22"/>
          <w:szCs w:val="22"/>
          <w:lang w:eastAsia="en-GB"/>
        </w:rPr>
        <w:t xml:space="preserve">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"ISBN" : "9788277010755", "author" : [ { "dropping-particle" : "", "family" : "Corcoran, E., Nellemann, C., Baker, E., Bos, R., Osborn, D., Savelli", "given" : "H.", "non-dropping-particle" : "", "parse-names" : false, "suffix" : "" } ], "id" : "ITEM-1", "issued" : { "date-parts" : [ [ "2010" ] ] }, "title" : "SICK WATER ? THE CENTRAL ROLE OF WASTEWATER MANAGEMENT IN SUSTAINABLE DEVELOPMENT", "type" : "report" }, "uris" : [ "http://www.mendeley.com/documents/?uuid=d95ac8d9-33ce-4af8-b273-91c9d6ab028a" ] }, { "id" : "ITEM-2", "itemData" : { "DOI" : "10.1097/01.ede.0000239647.26389.80", "ISBN" : "1044-3983 (Print)\\n1044-3983 (Linking)", "ISSN" : "1044-3983", "PMID" : "16971860", "abstract" : "There is very little systematically collected evidence on the overall contribution of environmental risk factors to the global burden of disease. The World Health Organization (WHO) recently completed a comprehensive, systematic, and transparent estimate of the disease burden attributable to the environment highlighting the full potential for environmental interventions to improve human health. This report is the result of a systematic literature review on environmental risks completed by a survey of expert opinion using a variant of the Delphi method. More than 100 experts provided quantitative estimates on the fractions of 85 diseases attributable to the environment. They were asked to consider only the contributions of the \"reasonably modifiable environment\"-that is, the part of environment that can plausibly be changed by existing interventions. The report estimates that 24% of the global burden of disease was due to environmental risk factors. Environmental factors were judged to play a role in 85 of the 102 diseases taken into account. Major diseases were, for example, diarrheal diseases with fractions attributable to the environment of 94%, lower respiratory infections with 41%, malaria with 42%, and unintentional injuries with 42%. The evidence shows that a large proportion of this \"environmental disease burden\" could be averted by existing cost-effective interventions such as clean water, clean air, and basic safety measures. In children, 34% of the disease burden is attributable to the environment, and much of this burden is in developing countries.", "author" : [ { "dropping-particle" : "", "family" : "Pr\u00fcss-\u00dcst\u00fcn", "given" : "Annette", "non-dropping-particle" : "", "parse-names" : false, "suffix" : "" }, { "dropping-particle" : "", "family" : "Corval\u00e1n", "given" : "Carlos", "non-dropping-particle" : "", "parse-names" : false, "suffix" : "" } ], "container-title" : "Epidemiology", "id" : "ITEM-2", "issue" : "1", "issued" : { "date-parts" : [ [ "2007" ] ] }, "page" : "167-178", "title" : "How Much Disease Burden can be Prevented by Environmental Interventions?", "type" : "article-journal", "volume" : "18" }, "uris" : [ "http://www.mendeley.com/documents/?uuid=991d25ac-d172-4585-8ae4-cd2f7949626e" ] } ], "mendeley" : { "formattedCitation" : "[3,7]", "plainTextFormattedCitation" : "[3,7]", "previouslyFormattedCitation" : "[3,7]"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[3,7]</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It facilitates the transmission of pathogenic microorganisms via various faecal-oral pathways, such as by contaminating groundwater sources, food, hands </w:t>
      </w:r>
      <w:r w:rsidRPr="00C44D8C">
        <w:rPr>
          <w:rFonts w:asciiTheme="minorHAnsi" w:eastAsia="Calibri" w:hAnsiTheme="minorHAnsi" w:cs="Calibri"/>
          <w:sz w:val="22"/>
          <w:szCs w:val="22"/>
          <w:lang w:eastAsia="en-GB"/>
        </w:rPr>
        <w:lastRenderedPageBreak/>
        <w:t xml:space="preserve">and feet, resulting in various sanitation-related diseases, namely diarrhoea and cholera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"DOI" : "10.1097/01.ede.0000239647.26389.80", "ISBN" : "1044-3983 (Print)\\n1044-3983 (Linking)", "ISSN" : "1044-3983", "PMID" : "16971860", "abstract" : "There is very little systematically collected evidence on the overall contribution of environmental risk factors to the global burden of disease. The World Health Organization (WHO) recently completed a comprehensive, systematic, and transparent estimate of the disease burden attributable to the environment highlighting the full potential for environmental interventions to improve human health. This report is the result of a systematic literature review on environmental risks completed by a survey of expert opinion using a variant of the Delphi method. More than 100 experts provided quantitative estimates on the fractions of 85 diseases attributable to the environment. They were asked to consider only the contributions of the \"reasonably modifiable environment\"-that is, the part of environment that can plausibly be changed by existing interventions. The report estimates that 24% of the global burden of disease was due to environmental risk factors. Environmental factors were judged to play a role in 85 of the 102 diseases taken into account. Major diseases were, for example, diarrheal diseases with fractions attributable to the environment of 94%, lower respiratory infections with 41%, malaria with 42%, and unintentional injuries with 42%. The evidence shows that a large proportion of this \"environmental disease burden\" could be averted by existing cost-effective interventions such as clean water, clean air, and basic safety measures. In children, 34% of the disease burden is attributable to the environment, and much of this burden is in developing countries.", "author" : [ { "dropping-particle" : "", "family" : "Pr\u00fcss-\u00dcst\u00fcn", "given" : "Annette", "non-dropping-particle" : "", "parse-names" : false, "suffix" : "" }, { "dropping-particle" : "", "family" : "Corval\u00e1n", "given" : "Carlos", "non-dropping-particle" : "", "parse-names" : false, "suffix" : "" } ], "container-title" : "Epidemiology", "id" : "ITEM-1", "issue" : "1", "issued" : { "date-parts" : [ [ "2007" ] ] }, "page" : "167-178", "title" : "How Much Disease Burden can be Prevented by Environmental Interventions?", "type" : "article-journal", "volume" : "18" }, "uris" : [ "http://www.mendeley.com/documents/?uuid=991d25ac-d172-4585-8ae4-cd2f7949626e" ] } ], "mendeley" : { "formattedCitation" : "[7]", "plainTextFormattedCitation" : "[7]", "previouslyFormattedCitation" : "[7]"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[7]</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Diarrhoea is responsible for the deaths o</w:t>
      </w:r>
      <w:r w:rsidR="006D1C4D">
        <w:rPr>
          <w:rFonts w:asciiTheme="minorHAnsi" w:eastAsia="Calibri" w:hAnsiTheme="minorHAnsi" w:cs="Calibri"/>
          <w:sz w:val="22"/>
          <w:szCs w:val="22"/>
          <w:lang w:eastAsia="en-GB"/>
        </w:rPr>
        <w:t xml:space="preserve">f 2.2 million people worldwide, </w:t>
      </w:r>
      <w:r w:rsidRPr="00C44D8C">
        <w:rPr>
          <w:rFonts w:asciiTheme="minorHAnsi" w:eastAsia="Calibri" w:hAnsiTheme="minorHAnsi" w:cs="Calibri"/>
          <w:sz w:val="22"/>
          <w:szCs w:val="22"/>
          <w:lang w:eastAsia="en-GB"/>
        </w:rPr>
        <w:t xml:space="preserve">which causes more deaths worldwide than HIV/AIDS, tuberculosis and malaria combined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"DOI" : "10.1111/tmi.12329", "ISBN" : "1365-3156", "ISSN" : "13653156", "PMID" : "24779548", "abstract" : "OBJECTIVE: To estimate the burden of diarrhoeal diseases from exposure to inadequate water, sanitation and hand hygiene in low- and middle-income settings and provide an overview of the impact on other diseases.\\n\\nMETHODS: For estimating the impact of water, sanitation and hygiene on diarrhoea, we selected exposure levels with both sufficient global exposure data and a matching exposure-risk relationship. Global exposure data were estimated for the year 2012, and risk estimates were taken from the most recent systematic analyses. We estimated attributable deaths and disability-adjusted life years (DALYs) by country, age and sex for inadequate water, sanitation and hand hygiene separately, and as a cluster of risk factors. Uncertainty estimates were computed on the basis of uncertainty surrounding exposure estimates and relative risks.\\n\\nRESULTS: In 2012, 502,000 diarrhoea deaths were estimated to be caused by inadequate drinking water and 280,000 deaths by inadequate sanitation. The most likely estimate of disease burden from inadequate hand hygiene amounts to 297,000 deaths. In total, 842,000 diarrhoea deaths are estimated to be caused by this cluster of risk factors, which amounts to 1.5% of the total disease burden and 58% of diarrhoeal diseases. In children under 5 years old, 361,000 deaths could be prevented, representing 5.5% of deaths in that age group.\\n\\nCONCLUSIONS: This estimate confirms the importance of improving water and sanitation in low- and middle-income settings for the prevention of diarrhoeal disease burden. It also underscores the need for better data on exposure and risk reductions that can be achieved with provision of reliable piped water, community sewage with treatment and hand hygiene.", "author" : [ { "dropping-particle" : "", "family" : "Pr\u00fcss-Ust\u00fcn", "given" : "Annette", "non-dropping-particle" : "", "parse-names" : false, "suffix" : "" }, { "dropping-particle" : "", "family" : "Bartram", "given" : "Jamie", "non-dropping-particle" : "", "parse-names" : false, "suffix" : "" }, { "dropping-particle" : "", "family" : "Clasen", "given" : "Thomas", "non-dropping-particle" : "", "parse-names" : false, "suffix" : "" }, { "dropping-particle" : "", "family" : "Colford", "given" : "John M.", "non-dropping-particle" : "", "parse-names" : false, "suffix" : "" }, { "dropping-particle" : "", "family" : "Cumming", "given" : "Oliver", "non-dropping-particle" : "", "parse-names" : false, "suffix" : "" }, { "dropping-particle" : "", "family" : "Curtis", "given" : "Valerie", "non-dropping-particle" : "", "parse-names" : false, "suffix" : "" }, { "dropping-particle" : "", "family" : "Bonjour", "given" : "Sophie", "non-dropping-particle" : "", "parse-names" : false, "suffix" : "" }, { "dropping-particle" : "", "family" : "Dangour", "given" : "Alan D.", "non-dropping-particle" : "", "parse-names" : false, "suffix" : "" }, { "dropping-particle" : "", "family" : "France", "given" : "Jennifer", "non-dropping-particle" : "De", "parse-names" : false, "suffix" : "" }, { "dropping-particle" : "", "family" : "Fewtrell", "given" : "Lorna", "non-dropping-particle" : "", "parse-names" : false, "suffix" : "" }, { "dropping-particle" : "", "family" : "Freeman", "given" : "Matthew C.", "non-dropping-particle" : "", "parse-names" : false, "suffix" : "" }, { "dropping-particle" : "", "family" : "Gordon", "given" : "Bruce", "non-dropping-particle" : "", "parse-names" : false, "suffix" : "" }, { "dropping-particle" : "", "family" : "Hunter", "given" : "Paul R.", "non-dropping-particle" : "", "parse-names" : false, "suffix" : "" }, { "dropping-particle" : "", "family" : "Johnston", "given" : "Richard B.", "non-dropping-particle" : "", "parse-names" : false, "suffix" : "" }, { "dropping-particle" : "", "family" : "Mathers", "given" : "Colin", "non-dropping-particle" : "", "parse-names" : false, "suffix" : "" }, { "dropping-particle" : "", "family" : "M\u00e4usezahl", "given" : "Daniel", "non-dropping-particle" : "", "parse-names" : false, "suffix" : "" }, { "dropping-particle" : "", "family" : "Medlicott", "given" : "Kate", "non-dropping-particle" : "", "parse-names" : false, "suffix" : "" }, { "dropping-particle" : "", "family" : "Neira", "given" : "Maria", "non-dropping-particle" : "", "parse-names" : false, "suffix" : "" }, { "dropping-particle" : "", "family" : "Stocks", "given" : "Meredith", "non-dropping-particle" : "", "parse-names" : false, "suffix" : "" }, { "dropping-particle" : "", "family" : "Wolf", "given" : "Jennyfer", "non-dropping-particle" : "", "parse-names" : false, "suffix" : "" }, { "dropping-particle" : "", "family" : "Cairncross", "given" : "Sandy", "non-dropping-particle" : "", "parse-names" : false, "suffix" : "" } ], "container-title" : "Tropical Medicine and International Health", "id" : "ITEM-1", "issue" : "8", "issued" : { "date-parts" : [ [ "2014" ] ] }, "page" : "894-905", "title" : "Burden of disease from inadequate water, sanitation and hygiene in low- and middle-income settings: A retrospective analysis of data from 145 countries", "type" : "article-journal", "volume" : "19" }, "uris" : [ "http://www.mendeley.com/documents/?uuid=0f5b648d-eff2-472b-b77d-c0d7ee1c4ddb" ] } ], "mendeley" : { "formattedCitation" : "[8]", "plainTextFormattedCitation" : "[8]", "previouslyFormattedCitation" : "[8]"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[8]</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These frightening statistics highlight the fact that such fatalities can be avoided with the provision of adequate wastewater treatment. </w:t>
      </w:r>
    </w:p>
    <w:p w14:paraId="528EA173" w14:textId="5561E2CD" w:rsidR="00436CD0" w:rsidRPr="00C44D8C" w:rsidRDefault="00436CD0" w:rsidP="00436CD0">
      <w:pPr>
        <w:spacing w:line="360" w:lineRule="auto"/>
        <w:ind w:firstLine="720"/>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t xml:space="preserve">The effects from the poor management of domestic wastewater are especially fatal to the more vulnerable urbanised areas in the Global South. An unprecedented level of migration into urban cities in the Global South has led to the rapid onset of peri-urban settlements around the outskirts of cities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"DOI" : "10.1016/j.biotechadv.2012.02.007", "ISSN" : "1873-1899", "PMID" : "22361648", "abstract" : "Poor sanitation in urban slums results in increased prevalence of diseases and pollution of the environment. Excreta, grey water and solid wastes are the major contributors to the pollution load into the slum environment and pose a risk to public health. The high rates of urbanization and population growth, poor accessibility and lack of legal status in urban slums make it difficult to improve their level of sanitation. New approaches may help to achieve the sanitation target of the Millennium Development Goal (MDG) 7; ensuring environmental sustainability. This paper reviews the characteristics of waste streams and the potential treatment processes and technologies that can be adopted and applied in urban slums in a sustainable way. Resource recovery oriented technologies minimise health risks and negative environmental impacts. In particular, there has been increasing recognition of the potential of anaerobic co-digestion for treatment of excreta and organic solid waste for energy recovery as an alternative to composting. Soil and sand filters have also been found suitable for removal of organic matter, pathogens, nutrients and micro-pollutants from grey water.", "author" : [ { "dropping-particle" : "", "family" : "Katukiza", "given" : "a Y", "non-dropping-particle" : "", "parse-names" : false, "suffix" : "" }, { "dropping-particle" : "", "family" : "Ronteltap", "given" : "M", "non-dropping-particle" : "", "parse-names" : false, "suffix" : "" }, { "dropping-particle" : "", "family" : "Niwagaba", "given" : "C B", "non-dropping-particle" : "", "parse-names" : false, "suffix" : "" }, { "dropping-particle" : "", "family" : "Foppen", "given" : "J W a", "non-dropping-particle" : "", "parse-names" : false, "suffix" : "" }, { "dropping-particle" : "", "family" : "Kansiime", "given" : "F", "non-dropping-particle" : "", "parse-names" : false, "suffix" : "" }, { "dropping-particle" : "", "family" : "Lens", "given" : "P N L", "non-dropping-particle" : "", "parse-names" : false, "suffix" : "" } ], "container-title" : "Biotechnology advances", "id" : "ITEM-1", "issue" : "5", "issued" : { "date-parts" : [ [ "2012" ] ] }, "page" : "964-78", "publisher" : "Elsevier Inc.", "title" : "Sustainable sanitation technology options for urban slums.", "type" : "article-journal", "volume" : "30" }, "uris" : [ "http://www.mendeley.com/documents/?uuid=e5e65694-27b3-4cef-acd1-819df2200f98" ] } ], "mendeley" : { "formattedCitation" : "[4]", "plainTextFormattedCitation" : "[4]", "previouslyFormattedCitation" : "[4]"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[4]</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These are temporary settlements that are characterised by poor infrastructure, limited space, dense populations and an uncertain tenure, hindering the provision of wastewater treatment technologies to these areas. Additionally, there is unwillingness by Governments to provide secure financial backing of basic sanitation amenities to these temporary settlements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"DOI" : "10.1126/science.1216852", "ISSN" : "1095-9203", "PMID" : "22879506", "abstract" : "Humans create vast quantities of wastewater through inefficiencies and poor management of water systems. The wasting of water poses sustainability challenges, depletes energy reserves, and undermines human water security and ecosystem health. Here we review emerging approaches for reusing wastewater and minimizing its generation. These complementary options make the most of scarce freshwater resources, serve the varying water needs of both developed and developing countries, and confer a variety of environmental benefits. Their widespread adoption will require changing how freshwater is sourced, used, managed, and priced.", "author" : [ { "dropping-particle" : "", "family" : "Grant", "given" : "Stanley B", "non-dropping-particle" : "", "parse-names" : false, "suffix" : "" }, { "dropping-particle" : "", "family" : "Saphores", "given" : "Jean-Daniel", "non-dropping-particle" : "", "parse-names" : false, "suffix" : "" }, { "dropping-particle" : "", "family" : "Feldman", "given" : "David L", "non-dropping-particle" : "", "parse-names" : false, "suffix" : "" }, { "dropping-particle" : "", "family" : "Hamilton", "given" : "Andrew J", "non-dropping-particle" : "", "parse-names" : false, "suffix" : "" }, { "dropping-particle" : "", "family" : "Fletcher", "given" : "Tim D", "non-dropping-particle" : "", "parse-names" : false, "suffix" : "" }, { "dropping-particle" : "", "family" : "Cook", "given" : "Perran L M", "non-dropping-particle" : "", "parse-names" : false, "suffix" : "" }, { "dropping-particle" : "", "family" : "Stewardson", "given" : "Michael", "non-dropping-particle" : "", "parse-names" : false, "suffix" : "" }, { "dropping-particle" : "", "family" : "Sanders", "given" : "Brett F", "non-dropping-particle" : "", "parse-names" : false, "suffix" : "" }, { "dropping-particle" : "", "family" : "Levin", "given" : "Lisa a", "non-dropping-particle" : "", "parse-names" : false, "suffix" : "" }, { "dropping-particle" : "", "family" : "Ambrose", "given" : "Richard F", "non-dropping-particle" : "", "parse-names" : false, "suffix" : "" }, { "dropping-particle" : "", "family" : "Deletic", "given" : "Ana", "non-dropping-particle" : "", "parse-names" : false, "suffix" : "" }, { "dropping-particle" : "", "family" : "Brown", "given" : "Rebekah", "non-dropping-particle" : "", "parse-names" : false, "suffix" : "" }, { "dropping-particle" : "", "family" : "Jiang", "given" : "Sunny C", "non-dropping-particle" : "", "parse-names" : false, "suffix" : "" }, { "dropping-particle" : "", "family" : "Rosso", "given" : "Diego", "non-dropping-particle" : "", "parse-names" : false, "suffix" : "" }, { "dropping-particle" : "", "family" : "Cooper", "given" : "William J", "non-dropping-particle" : "", "parse-names" : false, "suffix" : "" }, { "dropping-particle" : "", "family" : "Marusic", "given" : "Ivan", "non-dropping-particle" : "", "parse-names" : false, "suffix" : "" } ], "container-title" : "Science (New York, N.Y.)", "id" : "ITEM-1", "issue" : "6095", "issued" : { "date-parts" : [ [ "2012", "8", "10" ] ] }, "page" : "681-6", "title" : "Taking the \"waste\" out of \"wastewater\" for human water security and ecosystem sustainability.", "type" : "article-journal", "volume" : "337" }, "uris" : [ "http://www.mendeley.com/documents/?uuid=23909528-d5c0-4ab1-8068-0017155780ea" ] } ], "mendeley" : { "formattedCitation" : "[9]", "plainTextFormattedCitation" : "[9]", "previouslyFormattedCitation" : "[9]"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[9]</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w:t>
      </w:r>
      <w:r w:rsidRPr="00C44D8C">
        <w:rPr>
          <w:rFonts w:asciiTheme="minorHAnsi" w:eastAsia="SimSun" w:hAnsiTheme="minorHAnsi" w:cs="Arial"/>
          <w:sz w:val="22"/>
          <w:szCs w:val="22"/>
          <w:lang w:eastAsia="en-GB"/>
        </w:rPr>
        <w:t xml:space="preserve"> </w:t>
      </w:r>
      <w:r w:rsidRPr="00C44D8C">
        <w:rPr>
          <w:rFonts w:asciiTheme="minorHAnsi" w:eastAsia="Calibri" w:hAnsiTheme="minorHAnsi" w:cs="Calibri"/>
          <w:sz w:val="22"/>
          <w:szCs w:val="22"/>
          <w:lang w:eastAsia="en-GB"/>
        </w:rPr>
        <w:t>As a result, the unacceptable reality is that 1 billion people lack access to clean drinking water and 2.6 billion people are without access to basic sanitation</w:t>
      </w:r>
      <w:r w:rsidR="006D1C4D">
        <w:rPr>
          <w:rFonts w:asciiTheme="minorHAnsi" w:eastAsia="Calibri" w:hAnsiTheme="minorHAnsi" w:cs="Calibri"/>
          <w:sz w:val="22"/>
          <w:szCs w:val="22"/>
          <w:lang w:eastAsia="en-GB"/>
        </w:rPr>
        <w:t xml:space="preserve">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"ISBN" : "9789280646320", "author" : [ { "dropping-particle" : "", "family" : "UNICEF", "given" : "WHO", "non-dropping-particle" : "", "parse-names" : false, "suffix" : "" } ], "id" : "ITEM-1", "issued" : { "date-parts" : [ [ "2012" ] ] }, "title" : "Progress on drinking water and sanitation: 2012 update", "type" : "report" }, "uris" : [ "http://www.mendeley.com/documents/?uuid=3555e3a0-cfd8-46a6-aad0-1459c6453a34" ] } ], "mendeley" : { "formattedCitation" : "[10]", "plainTextFormattedCitation" : "[10]", "previouslyFormattedCitation" : "[10]"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[10]</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t>
      </w:r>
    </w:p>
    <w:p w14:paraId="2B347B9F" w14:textId="024DE345" w:rsidR="00436CD0" w:rsidRPr="00C44D8C" w:rsidRDefault="00436CD0" w:rsidP="00DF337D">
      <w:pPr>
        <w:spacing w:line="360" w:lineRule="auto"/>
        <w:ind w:firstLine="720"/>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t>It is clear that the provision of wastewater treatment could contribute towards meeting these basic human necessities. The implementation of locally-appropriate decentralised wastewater treatment solutions within the future urban framework of the Global South could help to provide sanitation, wastewater treatment and the safekeeping of the environment and its population from the effects of untreated domestic wastewater</w:t>
      </w:r>
      <w:r w:rsidR="006D1C4D">
        <w:rPr>
          <w:rFonts w:asciiTheme="minorHAnsi" w:eastAsia="Calibri" w:hAnsiTheme="minorHAnsi" w:cs="Calibri"/>
          <w:sz w:val="22"/>
          <w:szCs w:val="22"/>
          <w:lang w:eastAsia="en-GB"/>
        </w:rPr>
        <w:t xml:space="preserve">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"DOI" : "10.1016/j.biotechadv.2012.02.007", "ISSN" : "1873-1899", "PMID" : "22361648", "abstract" : "Poor sanitation in urban slums results in increased prevalence of diseases and pollution of the environment. Excreta, grey water and solid wastes are the major contributors to the pollution load into the slum environment and pose a risk to public health. The high rates of urbanization and population growth, poor accessibility and lack of legal status in urban slums make it difficult to improve their level of sanitation. New approaches may help to achieve the sanitation target of the Millennium Development Goal (MDG) 7; ensuring environmental sustainability. This paper reviews the characteristics of waste streams and the potential treatment processes and technologies that can be adopted and applied in urban slums in a sustainable way. Resource recovery oriented technologies minimise health risks and negative environmental impacts. In particular, there has been increasing recognition of the potential of anaerobic co-digestion for treatment of excreta and organic solid waste for energy recovery as an alternative to composting. Soil and sand filters have also been found suitable for removal of organic matter, pathogens, nutrients and micro-pollutants from grey water.", "author" : [ { "dropping-particle" : "", "family" : "Katukiza", "given" : "a Y", "non-dropping-particle" : "", "parse-names" : false, "suffix" : "" }, { "dropping-particle" : "", "family" : "Ronteltap", "given" : "M", "non-dropping-particle" : "", "parse-names" : false, "suffix" : "" }, { "dropping-particle" : "", "family" : "Niwagaba", "given" : "C B", "non-dropping-particle" : "", "parse-names" : false, "suffix" : "" }, { "dropping-particle" : "", "family" : "Foppen", "given" : "J W a", "non-dropping-particle" : "", "parse-names" : false, "suffix" : "" }, { "dropping-particle" : "", "family" : "Kansiime", "given" : "F", "non-dropping-particle" : "", "parse-names" : false, "suffix" : "" }, { "dropping-particle" : "", "family" : "Lens", "given" : "P N L", "non-dropping-particle" : "", "parse-names" : false, "suffix" : "" } ], "container-title" : "Biotechnology advances", "id" : "ITEM-1", "issue" : "5", "issued" : { "date-parts" : [ [ "2012" ] ] }, "page" : "964-78", "publisher" : "Elsevier Inc.", "title" : "Sustainable sanitation technology options for urban slums.", "type" : "article-journal", "volume" : "30" }, "uris" : [ "http://www.mendeley.com/documents/?uuid=e5e65694-27b3-4cef-acd1-819df2200f98" ] } ], "mendeley" : { "formattedCitation" : "[4]", "plainTextFormattedCitation" : "[4]", "previouslyFormattedCitation" : "[4]"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[4]</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Most importantly, the provision of such technological solutions for sanitation at the peri-urban interface could also be highly transferable to the Global North, which relies on the use of centralised wastewater treatment technologies with often extremely energy-intensive, expensive and highly technical design requirements that fail to meet environmental sustainability criteria</w:t>
      </w:r>
      <w:r w:rsidR="006D1C4D">
        <w:rPr>
          <w:rFonts w:asciiTheme="minorHAnsi" w:eastAsia="Calibri" w:hAnsiTheme="minorHAnsi" w:cs="Calibri"/>
          <w:sz w:val="22"/>
          <w:szCs w:val="22"/>
          <w:lang w:eastAsia="en-GB"/>
        </w:rPr>
        <w:t xml:space="preserve">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"ISSN" : "0273-1223", "PMID" : "12479483", "abstract" : "In urban centres of industrialising countries, the majority of houses are served by on-site sanitation systems such as septic tanks and unsewered toilets. The faecal sludges (FS) collected from these systems are usually discharged untreated into the urban and peri-urban environment, posing great risks to water resources and to public health. Contrary to wastewater management, the development of strategies to cope with faecal sludges, adapted to the conditions prevailing in developing countries, have long been neglected. The authors describe the current situation and discuss selected issues of FS management. A proposal is made for a rational setting of sludge quality or treatment standards in economically emerging countries. The authors stipulate that regulatory setting should take into account local economic, institutional and technical conditions. Defining suitable treatment options as critical control points in securing adequate sludge quality is better than setting and relying on numerical sludge quality standards. A separate section is devoted to the practice and to regulatory aspects of (faecal) sludge use in Argentina. An overview of treatment options, which may prove sustainable in less industrialized countries is provided. Planted sludge drying beds are one of these options. It has been piloted in Thailand for four years and details on its performance and operation are presented along with data on the hygienic quality of treated biosolids.", "author" : [ { "dropping-particle" : "", "family" : "Ingallinella", "given" : "a M", "non-dropping-particle" : "", "parse-names" : false, "suffix" : "" }, { "dropping-particle" : "", "family" : "Sanguinetti", "given" : "G", "non-dropping-particle" : "", "parse-names" : false, "suffix" : "" }, { "dropping-particle" : "", "family" : "Koottatep", "given" : "T", "non-dropping-particle" : "", "parse-names" : false, "suffix" : "" }, { "dropping-particle" : "", "family" : "Montanger", "given" : "a", "non-dropping-particle" : "", "parse-names" : false, "suffix" : "" }, { "dropping-particle" : "", "family" : "Strauss", "given" : "M", "non-dropping-particle" : "", "parse-names" : false, "suffix" : "" } ], "container-title" : "Water science and technology : a journal of the International Association on Water Pollution Research", "id" : "ITEM-1", "issue" : "10", "issued" : { "date-parts" : [ [ "2002", "1" ] ] }, "page" : "285-94", "title" : "The challenge of faecal sludge management in urban areas--strategies, regulations and treatment options.", "type" : "article-journal", "volume" : "46" }, "uris" : [ "http://www.mendeley.com/documents/?uuid=a7766f51-8e43-4245-b057-f7fed4eb08a7" ] } ], "mendeley" : { "formattedCitation" : "[11]", "plainTextFormattedCitation" : "[11]", "previouslyFormattedCitation" : "[11]"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[11]</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Technologies based on anaerobic digestion offer a sustainable solution and could play a transformative role in addressing these global challenges.</w:t>
      </w:r>
    </w:p>
    <w:p w14:paraId="1777558F" w14:textId="4215B838" w:rsidR="00436CD0" w:rsidRPr="00C44D8C" w:rsidRDefault="00436CD0" w:rsidP="00DF337D">
      <w:pPr>
        <w:pStyle w:val="Heading1"/>
        <w:rPr>
          <w:rFonts w:eastAsia="SimSun"/>
          <w:lang w:eastAsia="en-GB"/>
        </w:rPr>
      </w:pPr>
      <w:bookmarkStart w:id="33" w:name="_Toc460927864"/>
      <w:bookmarkStart w:id="34" w:name="_Toc462575255"/>
      <w:r w:rsidRPr="00C44D8C">
        <w:rPr>
          <w:lang w:eastAsia="en-GB"/>
        </w:rPr>
        <w:t>1.2. Anaerobic digestion: opportunities and challenges</w:t>
      </w:r>
      <w:bookmarkEnd w:id="33"/>
      <w:bookmarkEnd w:id="34"/>
    </w:p>
    <w:p w14:paraId="581A1DC6" w14:textId="5EE51199" w:rsidR="00436CD0" w:rsidRPr="00C44D8C" w:rsidRDefault="00436CD0" w:rsidP="00436CD0">
      <w:pPr>
        <w:spacing w:line="360" w:lineRule="auto"/>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t>Anaerobic digestion (AD) is a naturally occurring process with great promise for resource recovery and energy production. It is a complex biochemical reaction in which organic material is degraded and converted into methane by a specialised consortium of microorganisms in an oxygen-free environment</w:t>
      </w:r>
      <w:r w:rsidR="006D1C4D">
        <w:rPr>
          <w:rFonts w:asciiTheme="minorHAnsi" w:eastAsia="Calibri" w:hAnsiTheme="minorHAnsi" w:cs="Calibri"/>
          <w:sz w:val="22"/>
          <w:szCs w:val="22"/>
          <w:lang w:eastAsia="en-GB"/>
        </w:rPr>
        <w:t xml:space="preserve">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"DOI" : "10.1016/j.pecs.2008.06.002", "ISBN" : "0360-1285", "ISSN" : "03601285", "abstract" : "When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slu\u2026", "author" : [ { "dropping-particle" : "", "family" : "Appels", "given" : "Lise", "non-dropping-particle" : "", "parse-names" : false, "suffix" : "" }, { "dropping-particle" : "", "family" : "Baeyens", "given" : "Jan", "non-dropping-particle" : "", "parse-names" : false, "suffix" : "" }, { "dropping-particle" : "", "family" : "Degr\u00e8ve", "given" : "Jan", "non-dropping-particle" : "", "parse-names" : false, "suffix" : "" }, { "dropping-particle" : "", "family" : "Dewil", "given" : "Raf", "non-dropping-particle" : "", "parse-names" : false, "suffix" : "" } ], "container-title" : "Progress in Energy and Combustion Science", "id" : "ITEM-1", "issue" : "6", "issued" : { "date-parts" : [ [ "2008" ] ] }, "page" : "755-781", "title" : "Principles and potential of the anaerobic digestion of waste-activated sludge", "type" : "article-journal", "volume" : "34" }, "uris" : [ "http://www.mendeley.com/documents/?uuid=283bd049-1ba3-4cbd-8f8b-c5afb230dd42" ] } ], "mendeley" : { "formattedCitation" : "[12]", "plainTextFormattedCitation" : "[12]", "previouslyFormattedCitation" : "[12]"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[12]</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This process occurs naturally in anaerobic zones, such as in the stomach of ruminants, in landfill sites and in wetlands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"DOI" : "10.1111/gcb.12131", "ISSN" : "1354-1013", "PMID" : "23505021", "abstract" : "Understanding the dynamics of methane (CH4 ) emissions is of paramount importance because CH4 has 25 times the global warming potential of carbon dioxide (CO2 ) and is currently the second most important anthropogenic greenhouse gas. Wetlands are the single largest natural CH4 source with median emissions from published studies of 164 Tg\u00a0yr(-1) , which is about a third of total global emissions. We provide a perspective on important new frontiers in obtaining a better understanding of CH4 dynamics in natural systems, with a focus on wetlands. One of the most exciting recent developments in this field is the attempt to integrate the different methodologies and spatial scales of biogeochemistry, molecular microbiology, and modeling, and thus this is a major focus of this review. Our specific objectives are to provide an up-to-date synthesis of estimates of global CH4 emissions from wetlands and other freshwater aquatic ecosystems, briefly summarize major biogeophysical controls over CH4 emissions from wetlands, suggest new frontiers in CH4 biogeochemistry, examine relationships between methanogen community structure and CH4 dynamics in situ, and to review the current generation of CH4 models. We highlight throughout some of the most pressing issues concerning global change and feedbacks on CH4 emissions from natural ecosystems. Major uncertainties in estimating current and future CH4 emissions from natural ecosystems include the following: (i) A number of important controls over CH4 production, consumption, and transport have not been, or are inadequately, incorporated into existing CH4 biogeochemistry models. (ii) Significant errors in regional and global emission estimates are derived from large spatial-scale extrapolations from highly heterogeneous and often poorly mapped wetland complexes. (iii) The limited number of observations of CH4 fluxes and their associated environmental variables loosely constrains the parameterization of process-based biogeochemistry models.", "author" : [ { "dropping-particle" : "", "family" : "Bridgham", "given" : "Scott D", "non-dropping-particle" : "", "parse-names" : false, "suffix" : "" }, { "dropping-particle" : "", "family" : "Cadillo-Quiroz", "given" : "Hinsby", "non-dropping-particle" : "", "parse-names" : false, "suffix" : "" }, { "dropping-particle" : "", "family" : "Keller", "given" : "Jason K", "non-dropping-particle" : "", "parse-names" : false, "suffix" : "" }, { "dropping-particle" : "", "family" : "Zhuang", "given" : "Qianlai", "non-dropping-particle" : "", "parse-names" : false, "suffix" : "" } ], "container-title" : "Global change biology", "id" : "ITEM-1", "issue" : "5", "issued" : { "date-parts" : [ [ "2013", "5" ] ] }, "page" : "1325-46", "title" : "Methane emissions from wetlands: biogeochemical, microbial, and modeling perspectives from local to global scales.", "type" : "article-journal", "volume" : "19" }, "uris" : [ "http://www.mendeley.com/documents/?uuid=885511ea-aad0-4dac-8ce6-88eb70a35258" ] } ], "mendeley" : { "formattedCitation" : "[6]", "plainTextFormattedCitation" : "[6]", "previouslyFormattedCitation" : "[6]"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[6]</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w:t>
      </w:r>
    </w:p>
    <w:p w14:paraId="7CF51210" w14:textId="2816784A" w:rsidR="00436CD0" w:rsidRPr="00C44D8C" w:rsidRDefault="00436CD0" w:rsidP="00D20D2A">
      <w:pPr>
        <w:spacing w:line="360" w:lineRule="auto"/>
        <w:ind w:firstLine="720"/>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lastRenderedPageBreak/>
        <w:t xml:space="preserve">The process of AD can be contained and controlled within bioreactors to harness two valuable end-products from waste biomass, bringing economic, environmental and health benefits: biogas, a renewable energy source, and a stabilised solid digestate, rich in nitrogen and phosphorous that can be used as fertiliser </w:t>
      </w:r>
      <w:r w:rsidR="006D1C4D">
        <w:rPr>
          <w:rFonts w:asciiTheme="minorHAnsi" w:eastAsia="Calibri" w:hAnsiTheme="minorHAnsi" w:cs="Calibri"/>
          <w:sz w:val="22"/>
          <w:szCs w:val="22"/>
          <w:lang w:eastAsia="en-GB"/>
        </w:rPr>
        <w:fldChar w:fldCharType="begin" w:fldLock="1"/>
      </w:r>
      <w:r w:rsidR="006D1C4D">
        <w:rPr>
          <w:rFonts w:asciiTheme="minorHAnsi" w:eastAsia="Calibri" w:hAnsiTheme="minorHAnsi" w:cs="Calibri"/>
          <w:sz w:val="22"/>
          <w:szCs w:val="22"/>
          <w:lang w:eastAsia="en-GB"/>
        </w:rPr>
        <w:instrText>ADDIN CSL_CITATION { "citationItems" : [ { "id" : "ITEM-1", "itemData" : { "DOI" : "10.1016/j.rser.2008.08.006", "ISSN" : "13640321", "author" : [ { "dropping-particle" : "", "family" : "Singh", "given" : "S.P.", "non-dropping-particle" : "", "parse-names" : false, "suffix" : "" }, { "dropping-particle" : "", "family" : "Prerna", "given" : "Pandey", "non-dropping-particle" : "", "parse-names" : false, "suffix" : "" } ], "container-title" : "Renewable and Sustainable Energy Reviews", "id" : "ITEM-1", "issue" : "6-7", "issued" : { "date-parts" : [ [ "2009", "8" ] ] }, "page" : "1569-1575", "title" : "Review of recent advances in anaerobic packed-bed biogas reactors", "type" : "article-journal", "volume" : "13" }, "uris" : [ "http://www.mendeley.com/documents/?uuid=59866e5b-8c07-4e8f-9111-d87af250ce4c" ] } ], "mendeley" : { "formattedCitation" : "[13]", "plainTextFormattedCitation" : "[13]", "previouslyFormattedCitation" : "[13]" }, "properties" : { "noteIndex" : 0 }, "schema" : "https://github.com/citation-style-language/schema/raw/master/csl-citation.json" }</w:instrText>
      </w:r>
      <w:r w:rsidR="006D1C4D">
        <w:rPr>
          <w:rFonts w:asciiTheme="minorHAnsi" w:eastAsia="Calibri" w:hAnsiTheme="minorHAnsi" w:cs="Calibri"/>
          <w:sz w:val="22"/>
          <w:szCs w:val="22"/>
          <w:lang w:eastAsia="en-GB"/>
        </w:rPr>
        <w:fldChar w:fldCharType="separate"/>
      </w:r>
      <w:r w:rsidR="006D1C4D" w:rsidRPr="006D1C4D">
        <w:rPr>
          <w:rFonts w:asciiTheme="minorHAnsi" w:eastAsia="Calibri" w:hAnsiTheme="minorHAnsi" w:cs="Calibri"/>
          <w:noProof/>
          <w:sz w:val="22"/>
          <w:szCs w:val="22"/>
          <w:lang w:eastAsia="en-GB"/>
        </w:rPr>
        <w:t>[13]</w:t>
      </w:r>
      <w:r w:rsidR="006D1C4D">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t>
      </w:r>
    </w:p>
    <w:p w14:paraId="60C2E78C" w14:textId="64944E36" w:rsidR="00436CD0" w:rsidRPr="00C44D8C" w:rsidRDefault="00436CD0" w:rsidP="00436CD0">
      <w:pPr>
        <w:spacing w:line="360" w:lineRule="auto"/>
        <w:ind w:firstLine="720"/>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t>High strength domestic wastewater is typical in peri-urban areas of the Global South, where water consumption and usage is characteristically low, resulting in a wastewater with a concentrated level of organic matter. The definition of high strength wastewater is a wastewater possessing a typical chemical oxygen demand (COD) of approximately 1200 mg/L</w:t>
      </w:r>
      <w:r w:rsidR="00A75987">
        <w:rPr>
          <w:rFonts w:asciiTheme="minorHAnsi" w:eastAsia="Calibri" w:hAnsiTheme="minorHAnsi" w:cs="Calibri"/>
          <w:sz w:val="22"/>
          <w:szCs w:val="22"/>
          <w:lang w:eastAsia="en-GB"/>
        </w:rPr>
        <w:t xml:space="preserve">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"10.1016/j.biortech.2005.05.015", "ISBN" : "0960-8524", "ISSN" : "09608524", "PMID" : "16055328", "abstract" : "This study presents a literature review on the treatment of domestic sewage in controlled environments having the anaerobic process and specifically the upflow anaerobic sludge blanket (UASB) concept as the core, under natural hot conditions. The UASB process application is however beset by the preponderance of suspended solids, and the paper looks at its optimization via pre- and post-treatments to curb the prevailing problems, in the light of possible discharge and re-use/recycling/resource recovery, leading to efficient environmental protection. Pre-treatment clarification could be done with ferric chloride/polyelectrolyte, so that phosphate precipitates during the process. The pre-treated liquid phase can be submitted to a high rate anaerobic process, using the simple and robust UASB technology. In a subsequent post-treatment step, ammonium can be removed by ion exchange using a zeolite column through which the wastewater percolates after leaving the anaerobic digester. The various stages can also eliminate a large fraction of the pathogens present in the raw wastewater, mainly through the pre-treatment sedimentation and the ion exchange filtration. The sludge produced in the precipitation stage can be stabilized in a conventional anaerobic digester. Integration of the different treatment steps provides a sustainable technology to treat domestic sewage under hot climate conditions. ?? 2005 Elsevier Ltd. All rights reserved.", "author" : [ { "dropping-particle" : "", "family" : "Aiyuk", "given" : "Sunny", "non-dropping-particle" : "", "parse-names" : false, "suffix" : "" }, { "dropping-particle" : "", "family" : "Forrez", "given" : "Ilse", "non-dropping-particle" : "", "parse-names" : false, "suffix" : "" }, { "dropping-particle" : "", "family" : "Lieven", "given" : "De Kempeneer", "non-dropping-particle" : "", "parse-names" : false, "suffix" : "" }, { "dropping-particle" : "", "family" : "Haandel", "given" : "Adrianus", "non-dropping-particle" : "van", "parse-names" : false, "suffix" : "" }, { "dropping-particle" : "", "family" : "Verstraete", "given" : "Willy", "non-dropping-particle" : "", "parse-names" : false, "suffix" : "" } ], "container-title" : "Bioresource Technology", "id" : "ITEM-1", "issue" : "17", "issued" : { "date-parts" : [ [ "2006" ] ] }, "page" : "2225-2241", "title" : "Anaerobic and complementary treatment of domestic sewage in regions with hot climates-A review", "type" : "article-journal", "volume" : "97" }, "uris" : [ "http://www.mendeley.com/documents/?uuid=3690e4ae-984a-4a5c-a82b-0abcbb4d09e6" ] } ], "mendeley" : { "formattedCitation" : "[2]", "plainTextFormattedCitation" : "[2]", "previouslyFormattedCitation" : "[2]"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[2]</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With the increasing issues surrounding the disposal and treatment of domestic wastewater in urban areas, the potential of using AD to stabilise, sanitise and recover energy from high strength domestic wastewater in peri-urban areas is extremely promising. AD in this context can also be used to drive innovation in the Global North, where the treatment of high strength wastewater is also a growing concern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"author" : [ { "dropping-particle" : "", "family" : "POSTNOTE", "given" : "", "non-dropping-particle" : "", "parse-names" : false, "suffix" : "" } ], "id" : "ITEM-1", "issue" : "387", "issued" : { "date-parts" : [ [ "2011" ] ] }, "page" : "1-4", "title" : "Anaerobic Digestion", "type" : "article-journal" }, "uris" : [ "http://www.mendeley.com/documents/?uuid=a3e85d59-45ad-4d92-9681-4684c2bcfe08" ] } ], "mendeley" : { "formattedCitation" : "[14]", "plainTextFormattedCitation" : "[14]", "previouslyFormattedCitation" : "[14]"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[14]</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t>
      </w:r>
    </w:p>
    <w:p w14:paraId="3039C9E4" w14:textId="68AA5ED7" w:rsidR="00436CD0" w:rsidRPr="00C44D8C" w:rsidRDefault="00436CD0" w:rsidP="00436CD0">
      <w:pPr>
        <w:spacing w:line="360" w:lineRule="auto"/>
        <w:ind w:firstLine="720"/>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t>However, AD is still largely hindered by poor operational stability, which has prevented its uptake on a larger global scale. This stems from the complex microbial consortium involved in the AD process, which consists of a network of specialised microbial trophic groups possessing different growth and nutritional requirements, metabolic rates and environmental sensitivities</w:t>
      </w:r>
      <w:r w:rsidR="00A75987">
        <w:rPr>
          <w:rFonts w:asciiTheme="minorHAnsi" w:eastAsia="Calibri" w:hAnsiTheme="minorHAnsi" w:cs="Calibri"/>
          <w:sz w:val="22"/>
          <w:szCs w:val="22"/>
          <w:lang w:eastAsia="en-GB"/>
        </w:rPr>
        <w:t xml:space="preserve">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"10.1016/j.biortech.2007.01.057", "ISBN" : "0960-8524 (Print)\\n0960-8524 (Linking)", "ISSN" : "09608524", "PMID" : "17399981", "abstract" : "Anaerobic digestion is an attractive waste treatment practice in which both pollution control and energy recovery can be achieved. Many agricultural and industrial wastes are ideal candidates for anaerobic digestion because they contain high levels of easily biodegradable materials. Problems such as low methane yield and process instability are often encountered in anaerobic digestion, preventing this technique from being widely applied. A wide variety of inhibitory substances are the primary cause of anaerobic digester upset or failure since they are present in substantial concentrations in wastes. Considerable research efforts have been made to identify the mechanism and the controlling factors of inhibition. This review provides a detailed summary of the research conducted on the inhibition of anaerobic processes. The inhibitors commonly present in anaerobic digesters include ammonia, sulfide, light metal ions, heavy metals, and organics. Due to the difference in anaerobic inocula, waste composition, and experimental methods and conditions, literature results on inhibition caused by specific toxicants vary widely. Co-digestion with other waste, adaptation of microorganisms to inhibitory substances, and incorporation of methods to remove or counteract toxicants before anaerobic digestion can significantly improve the waste treatment efficiency. \u00a9 2007 Elsevier Ltd. All rights reserved.", "author" : [ { "dropping-particle" : "", "family" : "Chen", "given" : "Ye", "non-dropping-particle" : "", "parse-names" : false, "suffix" : "" }, { "dropping-particle" : "", "family" : "Cheng", "given" : "Jay J.", "non-dropping-particle" : "", "parse-names" : false, "suffix" : "" }, { "dropping-particle" : "", "family" : "Creamer", "given" : "Kurt S.", "non-dropping-particle" : "", "parse-names" : false, "suffix" : "" } ], "container-title" : "Bioresource Technology", "id" : "ITEM-1", "issue" : "10", "issued" : { "date-parts" : [ [ "2008" ] ] }, "page" : "4044-4064", "title" : "Inhibition of anaerobic digestion process: A review", "type" : "article-journal", "volume" : "99" }, "uris" : [ "http://www.mendeley.com/documents/?uuid=a2ede15b-da90-4fff-a4cc-8323031fbf85" ] } ], "mendeley" : { "formattedCitation" : "[15]", "plainTextFormattedCitation" : "[15]", "previouslyFormattedCitation" : "[15]"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[15]</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t>
      </w:r>
    </w:p>
    <w:p w14:paraId="70A8788B" w14:textId="6473A242" w:rsidR="00436CD0" w:rsidRPr="00C44D8C" w:rsidRDefault="00436CD0" w:rsidP="00A75987">
      <w:pPr>
        <w:spacing w:line="360" w:lineRule="auto"/>
        <w:ind w:firstLine="720"/>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t xml:space="preserve">A recurring issue that arises from this complex microbial consortium is the frequent wash-out of the slower growing methanogenic archaea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"id" : "ITEM-2", "itemData" : { "ISSN" : "0168-1656", "PMID" : "10862983", "abstract" : "The review presented in this paper focuses on applications of particulate biofilm reactors (e.g. Upflow Sludge Blanket, Biofilm Fluidized Bed, Expanded Granular Sludge Blanket, Biofilm Airlift Suspension, Internal Circulation reactors). Several full-scale applications for municipal and industrial wastewater treatment are presented and illustrated, and their most important design and operation aspects (e.g. biofilm formation, hydrodynamics, mass transfer, mixing) are analysed and discussed. It is clear from the review that this technology can be considered a grown up technology for which good design and scale-up guidelines are available.", "author" : [ { "dropping-particle" : "", "family" : "Nicolella", "given" : "C", "non-dropping-particle" : "", "parse-names" : false, "suffix" : "" }, { "dropping-particle" : "", "family" : "Loosdrecht", "given" : "M C", "non-dropping-particle" : "van", "parse-names" : false, "suffix" : "" }, { "dropping-particle" : "", "family" : "Heijnen", "given" : "J J", "non-dropping-particle" : "", "parse-names" : false, "suffix" : "" } ], "container-title" : "Journal of biotechnology", "id" : "ITEM-2", "issue" : "1", "issued" : { "date-parts" : [ [ "2000", "7", "9" ] ] }, "page" : "1-33", "title" : "Wastewater treatment with particulate biofilm reactors.", "type" : "article-journal", "volume" : "80" }, "uris" : [ "http://www.mendeley.com/documents/?uuid=201abfa7-4432-4f1a-ac38-e723ba2b9cb3" ] } ], "mendeley" : { "formattedCitation" : "[16,17]", "plainTextFormattedCitation" : "[16,17]", "previouslyFormattedCitation" : "[16,17]"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[16,17]</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which are the microbial trophic group responsible for facilitating the final essential biological step in the AD process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"10.1016/j.pecs.2008.06.002", "ISBN" : "0360-1285", "ISSN" : "03601285", "abstract" : "When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slu\u2026", "author" : [ { "dropping-particle" : "", "family" : "Appels", "given" : "Lise", "non-dropping-particle" : "", "parse-names" : false, "suffix" : "" }, { "dropping-particle" : "", "family" : "Baeyens", "given" : "Jan", "non-dropping-particle" : "", "parse-names" : false, "suffix" : "" }, { "dropping-particle" : "", "family" : "Degr\u00e8ve", "given" : "Jan", "non-dropping-particle" : "", "parse-names" : false, "suffix" : "" }, { "dropping-particle" : "", "family" : "Dewil", "given" : "Raf", "non-dropping-particle" : "", "parse-names" : false, "suffix" : "" } ], "container-title" : "Progress in Energy and Combustion Science", "id" : "ITEM-1", "issue" : "6", "issued" : { "date-parts" : [ [ "2008" ] ] }, "page" : "755-781", "title" : "Principles and potential of the anaerobic digestion of waste-activated sludge", "type" : "article-journal", "volume" : "34" }, "uris" : [ "http://www.mendeley.com/documents/?uuid=283bd049-1ba3-4cbd-8f8b-c5afb230dd42" ] } ], "mendeley" : { "formattedCitation" : "[12]", "plainTextFormattedCitation" : "[12]", "previouslyFormattedCitation" : "[12]"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[12]</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The slow growth rates of the methanogens results in their poor retention within AD reactors, as they are often washed out in the effluent before they have had chance to form established biofilms</w:t>
      </w:r>
      <w:r w:rsidR="00A75987">
        <w:rPr>
          <w:rFonts w:asciiTheme="minorHAnsi" w:eastAsia="Calibri" w:hAnsiTheme="minorHAnsi" w:cs="Calibri"/>
          <w:sz w:val="22"/>
          <w:szCs w:val="22"/>
          <w:lang w:eastAsia="en-GB"/>
        </w:rPr>
        <w:t xml:space="preserve">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"mendeley" : { "formattedCitation" : "[16]", "plainTextFormattedCitation" : "[16]", "previouslyFormattedCitation" : "[16]"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[16]</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In addition, the methanogens have extremely specialised metabolic pathways and environmental conditions for producing methane</w:t>
      </w:r>
      <w:r w:rsidR="00A75987">
        <w:rPr>
          <w:rFonts w:asciiTheme="minorHAnsi" w:eastAsia="Calibri" w:hAnsiTheme="minorHAnsi" w:cs="Calibri"/>
          <w:sz w:val="22"/>
          <w:szCs w:val="22"/>
          <w:lang w:eastAsia="en-GB"/>
        </w:rPr>
        <w:t xml:space="preserve">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"10.1128/JB.01424-07", "ISBN" : "0021-9193", "ISSN" : "00219193", "PMID" : "18178739", "abstract" : "A series of Methanosarcina barkeri mutants lacking the genes encoding the enzymes involved in the C1 oxidation/reduction pathway were constructed. Mutants lacking the methyl-tetrahydromethanopterin (H4MPT):coenzyme M (CoM) methyltransferase-encoding operon (delta mtr), the methylene-H4MPT reductase-encoding gene (delta mer), the methylene-H4MPT dehydrogenase-encoding gene (delta mtd), and the formyl-methanofuran:H4MPT formyl-transferase-encoding gene (delta ftr) all failed to grow using either methanol or H2/CO2 as a growth substrate, indicating that there is an absolute requirement for the C1 oxidation/reduction pathway for hydrogenotrophic and methylotrophic methanogenesis. The mutants also failed to grow on acetate, and we suggest that this was due to an inability to generate the reducing equivalents needed for biosynthetic reactions. Despite their lack of growth on methanol, the delta mtr and delta mer mutants were capable of producing methane from this substrate, whereas the delta mtd and delta ftr mutants were not. Thus, there is an Mtr/Mer bypass pathway that allows oxidation of methanol to the level of methylene-H4MPT in M. barkeri. The data further suggested that formaldehyde may be an intermediate in this bypass; however, no methanol dehydrogenase activity was found in delta mtr cell extracts, nor was there an obligate role for the formaldehyde-activating enzyme (Fae), which has been shown to catalyze the condensation of formaldehyde and H4MPT in vitro. Both the delta mer and delta mtr mutants were able to grow on a combination of methanol plus acetate, but they did so by metabolic pathways that are clearly distinct from each other and from previously characterized methanogenic pathways.", "author" : [ { "dropping-particle" : "V.", "family" : "Welander", "given" : "Paula", "non-dropping-particle" : "", "parse-names" : false, "suffix" : "" }, { "dropping-particle" : "", "family" : "Metcalf", "given" : "William W.", "non-dropping-particle" : "", "parse-names" : false, "suffix" : "" } ], "container-title" : "Journal of Bacteriology", "id" : "ITEM-1", "issued" : { "date-parts" : [ [ "2008" ] ] }, "page" : "1928-1936", "title" : "Mutagenesis of the C1 oxidation pathway in Methanosarcina barkeri: New insights into the Mtr/Mer bypass pathway", "type" : "article-journal", "volume" : "190" }, "uris" : [ "http://www.mendeley.com/documents/?uuid=a53acf39-0f97-3b08-8426-8eadf64811cf" ] }, { "id" : "ITEM-2",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"ITEM-2",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"[18,19]", "plainTextFormattedCitation" : "[18,19]", "previouslyFormattedCitation" : "[18,19]"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[18,19]</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As a result, the poor retention of methanogens within AD reactors and their high sensitivity towards sudden environmental or operational fluctuations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[19]</w:t>
      </w:r>
      <w:r w:rsidR="00A75987">
        <w:rPr>
          <w:rFonts w:asciiTheme="minorHAnsi" w:eastAsia="Calibri" w:hAnsiTheme="minorHAnsi" w:cs="Calibri"/>
          <w:sz w:val="22"/>
          <w:szCs w:val="22"/>
          <w:lang w:eastAsia="en-GB"/>
        </w:rPr>
        <w:fldChar w:fldCharType="end"/>
      </w:r>
      <w:r w:rsidR="00A75987">
        <w:rPr>
          <w:rFonts w:asciiTheme="minorHAnsi" w:eastAsia="Calibri" w:hAnsiTheme="minorHAnsi" w:cs="Calibri"/>
          <w:sz w:val="22"/>
          <w:szCs w:val="22"/>
          <w:lang w:eastAsia="en-GB"/>
        </w:rPr>
        <w:t xml:space="preserve"> </w:t>
      </w:r>
      <w:r w:rsidRPr="00C44D8C">
        <w:rPr>
          <w:rFonts w:asciiTheme="minorHAnsi" w:eastAsia="Calibri" w:hAnsiTheme="minorHAnsi" w:cs="Calibri"/>
          <w:sz w:val="22"/>
          <w:szCs w:val="22"/>
          <w:lang w:eastAsia="en-GB"/>
        </w:rPr>
        <w:t xml:space="preserve">can result in poor AD performance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"10.1016/j.biortech.2007.01.057", "ISBN" : "0960-8524 (Print)\\n0960-8524 (Linking)", "ISSN" : "09608524", "PMID" : "17399981", "abstract" : "Anaerobic digestion is an attractive waste treatment practice in which both pollution control and energy recovery can be achieved. Many agricultural and industrial wastes are ideal candidates for anaerobic digestion because they contain high levels of easily biodegradable materials. Problems such as low methane yield and process instability are often encountered in anaerobic digestion, preventing this technique from being widely applied. A wide variety of inhibitory substances are the primary cause of anaerobic digester upset or failure since they are present in substantial concentrations in wastes. Considerable research efforts have been made to identify the mechanism and the controlling factors of inhibition. This review provides a detailed summary of the research conducted on the inhibition of anaerobic processes. The inhibitors commonly present in anaerobic digesters include ammonia, sulfide, light metal ions, heavy metals, and organics. Due to the difference in anaerobic inocula, waste composition, and experimental methods and conditions, literature results on inhibition caused by specific toxicants vary widely. Co-digestion with other waste, adaptation of microorganisms to inhibitory substances, and incorporation of methods to remove or counteract toxicants before anaerobic digestion can significantly improve the waste treatment efficiency. \u00a9 2007 Elsevier Ltd. All rights reserved.", "author" : [ { "dropping-particle" : "", "family" : "Chen", "given" : "Ye", "non-dropping-particle" : "", "parse-names" : false, "suffix" : "" }, { "dropping-particle" : "", "family" : "Cheng", "given" : "Jay J.", "non-dropping-particle" : "", "parse-names" : false, "suffix" : "" }, { "dropping-particle" : "", "family" : "Creamer", "given" : "Kurt S.", "non-dropping-particle" : "", "parse-names" : false, "suffix" : "" } ], "container-title" : "Bioresource Technology", "id" : "ITEM-1", "issue" : "10", "issued" : { "date-parts" : [ [ "2008" ] ] }, "page" : "4044-4064", "title" : "Inhibition of anaerobic digestion process: A review", "type" : "article-journal", "volume" : "99" }, "uris" : [ "http://www.mendeley.com/documents/?uuid=a2ede15b-da90-4fff-a4cc-8323031fbf85" ] } ], "mendeley" : { "formattedCitation" : "[15]", "plainTextFormattedCitation" : "[15]", "previouslyFormattedCitation" : "[15]"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[15]</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t>
      </w:r>
    </w:p>
    <w:p w14:paraId="0A256DAD" w14:textId="171892CD" w:rsidR="00436CD0" w:rsidRPr="00C44D8C" w:rsidRDefault="00436CD0" w:rsidP="00DF337D">
      <w:pPr>
        <w:pStyle w:val="Heading1"/>
        <w:rPr>
          <w:rFonts w:eastAsia="SimSun"/>
          <w:lang w:eastAsia="en-GB"/>
        </w:rPr>
      </w:pPr>
      <w:bookmarkStart w:id="35" w:name="_Toc460927865"/>
      <w:bookmarkStart w:id="36" w:name="_Toc462575256"/>
      <w:r w:rsidRPr="00C44D8C">
        <w:rPr>
          <w:lang w:eastAsia="en-GB"/>
        </w:rPr>
        <w:t xml:space="preserve">1.3. Opportunities for </w:t>
      </w:r>
      <w:r w:rsidRPr="00C44D8C">
        <w:rPr>
          <w:i/>
          <w:lang w:eastAsia="en-GB"/>
        </w:rPr>
        <w:t xml:space="preserve">Methanosarcina </w:t>
      </w:r>
      <w:r w:rsidRPr="00C44D8C">
        <w:rPr>
          <w:lang w:eastAsia="en-GB"/>
        </w:rPr>
        <w:t>in anaerobic digestion</w:t>
      </w:r>
      <w:bookmarkEnd w:id="35"/>
      <w:bookmarkEnd w:id="36"/>
      <w:r w:rsidRPr="00C44D8C">
        <w:rPr>
          <w:lang w:eastAsia="en-GB"/>
        </w:rPr>
        <w:t xml:space="preserve"> </w:t>
      </w:r>
    </w:p>
    <w:p w14:paraId="20976CFF" w14:textId="011184E8" w:rsidR="00436CD0" w:rsidRPr="00C44D8C" w:rsidRDefault="00436CD0" w:rsidP="00D20D2A">
      <w:pPr>
        <w:spacing w:line="360" w:lineRule="auto"/>
        <w:rPr>
          <w:rFonts w:asciiTheme="minorHAnsi" w:eastAsia="Calibri" w:hAnsiTheme="minorHAnsi" w:cs="Calibri"/>
          <w:sz w:val="22"/>
          <w:szCs w:val="22"/>
          <w:lang w:eastAsia="en-GB"/>
        </w:rPr>
      </w:pPr>
      <w:r w:rsidRPr="00C44D8C">
        <w:rPr>
          <w:rFonts w:asciiTheme="minorHAnsi" w:eastAsia="Calibri" w:hAnsiTheme="minorHAnsi" w:cs="Calibri"/>
          <w:sz w:val="22"/>
          <w:szCs w:val="22"/>
          <w:lang w:eastAsia="en-GB"/>
        </w:rPr>
        <w:t xml:space="preserve">Compared to the other methanogenic archaea, the methanogenic genus, </w:t>
      </w:r>
      <w:r w:rsidRPr="00C44D8C">
        <w:rPr>
          <w:rFonts w:asciiTheme="minorHAnsi" w:eastAsia="Calibri" w:hAnsiTheme="minorHAnsi" w:cs="Calibri"/>
          <w:i/>
          <w:sz w:val="22"/>
          <w:szCs w:val="22"/>
          <w:lang w:eastAsia="en-GB"/>
        </w:rPr>
        <w:t>Methanosarcina</w:t>
      </w:r>
      <w:r w:rsidRPr="00C44D8C">
        <w:rPr>
          <w:rFonts w:asciiTheme="minorHAnsi" w:eastAsia="Calibri" w:hAnsiTheme="minorHAnsi" w:cs="Calibri"/>
          <w:sz w:val="22"/>
          <w:szCs w:val="22"/>
          <w:lang w:eastAsia="en-GB"/>
        </w:rPr>
        <w:t xml:space="preserve"> is recognised as being the more robust and resilient member, with an ability to tolerate various environmental and operational stressors</w:t>
      </w:r>
      <w:r w:rsidR="00A75987">
        <w:rPr>
          <w:rFonts w:asciiTheme="minorHAnsi" w:eastAsia="Calibri" w:hAnsiTheme="minorHAnsi" w:cs="Calibri"/>
          <w:sz w:val="22"/>
          <w:szCs w:val="22"/>
          <w:lang w:eastAsia="en-GB"/>
        </w:rPr>
        <w:t xml:space="preserve">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[19]</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Given the robust nature of </w:t>
      </w:r>
      <w:r w:rsidRPr="00C44D8C">
        <w:rPr>
          <w:rFonts w:asciiTheme="minorHAnsi" w:eastAsia="Calibri" w:hAnsiTheme="minorHAnsi" w:cs="Calibri"/>
          <w:i/>
          <w:sz w:val="22"/>
          <w:szCs w:val="22"/>
          <w:lang w:eastAsia="en-GB"/>
        </w:rPr>
        <w:t>Methanosarcina</w:t>
      </w:r>
      <w:r w:rsidRPr="00C44D8C">
        <w:rPr>
          <w:rFonts w:asciiTheme="minorHAnsi" w:eastAsia="Calibri" w:hAnsiTheme="minorHAnsi" w:cs="Calibri"/>
          <w:sz w:val="22"/>
          <w:szCs w:val="22"/>
          <w:lang w:eastAsia="en-GB"/>
        </w:rPr>
        <w:t>, it is desirable to selectively retain a high active biomass of this methanogen</w:t>
      </w:r>
      <w:r w:rsidRPr="00C44D8C">
        <w:rPr>
          <w:rFonts w:asciiTheme="minorHAnsi" w:eastAsia="Calibri" w:hAnsiTheme="minorHAnsi" w:cs="Calibri"/>
          <w:i/>
          <w:sz w:val="22"/>
          <w:szCs w:val="22"/>
          <w:lang w:eastAsia="en-GB"/>
        </w:rPr>
        <w:t xml:space="preserve"> </w:t>
      </w:r>
      <w:r w:rsidRPr="00C44D8C">
        <w:rPr>
          <w:rFonts w:asciiTheme="minorHAnsi" w:eastAsia="Calibri" w:hAnsiTheme="minorHAnsi" w:cs="Calibri"/>
          <w:sz w:val="22"/>
          <w:szCs w:val="22"/>
          <w:lang w:eastAsia="en-GB"/>
        </w:rPr>
        <w:t xml:space="preserve">within AD reactors in order to more efficiently treat high strength domestic </w:t>
      </w:r>
      <w:r w:rsidRPr="00C44D8C">
        <w:rPr>
          <w:rFonts w:asciiTheme="minorHAnsi" w:eastAsia="Calibri" w:hAnsiTheme="minorHAnsi" w:cs="Calibri"/>
          <w:sz w:val="22"/>
          <w:szCs w:val="22"/>
          <w:lang w:eastAsia="en-GB"/>
        </w:rPr>
        <w:lastRenderedPageBreak/>
        <w:t xml:space="preserve">wastewater. Promoting the biofilm formation of </w:t>
      </w:r>
      <w:r w:rsidRPr="00C44D8C">
        <w:rPr>
          <w:rFonts w:asciiTheme="minorHAnsi" w:eastAsia="Calibri" w:hAnsiTheme="minorHAnsi" w:cs="Calibri"/>
          <w:i/>
          <w:sz w:val="22"/>
          <w:szCs w:val="22"/>
          <w:lang w:eastAsia="en-GB"/>
        </w:rPr>
        <w:t xml:space="preserve">Methanosarcina </w:t>
      </w:r>
      <w:r w:rsidRPr="00C44D8C">
        <w:rPr>
          <w:rFonts w:asciiTheme="minorHAnsi" w:eastAsia="Calibri" w:hAnsiTheme="minorHAnsi" w:cs="Calibri"/>
          <w:sz w:val="22"/>
          <w:szCs w:val="22"/>
          <w:lang w:eastAsia="en-GB"/>
        </w:rPr>
        <w:t xml:space="preserve">within AD reactors holds promise for heavy duty biomethanation for future biotechnological applications, and this is achievable with the use of appropriate support materials within AD reactors to selectively immobilise </w:t>
      </w:r>
      <w:r w:rsidRPr="00C44D8C">
        <w:rPr>
          <w:rFonts w:asciiTheme="minorHAnsi" w:eastAsia="Calibri" w:hAnsiTheme="minorHAnsi" w:cs="Calibri"/>
          <w:i/>
          <w:sz w:val="22"/>
          <w:szCs w:val="22"/>
          <w:lang w:eastAsia="en-GB"/>
        </w:rPr>
        <w:t>Methanosarcina</w:t>
      </w:r>
      <w:r w:rsidRPr="00C44D8C">
        <w:rPr>
          <w:rFonts w:asciiTheme="minorHAnsi" w:eastAsia="Calibri" w:hAnsiTheme="minorHAnsi" w:cs="Calibri"/>
          <w:sz w:val="22"/>
          <w:szCs w:val="22"/>
          <w:lang w:eastAsia="en-GB"/>
        </w:rPr>
        <w:t>. However, the processes underlying biofilm formation in archaea are generally poorly understood</w:t>
      </w:r>
      <w:r w:rsidR="00A75987">
        <w:rPr>
          <w:rFonts w:asciiTheme="minorHAnsi" w:eastAsia="Calibri" w:hAnsiTheme="minorHAnsi" w:cs="Calibri"/>
          <w:sz w:val="22"/>
          <w:szCs w:val="22"/>
          <w:lang w:eastAsia="en-GB"/>
        </w:rPr>
        <w:t xml:space="preserve">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"id" : "ITEM-2", "itemData" : { "DOI" : "10.1042/BST20120304", "ISBN" : "1470-8752 (Electronic)\\r0300-5127 (Linking)", "ISSN" : "1470-8752", "PMID" : "23356317", "abstract" : "Biofilms or multicellular structures become accepted as the dominant microbial lifestyle in Nature, but in the past they were only studied extensively in bacteria. Investigations on archaeal monospecies cultures have shown that many archaeal species are able to adhere on biotic and abiotic surfaces and form complex biofilm structures. Biofilm-forming archaea were identified in a broad range of extreme and moderate environments. Natural biofilms observed are mostly mixed communities composed of archaeal and bacterial species of various abundances. The physiological functions of the archaea identified in such mixed communities suggest a significant impact on the biochemical cycles maintaining the flow and recycling of the nutrients on earth. Therefore it is of high interest to investigate the characteristics and mechanisms underlying the archaeal biofilm formation. In the present review, I summarize and discuss the present investigations of biofilm-forming archaeal species, i.e. their diverse biofilm architectures in monospecies or mixed communities, the identified EPSs (extracellular polymeric substances), archaeal structures mediating surface adhesion or cell-cell connections, and the response to physical and chemical stressors implying that archaeal biofilm formation is an adaptive reaction to changing environmental conditions. A first insight into the molecular differentiation of cells within archaeal biofilms is given.", "author" : [ { "dropping-particle" : "", "family" : "Fr\u00f6ls", "given" : "Sabrina", "non-dropping-particle" : "", "parse-names" : false, "suffix" : "" } ], "container-title" : "Biochemical Society transactions", "id" : "ITEM-2", "issue" : "1", "issued" : { "date-parts" : [ [ "2013" ] ] }, "page" : "393-8", "title" : "Archaeal biofilms: widespread and complex.", "type" : "article-journal", "volume" : "41" }, "uris" : [ "http://www.mendeley.com/documents/?uuid=cb32140d-6064-4104-9b03-d3d3ab307963" ] } ], "mendeley" : { "formattedCitation" : "[20,21]", "plainTextFormattedCitation" : "[20,21]", "previouslyFormattedCitation" : "[20,21]"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[20,21]</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and this is the same for the genus </w:t>
      </w:r>
      <w:r w:rsidRPr="00C44D8C">
        <w:rPr>
          <w:rFonts w:asciiTheme="minorHAnsi" w:eastAsia="Calibri" w:hAnsiTheme="minorHAnsi" w:cs="Calibri"/>
          <w:i/>
          <w:sz w:val="22"/>
          <w:szCs w:val="22"/>
          <w:lang w:eastAsia="en-GB"/>
        </w:rPr>
        <w:t>Methanosarcina</w:t>
      </w:r>
      <w:r w:rsidRPr="00C44D8C">
        <w:rPr>
          <w:rFonts w:asciiTheme="minorHAnsi" w:eastAsia="Calibri" w:hAnsiTheme="minorHAnsi" w:cs="Calibri"/>
          <w:sz w:val="22"/>
          <w:szCs w:val="22"/>
          <w:lang w:eastAsia="en-GB"/>
        </w:rPr>
        <w:t xml:space="preserve">. </w:t>
      </w:r>
    </w:p>
    <w:p w14:paraId="6C3D45BB" w14:textId="55DD9980" w:rsidR="00436CD0" w:rsidRPr="00C44D8C" w:rsidRDefault="00436CD0" w:rsidP="00436CD0">
      <w:pPr>
        <w:spacing w:line="360" w:lineRule="auto"/>
        <w:ind w:firstLine="720"/>
        <w:rPr>
          <w:rFonts w:asciiTheme="minorHAnsi" w:eastAsia="Calibri" w:hAnsiTheme="minorHAnsi" w:cs="Calibri"/>
          <w:sz w:val="22"/>
          <w:szCs w:val="22"/>
          <w:lang w:eastAsia="en-GB"/>
        </w:rPr>
      </w:pPr>
      <w:r w:rsidRPr="00C44D8C">
        <w:rPr>
          <w:rFonts w:asciiTheme="minorHAnsi" w:eastAsia="Calibri" w:hAnsiTheme="minorHAnsi" w:cs="Calibri"/>
          <w:sz w:val="22"/>
          <w:szCs w:val="22"/>
          <w:lang w:eastAsia="en-GB"/>
        </w:rPr>
        <w:t xml:space="preserve">Biofilm formation is a complex process involving a multitude of factors, and is the predominant mode of growth for microorganisms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"id" : "ITEM-2", "itemData" : { "DOI" : "10.1038/nrmicro2415", "ISSN" : "1740-1534", "PMID" : "20676145", "abstract" :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 "author" : [ { "dropping-particle" : "", "family" : "Flemming", "given" : "Hans-Curt", "non-dropping-particle" : "", "parse-names" : false, "suffix" : "" }, { "dropping-particle" : "", "family" : "Wingender", "given" : "Jost", "non-dropping-particle" : "", "parse-names" : false, "suffix" : "" } ], "container-title" : "Nature reviews. Microbiology", "id" : "ITEM-2", "issue" : "9", "issued" : { "date-parts" : [ [ "2010", "9" ] ] }, "page" : "623-33", "publisher" : "Nature Publishing Group", "title" : "The biofilm matrix.", "type" : "article-journal", "volume" : "8" }, "uris" : [ "http://www.mendeley.com/documents/?uuid=fe9f960b-59a2-4bd8-8a0d-3a3ef1a6a342" ] }, { "id" : "ITEM-3", "itemData" : { "DOI" : "10.3201/eid0809.020063", "ISSN" : "1080-6040", "PMID" : "12194761", "abstract" : "Microorganisms attach to surfaces and develop biofilms. Biofilm-associated cells can be differentiated from their suspended counterparts by generation of an extracellular polymeric substance (EPS) matrix, reduced growth rates, and the up- and down- 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 "author" : [ { "dropping-particle" : "", "family" : "Donlan", "given" : "Rodney M", "non-dropping-particle" : "", "parse-names" : false, "suffix" : "" } ], "container-title" : "Emerging infectious diseases", "id" : "ITEM-3", "issue" : "9", "issued" : { "date-parts" : [ [ "2002", "9" ] ] }, "page" : "881-90", "title" : "Biofilms: microbial life on surfaces.", "type" : "article-journal", "volume" : "8" }, "uris" : [ "http://www.mendeley.com/documents/?uuid=8943dd6f-6881-45d5-a353-dd8530283284" ] } ], "mendeley" : { "formattedCitation" : "[22\u201324]", "plainTextFormattedCitation" : "[22\u201324]", "previouslyFormattedCitation" : "[22\u201324]"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[22–24]</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Many researchers have examined single microorganisms in the laboratory to better understand biofilm behaviour in a controlled environment, and often using a wide suite of methods to delve into the underlying physical, chemical and biological factors for biofilm formation in a wide range of microbial species</w:t>
      </w:r>
      <w:r w:rsidR="00A75987">
        <w:rPr>
          <w:rFonts w:asciiTheme="minorHAnsi" w:eastAsia="Calibri" w:hAnsiTheme="minorHAnsi" w:cs="Calibri"/>
          <w:sz w:val="22"/>
          <w:szCs w:val="22"/>
          <w:lang w:eastAsia="en-GB"/>
        </w:rPr>
        <w:t xml:space="preserve">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"10.1016/S0167-7012(97)00058-4", "ISSN" : "01677012", "author" : [ { "dropping-particle" : "", "family" : "An", "given" : "Yuehuei H", "non-dropping-particle" : "", "parse-names" : false, "suffix" : "" }, { "dropping-particle" : "", "family" : "Friedman", "given" : "Richard J", "non-dropping-particle" : "", "parse-names" : false, "suffix" : "" } ], "container-title" : "Journal of Microbiological Methods", "id" : "ITEM-1", "issue" : "2", "issued" : { "date-parts" : [ [ "1997", "8" ] ] }, "page" : "141-152", "title" : "Laboratory methods for studies of bacterial adhesion", "type" : "article-journal", "volume" : "30" }, "uris" : [ "http://www.mendeley.com/documents/?uuid=a2942c76-e961-4a5a-b60f-3947fca50dd1" ] } ], "mendeley" : { "formattedCitation" : "[25]", "plainTextFormattedCitation" : "[25]", "previouslyFormattedCitation" : "[25]"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[25]</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Various physicochemical, spectroscopic, microscopic and proteomic research methods have provided an unprecedented view of the processes governing biofilm formation in bacterial biofilms, and offer great promise for archaeal biofilm research </w:t>
      </w:r>
      <w:r w:rsidR="00A75987">
        <w:rPr>
          <w:rFonts w:asciiTheme="minorHAnsi" w:eastAsia="Calibri" w:hAnsiTheme="minorHAnsi" w:cs="Calibri"/>
          <w:sz w:val="22"/>
          <w:szCs w:val="22"/>
          <w:lang w:eastAsia="en-GB"/>
        </w:rPr>
        <w:fldChar w:fldCharType="begin" w:fldLock="1"/>
      </w:r>
      <w:r w:rsidR="00A75987">
        <w:rPr>
          <w:rFonts w:asciiTheme="minorHAnsi" w:eastAsia="Calibri" w:hAnsiTheme="minorHAnsi" w:cs="Calibri"/>
          <w:sz w:val="22"/>
          <w:szCs w:val="22"/>
          <w:lang w:eastAsia="en-GB"/>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"mendeley" : { "formattedCitation" : "[20]", "plainTextFormattedCitation" : "[20]", "previouslyFormattedCitation" : "[20]"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[20]</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t>
      </w:r>
    </w:p>
    <w:p w14:paraId="3FB07081" w14:textId="66DC3C98" w:rsidR="00436CD0" w:rsidRPr="00C44D8C" w:rsidRDefault="00436CD0" w:rsidP="00DF337D">
      <w:pPr>
        <w:spacing w:line="360" w:lineRule="auto"/>
        <w:ind w:firstLine="720"/>
        <w:rPr>
          <w:rFonts w:asciiTheme="minorHAnsi" w:eastAsia="SimSun" w:hAnsiTheme="minorHAnsi" w:cs="Arial"/>
          <w:sz w:val="22"/>
          <w:szCs w:val="22"/>
          <w:lang w:eastAsia="en-GB"/>
        </w:rPr>
      </w:pPr>
      <w:r w:rsidRPr="00C44D8C">
        <w:rPr>
          <w:rFonts w:asciiTheme="minorHAnsi" w:eastAsia="Calibri" w:hAnsiTheme="minorHAnsi" w:cs="Calibri"/>
          <w:sz w:val="22"/>
          <w:szCs w:val="22"/>
          <w:lang w:eastAsia="en-GB"/>
        </w:rPr>
        <w:t xml:space="preserve">The unexplored territory of archaeal biofilms is a promising field of research, and further understanding of biofilm formation in this ubiquitous domain of life would be valuable for various biotechnological applications, such as AD. </w:t>
      </w:r>
    </w:p>
    <w:p w14:paraId="6ED8D7BB" w14:textId="0816E966" w:rsidR="00436CD0" w:rsidRPr="00C44D8C" w:rsidRDefault="00436CD0" w:rsidP="00DF337D">
      <w:pPr>
        <w:pStyle w:val="Heading1"/>
        <w:rPr>
          <w:rFonts w:eastAsia="SimSun"/>
          <w:lang w:eastAsia="en-GB"/>
        </w:rPr>
      </w:pPr>
      <w:bookmarkStart w:id="37" w:name="_Toc460927866"/>
      <w:bookmarkStart w:id="38" w:name="_Toc462575257"/>
      <w:r w:rsidRPr="00C44D8C">
        <w:rPr>
          <w:lang w:eastAsia="en-GB"/>
        </w:rPr>
        <w:t>1.4. Research objectives</w:t>
      </w:r>
      <w:bookmarkEnd w:id="37"/>
      <w:bookmarkEnd w:id="38"/>
    </w:p>
    <w:p w14:paraId="0FD91D18" w14:textId="212F0190" w:rsidR="00436CD0" w:rsidRPr="00C44D8C" w:rsidRDefault="00436CD0" w:rsidP="00436CD0">
      <w:pPr>
        <w:spacing w:line="360" w:lineRule="auto"/>
        <w:rPr>
          <w:rFonts w:asciiTheme="minorHAnsi" w:eastAsia="Calibri" w:hAnsiTheme="minorHAnsi" w:cs="Calibri"/>
          <w:sz w:val="22"/>
          <w:szCs w:val="22"/>
          <w:lang w:eastAsia="en-GB"/>
        </w:rPr>
      </w:pPr>
      <w:r w:rsidRPr="00C44D8C">
        <w:rPr>
          <w:rFonts w:asciiTheme="minorHAnsi" w:eastAsia="Calibri" w:hAnsiTheme="minorHAnsi" w:cs="Calibri"/>
          <w:sz w:val="22"/>
          <w:szCs w:val="22"/>
          <w:lang w:eastAsia="en-GB"/>
        </w:rPr>
        <w:t xml:space="preserve">The overall objective of this thesis is to promote a microbial-based strategy for optimising the anaerobic digestion of high strength domestic wastewater. This strategy involves the selective retention of the robust methanogenic genus, </w:t>
      </w:r>
      <w:r w:rsidRPr="00C44D8C">
        <w:rPr>
          <w:rFonts w:asciiTheme="minorHAnsi" w:eastAsia="Calibri" w:hAnsiTheme="minorHAnsi" w:cs="Calibri"/>
          <w:i/>
          <w:sz w:val="22"/>
          <w:szCs w:val="22"/>
          <w:lang w:eastAsia="en-GB"/>
        </w:rPr>
        <w:t xml:space="preserve">Methanosarcina </w:t>
      </w:r>
      <w:r w:rsidRPr="00C44D8C">
        <w:rPr>
          <w:rFonts w:asciiTheme="minorHAnsi" w:eastAsia="Calibri" w:hAnsiTheme="minorHAnsi" w:cs="Calibri"/>
          <w:sz w:val="22"/>
          <w:szCs w:val="22"/>
          <w:lang w:eastAsia="en-GB"/>
        </w:rPr>
        <w:t xml:space="preserve">onto support materials within AD reactors to address the main limitation of the AD process - that is the frequent washout of active methanogenic microbial biomass from AD reactors, which has an adverse effect on biogas yield, quality and start-up times. </w:t>
      </w:r>
      <w:r w:rsidRPr="00C44D8C">
        <w:rPr>
          <w:rFonts w:asciiTheme="minorHAnsi" w:eastAsia="Calibri" w:hAnsiTheme="minorHAnsi" w:cs="Calibri"/>
          <w:i/>
          <w:sz w:val="22"/>
          <w:szCs w:val="22"/>
          <w:lang w:eastAsia="en-GB"/>
        </w:rPr>
        <w:t xml:space="preserve">Methanosarcina barkeri </w:t>
      </w:r>
      <w:r w:rsidRPr="00C44D8C">
        <w:rPr>
          <w:rFonts w:asciiTheme="minorHAnsi" w:eastAsia="Calibri" w:hAnsiTheme="minorHAnsi" w:cs="Calibri"/>
          <w:sz w:val="22"/>
          <w:szCs w:val="22"/>
          <w:lang w:eastAsia="en-GB"/>
        </w:rPr>
        <w:t>will be used as a model species throughout this thesis, owing to its common presence in anaerobic reactors</w:t>
      </w:r>
      <w:r w:rsidR="00A75987">
        <w:rPr>
          <w:rFonts w:asciiTheme="minorHAnsi" w:eastAsia="Calibri" w:hAnsiTheme="minorHAnsi" w:cs="Calibri"/>
          <w:sz w:val="22"/>
          <w:szCs w:val="22"/>
          <w:lang w:eastAsia="en-GB"/>
        </w:rPr>
        <w:t xml:space="preserve"> </w:t>
      </w:r>
      <w:r w:rsidR="00A75987">
        <w:rPr>
          <w:rFonts w:asciiTheme="minorHAnsi" w:eastAsia="Calibri" w:hAnsiTheme="minorHAnsi" w:cs="Calibri"/>
          <w:sz w:val="22"/>
          <w:szCs w:val="22"/>
          <w:lang w:eastAsia="en-GB"/>
        </w:rPr>
        <w:fldChar w:fldCharType="begin" w:fldLock="1"/>
      </w:r>
      <w:r w:rsidR="00386652">
        <w:rPr>
          <w:rFonts w:asciiTheme="minorHAnsi" w:eastAsia="Calibri" w:hAnsiTheme="minorHAnsi" w:cs="Calibri"/>
          <w:sz w:val="22"/>
          <w:szCs w:val="22"/>
          <w:lang w:eastAsia="en-GB"/>
        </w:rPr>
        <w:instrText>ADDIN CSL_CITATION { "citationItems" : [ { "id" : "ITEM-1", "itemData" : { "DOI" : "10.1016/j.biortech.2007.01.057", "ISBN" : "0960-8524 (Print)\\n0960-8524 (Linking)", "ISSN" : "09608524", "PMID" : "17399981", "abstract" : "Anaerobic digestion is an attractive waste treatment practice in which both pollution control and energy recovery can be achieved. Many agricultural and industrial wastes are ideal candidates for anaerobic digestion because they contain high levels of easily biodegradable materials. Problems such as low methane yield and process instability are often encountered in anaerobic digestion, preventing this technique from being widely applied. A wide variety of inhibitory substances are the primary cause of anaerobic digester upset or failure since they are present in substantial concentrations in wastes. Considerable research efforts have been made to identify the mechanism and the controlling factors of inhibition. This review provides a detailed summary of the research conducted on the inhibition of anaerobic processes. The inhibitors commonly present in anaerobic digesters include ammonia, sulfide, light metal ions, heavy metals, and organics. Due to the difference in anaerobic inocula, waste composition, and experimental methods and conditions, literature results on inhibition caused by specific toxicants vary widely. Co-digestion with other waste, adaptation of microorganisms to inhibitory substances, and incorporation of methods to remove or counteract toxicants before anaerobic digestion can significantly improve the waste treatment efficiency. \u00a9 2007 Elsevier Ltd. All rights reserved.", "author" : [ { "dropping-particle" : "", "family" : "Chen", "given" : "Ye", "non-dropping-particle" : "", "parse-names" : false, "suffix" : "" }, { "dropping-particle" : "", "family" : "Cheng", "given" : "Jay J.", "non-dropping-particle" : "", "parse-names" : false, "suffix" : "" }, { "dropping-particle" : "", "family" : "Creamer", "given" : "Kurt S.", "non-dropping-particle" : "", "parse-names" : false, "suffix" : "" } ], "container-title" : "Bioresource Technology", "id" : "ITEM-1", "issue" : "10", "issued" : { "date-parts" : [ [ "2008" ] ] }, "page" : "4044-4064", "title" : "Inhibition of anaerobic digestion process: A review", "type" : "article-journal", "volume" : "99" }, "uris" : [ "http://www.mendeley.com/documents/?uuid=a2ede15b-da90-4fff-a4cc-8323031fbf85" ] } ], "mendeley" : { "formattedCitation" : "[15]", "plainTextFormattedCitation" : "[15]", "previouslyFormattedCitation" : "[15]" }, "properties" : { "noteIndex" : 0 }, "schema" : "https://github.com/citation-style-language/schema/raw/master/csl-citation.json" }</w:instrText>
      </w:r>
      <w:r w:rsidR="00A75987">
        <w:rPr>
          <w:rFonts w:asciiTheme="minorHAnsi" w:eastAsia="Calibri" w:hAnsiTheme="minorHAnsi" w:cs="Calibri"/>
          <w:sz w:val="22"/>
          <w:szCs w:val="22"/>
          <w:lang w:eastAsia="en-GB"/>
        </w:rPr>
        <w:fldChar w:fldCharType="separate"/>
      </w:r>
      <w:r w:rsidR="00A75987" w:rsidRPr="00A75987">
        <w:rPr>
          <w:rFonts w:asciiTheme="minorHAnsi" w:eastAsia="Calibri" w:hAnsiTheme="minorHAnsi" w:cs="Calibri"/>
          <w:noProof/>
          <w:sz w:val="22"/>
          <w:szCs w:val="22"/>
          <w:lang w:eastAsia="en-GB"/>
        </w:rPr>
        <w:t>[15]</w:t>
      </w:r>
      <w:r w:rsidR="00A75987">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t>
      </w:r>
    </w:p>
    <w:p w14:paraId="15A62880" w14:textId="429C8060" w:rsidR="00A9324D" w:rsidRDefault="00436CD0" w:rsidP="00A75987">
      <w:pPr>
        <w:spacing w:line="360" w:lineRule="auto"/>
        <w:ind w:firstLine="720"/>
        <w:rPr>
          <w:rFonts w:asciiTheme="minorHAnsi" w:eastAsia="Calibri" w:hAnsiTheme="minorHAnsi" w:cs="Calibri"/>
          <w:sz w:val="22"/>
          <w:szCs w:val="22"/>
          <w:lang w:eastAsia="en-GB"/>
        </w:rPr>
        <w:sectPr w:rsidR="00A9324D" w:rsidSect="00107331">
          <w:pgSz w:w="11906" w:h="16838"/>
          <w:pgMar w:top="1418" w:right="1418" w:bottom="1418" w:left="2268" w:header="708" w:footer="708" w:gutter="0"/>
          <w:pgNumType w:start="1"/>
          <w:cols w:space="708"/>
          <w:docGrid w:linePitch="360"/>
        </w:sectPr>
      </w:pPr>
      <w:r w:rsidRPr="00C44D8C">
        <w:rPr>
          <w:rFonts w:asciiTheme="minorHAnsi" w:eastAsia="Calibri" w:hAnsiTheme="minorHAnsi" w:cs="Calibri"/>
          <w:sz w:val="22"/>
          <w:szCs w:val="22"/>
          <w:lang w:eastAsia="en-GB"/>
        </w:rPr>
        <w:t>This thesis will examine the effect of different support materials on the biofilm-forming behaviour</w:t>
      </w:r>
      <w:r w:rsidRPr="00C44D8C">
        <w:rPr>
          <w:rFonts w:asciiTheme="minorHAnsi" w:eastAsia="SimSun" w:hAnsiTheme="minorHAnsi" w:cs="Arial"/>
          <w:sz w:val="22"/>
          <w:szCs w:val="22"/>
          <w:lang w:eastAsia="en-GB"/>
        </w:rPr>
        <w:t xml:space="preserve"> of </w:t>
      </w:r>
      <w:r w:rsidRPr="00C44D8C">
        <w:rPr>
          <w:rFonts w:asciiTheme="minorHAnsi" w:eastAsia="SimSun" w:hAnsiTheme="minorHAnsi" w:cs="Arial"/>
          <w:i/>
          <w:sz w:val="22"/>
          <w:szCs w:val="22"/>
          <w:lang w:eastAsia="en-GB"/>
        </w:rPr>
        <w:t xml:space="preserve">M. barkeri </w:t>
      </w:r>
      <w:r w:rsidRPr="00C44D8C">
        <w:rPr>
          <w:rFonts w:asciiTheme="minorHAnsi" w:eastAsia="SimSun" w:hAnsiTheme="minorHAnsi" w:cs="Arial"/>
          <w:sz w:val="22"/>
          <w:szCs w:val="22"/>
          <w:lang w:eastAsia="en-GB"/>
        </w:rPr>
        <w:t xml:space="preserve">in order to ascertain which support materials are the best biofilm carriers for the selective immobilisation of </w:t>
      </w:r>
      <w:r w:rsidRPr="00C44D8C">
        <w:rPr>
          <w:rFonts w:asciiTheme="minorHAnsi" w:eastAsia="SimSun" w:hAnsiTheme="minorHAnsi" w:cs="Arial"/>
          <w:i/>
          <w:sz w:val="22"/>
          <w:szCs w:val="22"/>
          <w:lang w:eastAsia="en-GB"/>
        </w:rPr>
        <w:t xml:space="preserve">M. barkeri. </w:t>
      </w:r>
      <w:r w:rsidRPr="00C44D8C">
        <w:rPr>
          <w:rFonts w:asciiTheme="minorHAnsi" w:eastAsia="SimSun" w:hAnsiTheme="minorHAnsi" w:cs="Arial"/>
          <w:sz w:val="22"/>
          <w:szCs w:val="22"/>
          <w:lang w:eastAsia="en-GB"/>
        </w:rPr>
        <w:t xml:space="preserve">Additionally, the experiments in this thesis will be carried out in high ionic and neutral pH aqueous environments to model the typical characteristics of domestic wastewater in the Global South, and to examine the biofilm-forming behaviour of </w:t>
      </w:r>
      <w:r w:rsidRPr="00C44D8C">
        <w:rPr>
          <w:rFonts w:asciiTheme="minorHAnsi" w:eastAsia="SimSun" w:hAnsiTheme="minorHAnsi" w:cs="Arial"/>
          <w:i/>
          <w:sz w:val="22"/>
          <w:szCs w:val="22"/>
          <w:lang w:eastAsia="en-GB"/>
        </w:rPr>
        <w:t xml:space="preserve">M. barkeri </w:t>
      </w:r>
      <w:r w:rsidRPr="00C44D8C">
        <w:rPr>
          <w:rFonts w:asciiTheme="minorHAnsi" w:eastAsia="SimSun" w:hAnsiTheme="minorHAnsi" w:cs="Arial"/>
          <w:sz w:val="22"/>
          <w:szCs w:val="22"/>
          <w:lang w:eastAsia="en-GB"/>
        </w:rPr>
        <w:t>in such en</w:t>
      </w:r>
      <w:r w:rsidR="00FE1A56" w:rsidRPr="00C44D8C">
        <w:rPr>
          <w:rFonts w:asciiTheme="minorHAnsi" w:eastAsia="SimSun" w:hAnsiTheme="minorHAnsi" w:cs="Arial"/>
          <w:sz w:val="22"/>
          <w:szCs w:val="22"/>
          <w:lang w:eastAsia="en-GB"/>
        </w:rPr>
        <w:t xml:space="preserve">vironments. </w:t>
      </w:r>
      <w:r w:rsidRPr="00C44D8C">
        <w:rPr>
          <w:rFonts w:asciiTheme="minorHAnsi" w:eastAsia="Calibri" w:hAnsiTheme="minorHAnsi" w:cs="Calibri"/>
          <w:sz w:val="22"/>
          <w:szCs w:val="22"/>
          <w:lang w:eastAsia="en-GB"/>
        </w:rPr>
        <w:t>Therefore, the main researc</w:t>
      </w:r>
      <w:r w:rsidR="00D20D2A">
        <w:rPr>
          <w:rFonts w:asciiTheme="minorHAnsi" w:eastAsia="Calibri" w:hAnsiTheme="minorHAnsi" w:cs="Calibri"/>
          <w:sz w:val="22"/>
          <w:szCs w:val="22"/>
          <w:lang w:eastAsia="en-GB"/>
        </w:rPr>
        <w:t>h questions of this thesis are:</w:t>
      </w:r>
    </w:p>
    <w:p w14:paraId="3A0BF221" w14:textId="61ABC4B4" w:rsidR="00FE1A56" w:rsidRPr="00A75987" w:rsidRDefault="00FE1A56" w:rsidP="00D20D2A">
      <w:pPr>
        <w:spacing w:line="360" w:lineRule="auto"/>
        <w:rPr>
          <w:rFonts w:asciiTheme="minorHAnsi" w:eastAsia="Calibri" w:hAnsiTheme="minorHAnsi" w:cs="Calibri"/>
          <w:sz w:val="22"/>
          <w:szCs w:val="22"/>
          <w:lang w:eastAsia="en-GB"/>
        </w:rPr>
      </w:pPr>
    </w:p>
    <w:p w14:paraId="7754B839" w14:textId="77777777" w:rsidR="00436CD0" w:rsidRPr="00C44D8C" w:rsidRDefault="00436CD0" w:rsidP="00436CD0">
      <w:pPr>
        <w:numPr>
          <w:ilvl w:val="0"/>
          <w:numId w:val="3"/>
        </w:numPr>
        <w:spacing w:after="120" w:line="360" w:lineRule="auto"/>
        <w:ind w:hanging="360"/>
        <w:contextualSpacing/>
        <w:rPr>
          <w:rFonts w:asciiTheme="minorHAnsi" w:eastAsia="Calibri" w:hAnsiTheme="minorHAnsi" w:cs="Calibri"/>
          <w:sz w:val="22"/>
          <w:szCs w:val="22"/>
          <w:lang w:eastAsia="en-GB"/>
        </w:rPr>
      </w:pPr>
      <w:r w:rsidRPr="00C44D8C">
        <w:rPr>
          <w:rFonts w:asciiTheme="minorHAnsi" w:eastAsia="Calibri" w:hAnsiTheme="minorHAnsi" w:cs="Calibri"/>
          <w:sz w:val="22"/>
          <w:szCs w:val="22"/>
          <w:lang w:eastAsia="en-GB"/>
        </w:rPr>
        <w:t xml:space="preserve">How does the nature of the support material influence the physicochemical interactions governing the initial adhesion process in </w:t>
      </w:r>
      <w:r w:rsidRPr="00C44D8C">
        <w:rPr>
          <w:rFonts w:asciiTheme="minorHAnsi" w:eastAsia="Calibri" w:hAnsiTheme="minorHAnsi" w:cs="Calibri"/>
          <w:i/>
          <w:sz w:val="22"/>
          <w:szCs w:val="22"/>
          <w:lang w:eastAsia="en-GB"/>
        </w:rPr>
        <w:t>M. barkeri</w:t>
      </w:r>
      <w:r w:rsidRPr="00C44D8C">
        <w:rPr>
          <w:rFonts w:asciiTheme="minorHAnsi" w:eastAsia="Calibri" w:hAnsiTheme="minorHAnsi" w:cs="Calibri"/>
          <w:sz w:val="22"/>
          <w:szCs w:val="22"/>
          <w:lang w:eastAsia="en-GB"/>
        </w:rPr>
        <w:t xml:space="preserve">? </w:t>
      </w:r>
    </w:p>
    <w:p w14:paraId="082C538E" w14:textId="77777777" w:rsidR="00436CD0" w:rsidRPr="00C44D8C" w:rsidRDefault="00436CD0" w:rsidP="00436CD0">
      <w:pPr>
        <w:numPr>
          <w:ilvl w:val="0"/>
          <w:numId w:val="3"/>
        </w:numPr>
        <w:spacing w:after="120" w:line="360" w:lineRule="auto"/>
        <w:ind w:hanging="360"/>
        <w:contextualSpacing/>
        <w:rPr>
          <w:rFonts w:asciiTheme="minorHAnsi" w:eastAsia="Calibri" w:hAnsiTheme="minorHAnsi" w:cs="Calibri"/>
          <w:sz w:val="22"/>
          <w:szCs w:val="22"/>
          <w:lang w:eastAsia="en-GB"/>
        </w:rPr>
      </w:pPr>
      <w:r w:rsidRPr="00C44D8C">
        <w:rPr>
          <w:rFonts w:asciiTheme="minorHAnsi" w:eastAsia="Calibri" w:hAnsiTheme="minorHAnsi" w:cs="Calibri"/>
          <w:sz w:val="22"/>
          <w:szCs w:val="22"/>
          <w:lang w:eastAsia="en-GB"/>
        </w:rPr>
        <w:t xml:space="preserve">Does the nature of the support material influence cell surface modifications in </w:t>
      </w:r>
      <w:r w:rsidRPr="00C44D8C">
        <w:rPr>
          <w:rFonts w:asciiTheme="minorHAnsi" w:eastAsia="Calibri" w:hAnsiTheme="minorHAnsi" w:cs="Calibri"/>
          <w:i/>
          <w:sz w:val="22"/>
          <w:szCs w:val="22"/>
          <w:lang w:eastAsia="en-GB"/>
        </w:rPr>
        <w:t xml:space="preserve">M. barkeri </w:t>
      </w:r>
      <w:r w:rsidRPr="00C44D8C">
        <w:rPr>
          <w:rFonts w:asciiTheme="minorHAnsi" w:eastAsia="Calibri" w:hAnsiTheme="minorHAnsi" w:cs="Calibri"/>
          <w:sz w:val="22"/>
          <w:szCs w:val="22"/>
          <w:lang w:eastAsia="en-GB"/>
        </w:rPr>
        <w:t>during biofilm formation?</w:t>
      </w:r>
    </w:p>
    <w:p w14:paraId="278E10FB" w14:textId="77777777" w:rsidR="00436CD0" w:rsidRPr="00C44D8C" w:rsidRDefault="00436CD0" w:rsidP="00436CD0">
      <w:pPr>
        <w:numPr>
          <w:ilvl w:val="0"/>
          <w:numId w:val="3"/>
        </w:numPr>
        <w:spacing w:after="120" w:line="360" w:lineRule="auto"/>
        <w:ind w:hanging="360"/>
        <w:contextualSpacing/>
        <w:rPr>
          <w:rFonts w:asciiTheme="minorHAnsi" w:eastAsia="Calibri" w:hAnsiTheme="minorHAnsi" w:cs="Calibri"/>
          <w:sz w:val="22"/>
          <w:szCs w:val="22"/>
          <w:lang w:eastAsia="en-GB"/>
        </w:rPr>
      </w:pPr>
      <w:r w:rsidRPr="00C44D8C">
        <w:rPr>
          <w:rFonts w:asciiTheme="minorHAnsi" w:eastAsia="Calibri" w:hAnsiTheme="minorHAnsi" w:cs="Calibri"/>
          <w:sz w:val="22"/>
          <w:szCs w:val="22"/>
          <w:lang w:eastAsia="en-GB"/>
        </w:rPr>
        <w:t xml:space="preserve">How does the nature of the support material influence the functional proteome of </w:t>
      </w:r>
      <w:r w:rsidRPr="00C44D8C">
        <w:rPr>
          <w:rFonts w:asciiTheme="minorHAnsi" w:eastAsia="Calibri" w:hAnsiTheme="minorHAnsi" w:cs="Calibri"/>
          <w:i/>
          <w:sz w:val="22"/>
          <w:szCs w:val="22"/>
          <w:lang w:eastAsia="en-GB"/>
        </w:rPr>
        <w:t>M. barkeri</w:t>
      </w:r>
      <w:r w:rsidRPr="00C44D8C">
        <w:rPr>
          <w:rFonts w:asciiTheme="minorHAnsi" w:eastAsia="Calibri" w:hAnsiTheme="minorHAnsi" w:cs="Calibri"/>
          <w:sz w:val="22"/>
          <w:szCs w:val="22"/>
          <w:lang w:eastAsia="en-GB"/>
        </w:rPr>
        <w:t xml:space="preserve"> during biofilm formation?</w:t>
      </w:r>
      <w:r w:rsidRPr="00C44D8C">
        <w:rPr>
          <w:rFonts w:asciiTheme="minorHAnsi" w:eastAsia="Calibri" w:hAnsiTheme="minorHAnsi" w:cs="Calibri"/>
          <w:i/>
          <w:sz w:val="22"/>
          <w:szCs w:val="22"/>
          <w:lang w:eastAsia="en-GB"/>
        </w:rPr>
        <w:t xml:space="preserve"> </w:t>
      </w:r>
    </w:p>
    <w:p w14:paraId="102E2EF9" w14:textId="77777777" w:rsidR="00436CD0" w:rsidRPr="00C44D8C" w:rsidRDefault="00436CD0" w:rsidP="00436CD0">
      <w:pPr>
        <w:spacing w:line="360" w:lineRule="auto"/>
        <w:rPr>
          <w:rFonts w:asciiTheme="minorHAnsi" w:eastAsia="SimSun" w:hAnsiTheme="minorHAnsi" w:cs="Arial"/>
          <w:sz w:val="22"/>
          <w:szCs w:val="22"/>
          <w:lang w:eastAsia="en-GB"/>
        </w:rPr>
      </w:pPr>
    </w:p>
    <w:p w14:paraId="56CCCC5D" w14:textId="77777777" w:rsidR="00436CD0" w:rsidRPr="00C44D8C" w:rsidRDefault="00436CD0" w:rsidP="00FE1A56">
      <w:pPr>
        <w:spacing w:line="360" w:lineRule="auto"/>
        <w:ind w:firstLine="720"/>
        <w:rPr>
          <w:rFonts w:asciiTheme="minorHAnsi" w:eastAsia="SimSun" w:hAnsiTheme="minorHAnsi" w:cs="Arial"/>
          <w:sz w:val="22"/>
          <w:szCs w:val="22"/>
          <w:lang w:eastAsia="en-GB"/>
        </w:rPr>
      </w:pPr>
      <w:r w:rsidRPr="00C44D8C">
        <w:rPr>
          <w:rFonts w:asciiTheme="minorHAnsi" w:eastAsia="SimSun" w:hAnsiTheme="minorHAnsi" w:cs="Arial"/>
          <w:sz w:val="22"/>
          <w:szCs w:val="22"/>
          <w:lang w:eastAsia="en-GB"/>
        </w:rPr>
        <w:t xml:space="preserve">This thesis will utilise a mixed methods approach to elucidate the physicochemical and biological factors governing biofilm formation in </w:t>
      </w:r>
      <w:r w:rsidRPr="00C44D8C">
        <w:rPr>
          <w:rFonts w:asciiTheme="minorHAnsi" w:eastAsia="SimSun" w:hAnsiTheme="minorHAnsi" w:cs="Arial"/>
          <w:i/>
          <w:sz w:val="22"/>
          <w:szCs w:val="22"/>
          <w:lang w:eastAsia="en-GB"/>
        </w:rPr>
        <w:t xml:space="preserve">M. barkeri </w:t>
      </w:r>
      <w:r w:rsidRPr="00C44D8C">
        <w:rPr>
          <w:rFonts w:asciiTheme="minorHAnsi" w:eastAsia="SimSun" w:hAnsiTheme="minorHAnsi" w:cs="Arial"/>
          <w:sz w:val="22"/>
          <w:szCs w:val="22"/>
          <w:lang w:eastAsia="en-GB"/>
        </w:rPr>
        <w:t>as a function of support material. The results of this investigatio</w:t>
      </w:r>
      <w:r w:rsidR="00FE1A56" w:rsidRPr="00C44D8C">
        <w:rPr>
          <w:rFonts w:asciiTheme="minorHAnsi" w:eastAsia="SimSun" w:hAnsiTheme="minorHAnsi" w:cs="Arial"/>
          <w:sz w:val="22"/>
          <w:szCs w:val="22"/>
          <w:lang w:eastAsia="en-GB"/>
        </w:rPr>
        <w:t>n will be presented as follows: c</w:t>
      </w:r>
      <w:r w:rsidRPr="00C44D8C">
        <w:rPr>
          <w:rFonts w:asciiTheme="minorHAnsi" w:eastAsia="SimSun" w:hAnsiTheme="minorHAnsi"/>
          <w:sz w:val="22"/>
          <w:szCs w:val="22"/>
          <w:lang w:eastAsia="en-GB"/>
        </w:rPr>
        <w:t xml:space="preserve">hapter 2 will provide an overview of the existing literature on anaerobic digestion, the process of biofilm formation and the different methods currently used in biofilm research that can be applied to </w:t>
      </w:r>
      <w:r w:rsidRPr="00C44D8C">
        <w:rPr>
          <w:rFonts w:asciiTheme="minorHAnsi" w:eastAsia="SimSun" w:hAnsiTheme="minorHAnsi"/>
          <w:i/>
          <w:sz w:val="22"/>
          <w:szCs w:val="22"/>
          <w:lang w:eastAsia="en-GB"/>
        </w:rPr>
        <w:t xml:space="preserve">M. barkeri </w:t>
      </w:r>
      <w:r w:rsidRPr="00C44D8C">
        <w:rPr>
          <w:rFonts w:asciiTheme="minorHAnsi" w:eastAsia="SimSun" w:hAnsiTheme="minorHAnsi"/>
          <w:sz w:val="22"/>
          <w:szCs w:val="22"/>
          <w:lang w:eastAsia="en-GB"/>
        </w:rPr>
        <w:t>in this thesis</w:t>
      </w:r>
      <w:r w:rsidRPr="00C44D8C">
        <w:rPr>
          <w:rFonts w:asciiTheme="minorHAnsi" w:eastAsia="SimSun" w:hAnsiTheme="minorHAnsi"/>
          <w:i/>
          <w:sz w:val="22"/>
          <w:szCs w:val="22"/>
          <w:lang w:eastAsia="en-GB"/>
        </w:rPr>
        <w:t>.</w:t>
      </w:r>
    </w:p>
    <w:p w14:paraId="09C8F7AF" w14:textId="77777777" w:rsidR="00436CD0" w:rsidRPr="00C44D8C" w:rsidRDefault="00436CD0" w:rsidP="00436CD0">
      <w:pPr>
        <w:autoSpaceDE w:val="0"/>
        <w:autoSpaceDN w:val="0"/>
        <w:adjustRightInd w:val="0"/>
        <w:spacing w:line="360" w:lineRule="auto"/>
        <w:ind w:firstLine="720"/>
        <w:rPr>
          <w:rFonts w:asciiTheme="minorHAnsi" w:eastAsia="SimSun" w:hAnsiTheme="minorHAnsi"/>
          <w:sz w:val="22"/>
          <w:szCs w:val="22"/>
          <w:lang w:eastAsia="en-GB"/>
        </w:rPr>
      </w:pPr>
      <w:r w:rsidRPr="00C44D8C">
        <w:rPr>
          <w:rFonts w:asciiTheme="minorHAnsi" w:eastAsia="SimSun" w:hAnsiTheme="minorHAnsi"/>
          <w:sz w:val="22"/>
          <w:szCs w:val="22"/>
          <w:lang w:eastAsia="en-GB"/>
        </w:rPr>
        <w:t xml:space="preserve">Chapter 3 combines the extended Derjaguin, Landau, Verwey, and Overbeek model (xDLVO) with surface physicochemical measurements, scanning electron microscopy (SEM) and static biofilm assays to examine the effect of physicochemical interactions on the adhesion of </w:t>
      </w:r>
      <w:r w:rsidRPr="00C44D8C">
        <w:rPr>
          <w:rFonts w:asciiTheme="minorHAnsi" w:eastAsia="SimSun" w:hAnsiTheme="minorHAnsi"/>
          <w:i/>
          <w:sz w:val="22"/>
          <w:szCs w:val="22"/>
          <w:lang w:eastAsia="en-GB"/>
        </w:rPr>
        <w:t xml:space="preserve">M. barkeri </w:t>
      </w:r>
      <w:r w:rsidRPr="00C44D8C">
        <w:rPr>
          <w:rFonts w:asciiTheme="minorHAnsi" w:eastAsia="SimSun" w:hAnsiTheme="minorHAnsi"/>
          <w:sz w:val="22"/>
          <w:szCs w:val="22"/>
          <w:lang w:eastAsia="en-GB"/>
        </w:rPr>
        <w:t>to six different polymer support materials at the initial and later stages of biofilm formation.</w:t>
      </w:r>
    </w:p>
    <w:p w14:paraId="7DD2BDA0" w14:textId="77777777" w:rsidR="00436CD0" w:rsidRPr="00C44D8C" w:rsidRDefault="00436CD0" w:rsidP="00436CD0">
      <w:pPr>
        <w:autoSpaceDE w:val="0"/>
        <w:autoSpaceDN w:val="0"/>
        <w:adjustRightInd w:val="0"/>
        <w:spacing w:line="360" w:lineRule="auto"/>
        <w:ind w:firstLine="720"/>
        <w:rPr>
          <w:rFonts w:asciiTheme="minorHAnsi" w:eastAsia="SimSun" w:hAnsiTheme="minorHAnsi"/>
          <w:sz w:val="22"/>
          <w:szCs w:val="22"/>
          <w:lang w:eastAsia="en-GB"/>
        </w:rPr>
      </w:pPr>
      <w:r w:rsidRPr="00C44D8C">
        <w:rPr>
          <w:rFonts w:asciiTheme="minorHAnsi" w:eastAsia="SimSun" w:hAnsiTheme="minorHAnsi"/>
          <w:sz w:val="22"/>
          <w:szCs w:val="22"/>
          <w:lang w:eastAsia="en-GB"/>
        </w:rPr>
        <w:t xml:space="preserve">Chapter 4 combines </w:t>
      </w:r>
      <w:r w:rsidRPr="00C44D8C">
        <w:rPr>
          <w:rFonts w:asciiTheme="minorHAnsi" w:eastAsia="Calibri" w:hAnsiTheme="minorHAnsi" w:cs="Calibri"/>
          <w:sz w:val="22"/>
          <w:szCs w:val="22"/>
          <w:lang w:eastAsia="en-GB"/>
        </w:rPr>
        <w:t>Fourier transform infrared spectroscopy (FTIR), X-ray photoelectron spectroscopy (XPS), zeta potential analysis</w:t>
      </w:r>
      <w:r w:rsidRPr="00C44D8C">
        <w:rPr>
          <w:rFonts w:asciiTheme="minorHAnsi" w:eastAsia="SimSun" w:hAnsiTheme="minorHAnsi"/>
          <w:sz w:val="22"/>
          <w:szCs w:val="22"/>
          <w:lang w:eastAsia="en-GB"/>
        </w:rPr>
        <w:t xml:space="preserve"> and fluorescence microscopy to analyse changes to the cell surface of </w:t>
      </w:r>
      <w:r w:rsidRPr="00C44D8C">
        <w:rPr>
          <w:rFonts w:asciiTheme="minorHAnsi" w:eastAsia="SimSun" w:hAnsiTheme="minorHAnsi"/>
          <w:i/>
          <w:sz w:val="22"/>
          <w:szCs w:val="22"/>
          <w:lang w:eastAsia="en-GB"/>
        </w:rPr>
        <w:t xml:space="preserve">M. barkeri </w:t>
      </w:r>
      <w:r w:rsidRPr="00C44D8C">
        <w:rPr>
          <w:rFonts w:asciiTheme="minorHAnsi" w:eastAsia="SimSun" w:hAnsiTheme="minorHAnsi"/>
          <w:sz w:val="22"/>
          <w:szCs w:val="22"/>
          <w:lang w:eastAsia="en-GB"/>
        </w:rPr>
        <w:t>during biofilm formation on a good and poor biofilm carrier, as determined from chapter 3.</w:t>
      </w:r>
    </w:p>
    <w:p w14:paraId="18C1A727" w14:textId="77777777" w:rsidR="00436CD0" w:rsidRPr="00C44D8C" w:rsidRDefault="00436CD0" w:rsidP="00436CD0">
      <w:pPr>
        <w:autoSpaceDE w:val="0"/>
        <w:autoSpaceDN w:val="0"/>
        <w:adjustRightInd w:val="0"/>
        <w:spacing w:line="360" w:lineRule="auto"/>
        <w:ind w:firstLine="720"/>
        <w:rPr>
          <w:rFonts w:asciiTheme="minorHAnsi" w:eastAsia="SimSun" w:hAnsiTheme="minorHAnsi"/>
          <w:sz w:val="22"/>
          <w:szCs w:val="22"/>
          <w:lang w:eastAsia="en-GB"/>
        </w:rPr>
      </w:pPr>
      <w:r w:rsidRPr="00C44D8C">
        <w:rPr>
          <w:rFonts w:asciiTheme="minorHAnsi" w:eastAsia="SimSun" w:hAnsiTheme="minorHAnsi"/>
          <w:sz w:val="22"/>
          <w:szCs w:val="22"/>
          <w:lang w:eastAsia="en-GB"/>
        </w:rPr>
        <w:t xml:space="preserve">Chapter 5 applies a quantitative proteomic approach to examine the whole suite of proteins expressed by </w:t>
      </w:r>
      <w:r w:rsidRPr="00C44D8C">
        <w:rPr>
          <w:rFonts w:asciiTheme="minorHAnsi" w:eastAsia="SimSun" w:hAnsiTheme="minorHAnsi"/>
          <w:i/>
          <w:sz w:val="22"/>
          <w:szCs w:val="22"/>
          <w:lang w:eastAsia="en-GB"/>
        </w:rPr>
        <w:t xml:space="preserve">M. barkeri </w:t>
      </w:r>
      <w:r w:rsidRPr="00C44D8C">
        <w:rPr>
          <w:rFonts w:asciiTheme="minorHAnsi" w:eastAsia="SimSun" w:hAnsiTheme="minorHAnsi"/>
          <w:sz w:val="22"/>
          <w:szCs w:val="22"/>
          <w:lang w:eastAsia="en-GB"/>
        </w:rPr>
        <w:t>during biofilm formation upon attachment to either a good and poor biofilm carrier, along with enzyme assays to validate the results of the quantitative proteomics.</w:t>
      </w:r>
    </w:p>
    <w:p w14:paraId="583638BE" w14:textId="77777777" w:rsidR="00436CD0" w:rsidRDefault="00436CD0" w:rsidP="00FE1A56">
      <w:pPr>
        <w:autoSpaceDE w:val="0"/>
        <w:autoSpaceDN w:val="0"/>
        <w:adjustRightInd w:val="0"/>
        <w:spacing w:line="360" w:lineRule="auto"/>
        <w:ind w:firstLine="720"/>
        <w:rPr>
          <w:rFonts w:asciiTheme="minorHAnsi" w:eastAsia="SimSun" w:hAnsiTheme="minorHAnsi"/>
          <w:sz w:val="22"/>
          <w:szCs w:val="22"/>
          <w:lang w:eastAsia="en-GB"/>
        </w:rPr>
      </w:pPr>
      <w:r w:rsidRPr="00C44D8C">
        <w:rPr>
          <w:rFonts w:asciiTheme="minorHAnsi" w:eastAsia="SimSun" w:hAnsiTheme="minorHAnsi"/>
          <w:sz w:val="22"/>
          <w:szCs w:val="22"/>
          <w:lang w:eastAsia="en-GB"/>
        </w:rPr>
        <w:t>Finally, chapter 6 surmises the main conclusions of the thesis and an outline of future research directions of this work.</w:t>
      </w:r>
      <w:r w:rsidRPr="00C44D8C">
        <w:rPr>
          <w:rFonts w:asciiTheme="minorHAnsi" w:eastAsia="SimSun" w:hAnsiTheme="minorHAnsi"/>
          <w:sz w:val="22"/>
          <w:szCs w:val="22"/>
          <w:lang w:eastAsia="en-GB"/>
        </w:rPr>
        <w:tab/>
      </w:r>
    </w:p>
    <w:p w14:paraId="2A0D7F44" w14:textId="77777777" w:rsidR="00DF337D" w:rsidRDefault="00DF337D" w:rsidP="00FE1A56">
      <w:pPr>
        <w:autoSpaceDE w:val="0"/>
        <w:autoSpaceDN w:val="0"/>
        <w:adjustRightInd w:val="0"/>
        <w:spacing w:line="360" w:lineRule="auto"/>
        <w:ind w:firstLine="720"/>
        <w:rPr>
          <w:rFonts w:asciiTheme="minorHAnsi" w:eastAsia="SimSun" w:hAnsiTheme="minorHAnsi"/>
          <w:sz w:val="22"/>
          <w:szCs w:val="22"/>
          <w:lang w:eastAsia="en-GB"/>
        </w:rPr>
      </w:pPr>
    </w:p>
    <w:p w14:paraId="5E71362A" w14:textId="77777777" w:rsidR="00DF337D" w:rsidRDefault="00DF337D" w:rsidP="00FE1A56">
      <w:pPr>
        <w:autoSpaceDE w:val="0"/>
        <w:autoSpaceDN w:val="0"/>
        <w:adjustRightInd w:val="0"/>
        <w:spacing w:line="360" w:lineRule="auto"/>
        <w:ind w:firstLine="720"/>
        <w:rPr>
          <w:rFonts w:asciiTheme="minorHAnsi" w:eastAsia="SimSun" w:hAnsiTheme="minorHAnsi"/>
          <w:sz w:val="22"/>
          <w:szCs w:val="22"/>
          <w:lang w:eastAsia="en-GB"/>
        </w:rPr>
      </w:pPr>
    </w:p>
    <w:p w14:paraId="3837CF9C" w14:textId="77777777" w:rsidR="00DF337D" w:rsidRDefault="00DF337D" w:rsidP="00FE1A56">
      <w:pPr>
        <w:autoSpaceDE w:val="0"/>
        <w:autoSpaceDN w:val="0"/>
        <w:adjustRightInd w:val="0"/>
        <w:spacing w:line="360" w:lineRule="auto"/>
        <w:ind w:firstLine="720"/>
        <w:rPr>
          <w:rFonts w:asciiTheme="minorHAnsi" w:eastAsia="SimSun" w:hAnsiTheme="minorHAnsi"/>
          <w:sz w:val="22"/>
          <w:szCs w:val="22"/>
          <w:lang w:eastAsia="en-GB"/>
        </w:rPr>
      </w:pPr>
    </w:p>
    <w:p w14:paraId="50247228" w14:textId="77777777" w:rsidR="00DF337D" w:rsidRDefault="00DF337D" w:rsidP="00FE1A56">
      <w:pPr>
        <w:autoSpaceDE w:val="0"/>
        <w:autoSpaceDN w:val="0"/>
        <w:adjustRightInd w:val="0"/>
        <w:spacing w:line="360" w:lineRule="auto"/>
        <w:ind w:firstLine="720"/>
        <w:rPr>
          <w:rFonts w:asciiTheme="minorHAnsi" w:eastAsia="SimSun" w:hAnsiTheme="minorHAnsi"/>
          <w:sz w:val="22"/>
          <w:szCs w:val="22"/>
          <w:lang w:eastAsia="en-GB"/>
        </w:rPr>
      </w:pPr>
    </w:p>
    <w:p w14:paraId="36AB70A7" w14:textId="77777777" w:rsidR="00A9324D" w:rsidRDefault="00A9324D" w:rsidP="00FE1A56">
      <w:pPr>
        <w:autoSpaceDE w:val="0"/>
        <w:autoSpaceDN w:val="0"/>
        <w:adjustRightInd w:val="0"/>
        <w:spacing w:line="360" w:lineRule="auto"/>
        <w:ind w:firstLine="720"/>
        <w:rPr>
          <w:rFonts w:asciiTheme="minorHAnsi" w:eastAsia="SimSun" w:hAnsiTheme="minorHAnsi"/>
          <w:sz w:val="22"/>
          <w:szCs w:val="22"/>
          <w:lang w:eastAsia="en-GB"/>
        </w:rPr>
        <w:sectPr w:rsidR="00A9324D" w:rsidSect="00DF337D">
          <w:pgSz w:w="11906" w:h="16838"/>
          <w:pgMar w:top="1418" w:right="1418" w:bottom="1418" w:left="2268" w:header="708" w:footer="708" w:gutter="0"/>
          <w:cols w:space="708"/>
          <w:docGrid w:linePitch="360"/>
        </w:sectPr>
      </w:pPr>
    </w:p>
    <w:p w14:paraId="332BA5FE" w14:textId="39CFE680" w:rsidR="00436CD0" w:rsidRPr="00C44D8C" w:rsidRDefault="00436CD0" w:rsidP="00DF337D">
      <w:pPr>
        <w:pStyle w:val="Heading2"/>
        <w:jc w:val="right"/>
        <w:rPr>
          <w:lang w:eastAsia="en-GB"/>
        </w:rPr>
      </w:pPr>
      <w:bookmarkStart w:id="39" w:name="_Toc462575258"/>
      <w:r w:rsidRPr="00C44D8C">
        <w:rPr>
          <w:lang w:eastAsia="en-GB"/>
        </w:rPr>
        <w:lastRenderedPageBreak/>
        <w:t>Chapter 2</w:t>
      </w:r>
      <w:bookmarkEnd w:id="39"/>
    </w:p>
    <w:p w14:paraId="2C8BDA5D" w14:textId="6FAD8192"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_____________________</w:t>
      </w:r>
      <w:r w:rsidR="00FE1A56" w:rsidRPr="00C44D8C">
        <w:rPr>
          <w:rFonts w:asciiTheme="minorHAnsi" w:eastAsia="Calibri" w:hAnsiTheme="minorHAnsi" w:cs="Calibri"/>
          <w:color w:val="000000"/>
          <w:sz w:val="22"/>
          <w:szCs w:val="22"/>
          <w:lang w:eastAsia="en-GB"/>
        </w:rPr>
        <w:t>________________________</w:t>
      </w:r>
      <w:r w:rsidR="00DF337D">
        <w:rPr>
          <w:rFonts w:asciiTheme="minorHAnsi" w:eastAsia="Calibri" w:hAnsiTheme="minorHAnsi" w:cs="Calibri"/>
          <w:color w:val="000000"/>
          <w:sz w:val="22"/>
          <w:szCs w:val="22"/>
          <w:lang w:eastAsia="en-GB"/>
        </w:rPr>
        <w:t>______________________________</w:t>
      </w:r>
    </w:p>
    <w:p w14:paraId="0C44FA81" w14:textId="4E860CAD" w:rsidR="00436CD0" w:rsidRPr="00C44D8C" w:rsidRDefault="00DF337D" w:rsidP="00DF337D">
      <w:pPr>
        <w:pStyle w:val="Heading5"/>
        <w:rPr>
          <w:rFonts w:eastAsia="Arial" w:cs="Arial"/>
          <w:lang w:eastAsia="en-GB"/>
        </w:rPr>
      </w:pPr>
      <w:bookmarkStart w:id="40" w:name="_Toc462574727"/>
      <w:bookmarkStart w:id="41" w:name="_Toc462575259"/>
      <w:r>
        <w:rPr>
          <w:rFonts w:eastAsia="Calibri"/>
          <w:lang w:eastAsia="en-GB"/>
        </w:rPr>
        <w:t>Literature R</w:t>
      </w:r>
      <w:r w:rsidR="00436CD0" w:rsidRPr="00C44D8C">
        <w:rPr>
          <w:rFonts w:eastAsia="Calibri"/>
          <w:lang w:eastAsia="en-GB"/>
        </w:rPr>
        <w:t>eview</w:t>
      </w:r>
      <w:bookmarkEnd w:id="40"/>
      <w:bookmarkEnd w:id="41"/>
    </w:p>
    <w:p w14:paraId="4D4ADCBC" w14:textId="77777777" w:rsidR="00436CD0" w:rsidRPr="004A0746" w:rsidRDefault="00436CD0" w:rsidP="00436CD0">
      <w:pPr>
        <w:spacing w:line="360" w:lineRule="auto"/>
        <w:jc w:val="center"/>
        <w:rPr>
          <w:rFonts w:asciiTheme="minorHAnsi" w:eastAsia="Arial" w:hAnsiTheme="minorHAnsi" w:cs="Arial"/>
          <w:color w:val="000000"/>
          <w:szCs w:val="24"/>
          <w:lang w:eastAsia="en-GB"/>
        </w:rPr>
      </w:pPr>
      <w:r w:rsidRPr="004A0746">
        <w:rPr>
          <w:rFonts w:asciiTheme="minorHAnsi" w:eastAsia="Calibri" w:hAnsiTheme="minorHAnsi" w:cs="Calibri"/>
          <w:i/>
          <w:color w:val="000000"/>
          <w:szCs w:val="24"/>
          <w:highlight w:val="white"/>
          <w:lang w:eastAsia="en-GB"/>
        </w:rPr>
        <w:t xml:space="preserve">“Begin at the beginning," the King said, very gravely, </w:t>
      </w:r>
    </w:p>
    <w:p w14:paraId="4C030923" w14:textId="77777777" w:rsidR="00436CD0" w:rsidRPr="004A0746" w:rsidRDefault="00436CD0" w:rsidP="00436CD0">
      <w:pPr>
        <w:spacing w:line="360" w:lineRule="auto"/>
        <w:jc w:val="center"/>
        <w:rPr>
          <w:rFonts w:asciiTheme="minorHAnsi" w:eastAsia="Arial" w:hAnsiTheme="minorHAnsi" w:cs="Arial"/>
          <w:color w:val="000000"/>
          <w:szCs w:val="24"/>
          <w:lang w:eastAsia="en-GB"/>
        </w:rPr>
      </w:pPr>
      <w:r w:rsidRPr="004A0746">
        <w:rPr>
          <w:rFonts w:asciiTheme="minorHAnsi" w:eastAsia="Calibri" w:hAnsiTheme="minorHAnsi" w:cs="Calibri"/>
          <w:i/>
          <w:color w:val="000000"/>
          <w:szCs w:val="24"/>
          <w:highlight w:val="white"/>
          <w:lang w:eastAsia="en-GB"/>
        </w:rPr>
        <w:t>"and go on till you come to the end: then stop.”</w:t>
      </w:r>
      <w:r w:rsidRPr="004A0746">
        <w:rPr>
          <w:rFonts w:asciiTheme="minorHAnsi" w:eastAsia="Calibri" w:hAnsiTheme="minorHAnsi" w:cs="Calibri"/>
          <w:i/>
          <w:color w:val="000000"/>
          <w:szCs w:val="24"/>
          <w:highlight w:val="white"/>
          <w:lang w:eastAsia="en-GB"/>
        </w:rPr>
        <w:br/>
        <w:t xml:space="preserve"> ― </w:t>
      </w:r>
      <w:r w:rsidRPr="004A0746">
        <w:rPr>
          <w:rFonts w:asciiTheme="minorHAnsi" w:eastAsia="Calibri" w:hAnsiTheme="minorHAnsi" w:cs="Calibri"/>
          <w:color w:val="000000"/>
          <w:szCs w:val="24"/>
          <w:highlight w:val="white"/>
          <w:lang w:eastAsia="en-GB"/>
        </w:rPr>
        <w:t>Lewis Carroll, Alice in Wonderland</w:t>
      </w:r>
    </w:p>
    <w:p w14:paraId="46767DCA" w14:textId="529CAF11" w:rsidR="00436CD0" w:rsidRPr="00DF337D" w:rsidRDefault="00DF337D" w:rsidP="00DF337D">
      <w:pPr>
        <w:pStyle w:val="Heading1"/>
      </w:pPr>
      <w:bookmarkStart w:id="42" w:name="_Toc462575260"/>
      <w:r w:rsidRPr="00DF337D">
        <w:t xml:space="preserve">2.1. </w:t>
      </w:r>
      <w:r w:rsidR="00436CD0" w:rsidRPr="00DF337D">
        <w:t>Microbiology of anaerobic digestion</w:t>
      </w:r>
      <w:bookmarkEnd w:id="42"/>
      <w:r w:rsidR="00436CD0" w:rsidRPr="00DF337D">
        <w:t xml:space="preserve"> </w:t>
      </w:r>
    </w:p>
    <w:p w14:paraId="4AC47C88" w14:textId="6DEE2E0D" w:rsidR="00436CD0" w:rsidRPr="00C44D8C" w:rsidRDefault="00436CD0" w:rsidP="00436CD0">
      <w:pPr>
        <w:spacing w:line="360" w:lineRule="auto"/>
        <w:rPr>
          <w:rFonts w:asciiTheme="minorHAnsi" w:eastAsia="Calibri" w:hAnsiTheme="minorHAnsi" w:cs="Calibri"/>
          <w:color w:val="FF0000"/>
          <w:sz w:val="22"/>
          <w:szCs w:val="22"/>
          <w:lang w:eastAsia="en-GB"/>
        </w:rPr>
      </w:pPr>
      <w:r w:rsidRPr="00C44D8C">
        <w:rPr>
          <w:rFonts w:asciiTheme="minorHAnsi" w:eastAsia="Calibri" w:hAnsiTheme="minorHAnsi" w:cs="Calibri"/>
          <w:color w:val="000000"/>
          <w:sz w:val="22"/>
          <w:szCs w:val="22"/>
          <w:lang w:eastAsia="en-GB"/>
        </w:rPr>
        <w:t xml:space="preserve">AD is a complex multistage biochemical reaction that is carried out by a specialised consortium of syntrophic bacteria and methanogenic archaea in an oxygen-free environment </w:t>
      </w:r>
      <w:r w:rsidR="00386652">
        <w:rPr>
          <w:rFonts w:asciiTheme="minorHAnsi" w:eastAsia="Calibri" w:hAnsiTheme="minorHAnsi" w:cs="Calibri"/>
          <w:color w:val="000000"/>
          <w:sz w:val="22"/>
          <w:szCs w:val="22"/>
          <w:lang w:eastAsia="en-GB"/>
        </w:rPr>
        <w:fldChar w:fldCharType="begin" w:fldLock="1"/>
      </w:r>
      <w:r w:rsidR="00386652">
        <w:rPr>
          <w:rFonts w:asciiTheme="minorHAnsi" w:eastAsia="Calibri" w:hAnsiTheme="minorHAnsi" w:cs="Calibri"/>
          <w:color w:val="000000"/>
          <w:sz w:val="22"/>
          <w:szCs w:val="22"/>
          <w:lang w:eastAsia="en-GB"/>
        </w:rPr>
        <w:instrText>ADDIN CSL_CITATION { "citationItems" : [ { "id" : "ITEM-1", "itemData" : { "DOI" : "10.1016/j.pecs.2008.06.002", "ISBN" : "0360-1285", "ISSN" : "03601285", "abstract" : "When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slu\u2026", "author" : [ { "dropping-particle" : "", "family" : "Appels", "given" : "Lise", "non-dropping-particle" : "", "parse-names" : false, "suffix" : "" }, { "dropping-particle" : "", "family" : "Baeyens", "given" : "Jan", "non-dropping-particle" : "", "parse-names" : false, "suffix" : "" }, { "dropping-particle" : "", "family" : "Degr\u00e8ve", "given" : "Jan", "non-dropping-particle" : "", "parse-names" : false, "suffix" : "" }, { "dropping-particle" : "", "family" : "Dewil", "given" : "Raf", "non-dropping-particle" : "", "parse-names" : false, "suffix" : "" } ], "container-title" : "Progress in Energy and Combustion Science", "id" : "ITEM-1", "issue" : "6", "issued" : { "date-parts" : [ [ "2008" ] ] }, "page" : "755-781", "title" : "Principles and potential of the anaerobic digestion of waste-activated sludge", "type" : "article-journal", "volume" : "34" }, "uris" : [ "http://www.mendeley.com/documents/?uuid=283bd049-1ba3-4cbd-8f8b-c5afb230dd42" ] }, { "id" : "ITEM-2",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"ITEM-2", "issue" : "1", "issued" : { "date-parts" : [ [ "1995", "1" ] ] }, "page" : "3-28", "title" : "Anaerobic digestion and wastewater treatment systems.", "type" : "article-journal", "volume" : "67" }, "uris" : [ "http://www.mendeley.com/documents/?uuid=2c6b4f1b-c663-49cc-a188-61b592307d2d" ] } ], "mendeley" : { "formattedCitation" : "[12,16]", "plainTextFormattedCitation" : "[12,16]", "previouslyFormattedCitation" : "[12,16]"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[12,16]</w:t>
      </w:r>
      <w:r w:rsidR="0038665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Complex organic macromolecules are broken down into simple one-carbon substrates for the methanogenic archaea to convert into methane. This is one of the most complex natural biosystems known to currently exist </w:t>
      </w:r>
      <w:r w:rsidR="00386652">
        <w:rPr>
          <w:rFonts w:asciiTheme="minorHAnsi" w:eastAsia="Calibri" w:hAnsiTheme="minorHAnsi" w:cs="Calibri"/>
          <w:color w:val="000000"/>
          <w:sz w:val="22"/>
          <w:szCs w:val="22"/>
          <w:lang w:eastAsia="en-GB"/>
        </w:rPr>
        <w:fldChar w:fldCharType="begin" w:fldLock="1"/>
      </w:r>
      <w:r w:rsidR="00386652">
        <w:rPr>
          <w:rFonts w:asciiTheme="minorHAnsi" w:eastAsia="Calibri" w:hAnsiTheme="minorHAnsi" w:cs="Calibri"/>
          <w:color w:val="000000"/>
          <w:sz w:val="22"/>
          <w:szCs w:val="22"/>
          <w:lang w:eastAsia="en-GB"/>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"mendeley" : { "formattedCitation" : "[22]", "plainTextFormattedCitation" : "[22]", "previouslyFormattedCitation" : "[22]"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[22]</w:t>
      </w:r>
      <w:r w:rsidR="0038665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259E7AB4" w14:textId="47114F4D" w:rsidR="00A9324D" w:rsidRDefault="00436CD0" w:rsidP="00436CD0">
      <w:pPr>
        <w:spacing w:line="360" w:lineRule="auto"/>
        <w:ind w:firstLine="720"/>
        <w:rPr>
          <w:rFonts w:asciiTheme="minorHAnsi" w:eastAsia="Calibri" w:hAnsiTheme="minorHAnsi" w:cs="Calibri"/>
          <w:color w:val="000000"/>
          <w:sz w:val="22"/>
          <w:szCs w:val="22"/>
          <w:lang w:eastAsia="en-GB"/>
        </w:rPr>
        <w:sectPr w:rsidR="00A9324D"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en-GB"/>
        </w:rPr>
        <w:t>The decomposition of organic biomass occurs in four sequential steps: hydrolysis, acidogenesis, acetogenesis and methanogenesis (Fig. 2.1). These stages are linked, with the products of one stage serving as the substrate for the next. The first h</w:t>
      </w:r>
      <w:r w:rsidRPr="00C44D8C">
        <w:rPr>
          <w:rFonts w:asciiTheme="minorHAnsi" w:eastAsia="Calibri" w:hAnsiTheme="minorHAnsi" w:cs="Calibri"/>
          <w:color w:val="000000"/>
          <w:sz w:val="22"/>
          <w:szCs w:val="22"/>
          <w:highlight w:val="white"/>
          <w:lang w:eastAsia="en-GB"/>
        </w:rPr>
        <w:t xml:space="preserve">ydrolysis step involves the degradation of complex </w:t>
      </w:r>
      <w:r w:rsidRPr="00C44D8C">
        <w:rPr>
          <w:rFonts w:asciiTheme="minorHAnsi" w:eastAsia="Calibri" w:hAnsiTheme="minorHAnsi" w:cs="Calibri"/>
          <w:color w:val="000000"/>
          <w:sz w:val="22"/>
          <w:szCs w:val="22"/>
          <w:lang w:eastAsia="en-GB"/>
        </w:rPr>
        <w:t xml:space="preserve">macromolecules, such as proteins, polysaccharides and lipids into soluble organics, such as amino acids, simple sugars and fatty acids </w:t>
      </w:r>
      <w:r w:rsidR="00386652">
        <w:rPr>
          <w:rFonts w:asciiTheme="minorHAnsi" w:eastAsia="Calibri" w:hAnsiTheme="minorHAnsi" w:cs="Calibri"/>
          <w:color w:val="000000"/>
          <w:sz w:val="22"/>
          <w:szCs w:val="22"/>
          <w:lang w:eastAsia="en-GB"/>
        </w:rPr>
        <w:fldChar w:fldCharType="begin" w:fldLock="1"/>
      </w:r>
      <w:r w:rsidR="00386652">
        <w:rPr>
          <w:rFonts w:asciiTheme="minorHAnsi" w:eastAsia="Calibri" w:hAnsiTheme="minorHAnsi" w:cs="Calibri"/>
          <w:color w:val="000000"/>
          <w:sz w:val="22"/>
          <w:szCs w:val="22"/>
          <w:lang w:eastAsia="en-GB"/>
        </w:rPr>
        <w:instrText>ADDIN CSL_CITATION { "citationItems" : [ { "id" : "ITEM-1", "itemData" : { "DOI" : "10.1016/j.pecs.2008.06.002", "ISBN" : "0360-1285", "ISSN" : "03601285", "abstract" : "When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slu\u2026", "author" : [ { "dropping-particle" : "", "family" : "Appels", "given" : "Lise", "non-dropping-particle" : "", "parse-names" : false, "suffix" : "" }, { "dropping-particle" : "", "family" : "Baeyens", "given" : "Jan", "non-dropping-particle" : "", "parse-names" : false, "suffix" : "" }, { "dropping-particle" : "", "family" : "Degr\u00e8ve", "given" : "Jan", "non-dropping-particle" : "", "parse-names" : false, "suffix" : "" }, { "dropping-particle" : "", "family" : "Dewil", "given" : "Raf", "non-dropping-particle" : "", "parse-names" : false, "suffix" : "" } ], "container-title" : "Progress in Energy and Combustion Science", "id" : "ITEM-1", "issue" : "6", "issued" : { "date-parts" : [ [ "2008" ] ] }, "page" : "755-781", "title" : "Principles and potential of the anaerobic digestion of waste-activated sludge", "type" : "article-journal", "volume" : "34" }, "uris" : [ "http://www.mendeley.com/documents/?uuid=283bd049-1ba3-4cbd-8f8b-c5afb230dd42" ] } ], "mendeley" : { "formattedCitation" : "[12]", "plainTextFormattedCitation" : "[12]", "previouslyFormattedCitation" : "[12]"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[12]</w:t>
      </w:r>
      <w:r w:rsidR="0038665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This is followed by an acidogenesis step, in which the products from hydrolysis are converted into volatile fatty acids (VFA) by acidogenic bacteria, as well as gaseous by-products, such as carbon dioxide (CO</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hydrogen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and hydrogen sulphide</w:t>
      </w:r>
      <w:r w:rsidRPr="00C44D8C">
        <w:rPr>
          <w:rFonts w:asciiTheme="minorHAnsi" w:eastAsia="Calibri" w:hAnsiTheme="minorHAnsi" w:cs="Calibri"/>
          <w:color w:val="000000"/>
          <w:sz w:val="22"/>
          <w:szCs w:val="22"/>
          <w:vertAlign w:val="subscript"/>
          <w:lang w:eastAsia="en-GB"/>
        </w:rPr>
        <w:t xml:space="preserve">. </w:t>
      </w:r>
      <w:r w:rsidRPr="00C44D8C">
        <w:rPr>
          <w:rFonts w:asciiTheme="minorHAnsi" w:eastAsia="Calibri" w:hAnsiTheme="minorHAnsi" w:cs="Calibri"/>
          <w:color w:val="000000"/>
          <w:sz w:val="22"/>
          <w:szCs w:val="22"/>
          <w:lang w:eastAsia="en-GB"/>
        </w:rPr>
        <w:t xml:space="preserve">The production of VFAs in this step </w:t>
      </w:r>
      <w:r w:rsidR="00107331">
        <w:rPr>
          <w:rFonts w:asciiTheme="minorHAnsi" w:eastAsia="Calibri" w:hAnsiTheme="minorHAnsi" w:cs="Calibri"/>
          <w:color w:val="000000"/>
          <w:sz w:val="22"/>
          <w:szCs w:val="22"/>
          <w:lang w:eastAsia="en-GB"/>
        </w:rPr>
        <w:t>can often lead</w:t>
      </w:r>
      <w:r w:rsidRPr="00C44D8C">
        <w:rPr>
          <w:rFonts w:asciiTheme="minorHAnsi" w:eastAsia="Calibri" w:hAnsiTheme="minorHAnsi" w:cs="Calibri"/>
          <w:color w:val="000000"/>
          <w:sz w:val="22"/>
          <w:szCs w:val="22"/>
          <w:lang w:eastAsia="en-GB"/>
        </w:rPr>
        <w:t xml:space="preserve"> to a lowering of the pH due to the accumulation of VFAs </w:t>
      </w:r>
      <w:r w:rsidR="00386652">
        <w:rPr>
          <w:rFonts w:asciiTheme="minorHAnsi" w:eastAsia="Calibri" w:hAnsiTheme="minorHAnsi" w:cs="Calibri"/>
          <w:color w:val="000000"/>
          <w:sz w:val="22"/>
          <w:szCs w:val="22"/>
          <w:lang w:eastAsia="en-GB"/>
        </w:rPr>
        <w:fldChar w:fldCharType="begin" w:fldLock="1"/>
      </w:r>
      <w:r w:rsidR="00386652">
        <w:rPr>
          <w:rFonts w:asciiTheme="minorHAnsi" w:eastAsia="Calibri" w:hAnsiTheme="minorHAnsi" w:cs="Calibri"/>
          <w:color w:val="000000"/>
          <w:sz w:val="22"/>
          <w:szCs w:val="22"/>
          <w:lang w:eastAsia="en-GB"/>
        </w:rPr>
        <w:instrText>ADDIN CSL_CITATION { "citationItems" : [ { "id" : "ITEM-1", "itemData" : { "DOI" : "10.1016/j.biortech.2007.01.057", "ISBN" : "0960-8524 (Print)\\n0960-8524 (Linking)", "ISSN" : "09608524", "PMID" : "17399981", "abstract" : "Anaerobic digestion is an attractive waste treatment practice in which both pollution control and energy recovery can be achieved. Many agricultural and industrial wastes are ideal candidates for anaerobic digestion because they contain high levels of easily biodegradable materials. Problems such as low methane yield and process instability are often encountered in anaerobic digestion, preventing this technique from being widely applied. A wide variety of inhibitory substances are the primary cause of anaerobic digester upset or failure since they are present in substantial concentrations in wastes. Considerable research efforts have been made to identify the mechanism and the controlling factors of inhibition. This review provides a detailed summary of the research conducted on the inhibition of anaerobic processes. The inhibitors commonly present in anaerobic digesters include ammonia, sulfide, light metal ions, heavy metals, and organics. Due to the difference in anaerobic inocula, waste composition, and experimental methods and conditions, literature results on inhibition caused by specific toxicants vary widely. Co-digestion with other waste, adaptation of microorganisms to inhibitory substances, and incorporation of methods to remove or counteract toxicants before anaerobic digestion can significantly improve the waste treatment efficiency. \u00a9 2007 Elsevier Ltd. All rights reserved.", "author" : [ { "dropping-particle" : "", "family" : "Chen", "given" : "Ye", "non-dropping-particle" : "", "parse-names" : false, "suffix" : "" }, { "dropping-particle" : "", "family" : "Cheng", "given" : "Jay J.", "non-dropping-particle" : "", "parse-names" : false, "suffix" : "" }, { "dropping-particle" : "", "family" : "Creamer", "given" : "Kurt S.", "non-dropping-particle" : "", "parse-names" : false, "suffix" : "" } ], "container-title" : "Bioresource Technology", "id" : "ITEM-1", "issue" : "10", "issued" : { "date-parts" : [ [ "2008" ] ] }, "page" : "4044-4064", "title" : "Inhibition of anaerobic digestion process: A review", "type" : "article-journal", "volume" : "99" }, "uris" : [ "http://www.mendeley.com/documents/?uuid=a2ede15b-da90-4fff-a4cc-8323031fbf85" ] } ], "mendeley" : { "formattedCitation" : "[15]", "plainTextFormattedCitation" : "[15]", "previouslyFormattedCitation" : "[15]"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[15]</w:t>
      </w:r>
      <w:r w:rsidR="0038665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2F540FB0"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46EA8D28" w14:textId="77777777" w:rsidR="00436CD0" w:rsidRPr="00C44D8C" w:rsidRDefault="00FE1A56" w:rsidP="00436CD0">
      <w:pPr>
        <w:spacing w:line="360" w:lineRule="auto"/>
        <w:jc w:val="center"/>
        <w:rPr>
          <w:rFonts w:asciiTheme="minorHAnsi" w:eastAsia="Arial" w:hAnsiTheme="minorHAnsi" w:cs="Arial"/>
          <w:color w:val="000000"/>
          <w:sz w:val="22"/>
          <w:szCs w:val="22"/>
          <w:lang w:eastAsia="en-GB"/>
        </w:rPr>
      </w:pPr>
      <w:r w:rsidRPr="00C44D8C">
        <w:rPr>
          <w:rFonts w:asciiTheme="minorHAnsi" w:eastAsia="Calibri" w:hAnsiTheme="minorHAnsi" w:cs="Calibri"/>
          <w:noProof/>
          <w:color w:val="000000"/>
          <w:sz w:val="22"/>
          <w:szCs w:val="22"/>
          <w:lang w:eastAsia="en-GB"/>
        </w:rPr>
        <mc:AlternateContent>
          <mc:Choice Requires="wps">
            <w:drawing>
              <wp:anchor distT="0" distB="0" distL="114300" distR="114300" simplePos="0" relativeHeight="251631616" behindDoc="0" locked="0" layoutInCell="1" allowOverlap="1" wp14:anchorId="43806528" wp14:editId="01E4946D">
                <wp:simplePos x="0" y="0"/>
                <wp:positionH relativeFrom="column">
                  <wp:posOffset>1442720</wp:posOffset>
                </wp:positionH>
                <wp:positionV relativeFrom="paragraph">
                  <wp:posOffset>775970</wp:posOffset>
                </wp:positionV>
                <wp:extent cx="1970405" cy="292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970405" cy="292100"/>
                        </a:xfrm>
                        <a:prstGeom prst="rect">
                          <a:avLst/>
                        </a:prstGeom>
                        <a:solidFill>
                          <a:sysClr val="window" lastClr="FFFFFF"/>
                        </a:solidFill>
                        <a:ln w="6350">
                          <a:noFill/>
                        </a:ln>
                        <a:effectLst/>
                      </wps:spPr>
                      <wps:txbx>
                        <w:txbxContent>
                          <w:p w14:paraId="0C798DDA" w14:textId="77777777" w:rsidR="007715D2" w:rsidRPr="00C82D6F" w:rsidRDefault="007715D2" w:rsidP="00436CD0">
                            <w:pPr>
                              <w:jc w:val="center"/>
                            </w:pPr>
                            <w:r>
                              <w:t>Soluble organics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3806528" id="_x0000_t202" coordsize="21600,21600" o:spt="202" path="m,l,21600r21600,l21600,xe">
                <v:stroke joinstyle="miter"/>
                <v:path gradientshapeok="t" o:connecttype="rect"/>
              </v:shapetype>
              <v:shape id="Text Box 8" o:spid="_x0000_s1026" type="#_x0000_t202" style="position:absolute;left:0;text-align:left;margin-left:113.6pt;margin-top:61.1pt;width:155.15pt;height:2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" fillcolor="window" stroked="f" strokeweight=".5pt">
                <v:textbox>
                  <w:txbxContent>
                    <w:p w14:paraId="0C798DDA" w14:textId="77777777" w:rsidR="007715D2" w:rsidRPr="00C82D6F" w:rsidRDefault="007715D2" w:rsidP="00436CD0">
                      <w:pPr>
                        <w:jc w:val="center"/>
                      </w:pPr>
                      <w:r>
                        <w:t>Soluble organics</w:t>
                      </w:r>
                    </w:p>
                  </w:txbxContent>
                </v:textbox>
              </v:shape>
            </w:pict>
          </mc:Fallback>
        </mc:AlternateContent>
      </w:r>
      <w:r w:rsidRPr="00C44D8C">
        <w:rPr>
          <w:rFonts w:asciiTheme="minorHAnsi" w:eastAsia="Calibri" w:hAnsiTheme="minorHAnsi" w:cs="Calibri"/>
          <w:noProof/>
          <w:color w:val="000000"/>
          <w:sz w:val="22"/>
          <w:szCs w:val="22"/>
          <w:lang w:eastAsia="en-GB"/>
        </w:rPr>
        <mc:AlternateContent>
          <mc:Choice Requires="wps">
            <w:drawing>
              <wp:anchor distT="0" distB="0" distL="114300" distR="114300" simplePos="0" relativeHeight="251623424" behindDoc="0" locked="0" layoutInCell="1" allowOverlap="1" wp14:anchorId="64072ABD" wp14:editId="01FF8AE7">
                <wp:simplePos x="0" y="0"/>
                <wp:positionH relativeFrom="column">
                  <wp:posOffset>1442899</wp:posOffset>
                </wp:positionH>
                <wp:positionV relativeFrom="paragraph">
                  <wp:posOffset>78105</wp:posOffset>
                </wp:positionV>
                <wp:extent cx="2034540" cy="283210"/>
                <wp:effectExtent l="0" t="0" r="3810" b="2540"/>
                <wp:wrapNone/>
                <wp:docPr id="5" name="Text Box 5"/>
                <wp:cNvGraphicFramePr/>
                <a:graphic xmlns:a="http://schemas.openxmlformats.org/drawingml/2006/main">
                  <a:graphicData uri="http://schemas.microsoft.com/office/word/2010/wordprocessingShape">
                    <wps:wsp>
                      <wps:cNvSpPr txBox="1"/>
                      <wps:spPr>
                        <a:xfrm>
                          <a:off x="0" y="0"/>
                          <a:ext cx="2034540" cy="283210"/>
                        </a:xfrm>
                        <a:prstGeom prst="rect">
                          <a:avLst/>
                        </a:prstGeom>
                        <a:solidFill>
                          <a:sysClr val="window" lastClr="FFFFFF"/>
                        </a:solidFill>
                        <a:ln w="6350">
                          <a:noFill/>
                        </a:ln>
                        <a:effectLst/>
                      </wps:spPr>
                      <wps:txbx>
                        <w:txbxContent>
                          <w:p w14:paraId="704FA7FA" w14:textId="77777777" w:rsidR="007715D2" w:rsidRPr="00C82D6F" w:rsidRDefault="007715D2" w:rsidP="00436CD0">
                            <w:pPr>
                              <w:jc w:val="center"/>
                            </w:pPr>
                            <w:r w:rsidRPr="00C82D6F">
                              <w:t>Organic macromolecules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4072ABD" id="Text Box 5" o:spid="_x0000_s1027" type="#_x0000_t202" style="position:absolute;left:0;text-align:left;margin-left:113.6pt;margin-top:6.15pt;width:160.2pt;height:22.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" fillcolor="window" stroked="f" strokeweight=".5pt">
                <v:textbox>
                  <w:txbxContent>
                    <w:p w14:paraId="704FA7FA" w14:textId="77777777" w:rsidR="007715D2" w:rsidRPr="00C82D6F" w:rsidRDefault="007715D2" w:rsidP="00436CD0">
                      <w:pPr>
                        <w:jc w:val="center"/>
                      </w:pPr>
                      <w:r w:rsidRPr="00C82D6F">
                        <w:t>Organic macromolecules</w:t>
                      </w:r>
                    </w:p>
                  </w:txbxContent>
                </v:textbox>
              </v:shape>
            </w:pict>
          </mc:Fallback>
        </mc:AlternateContent>
      </w:r>
      <w:r w:rsidR="00436CD0" w:rsidRPr="00C44D8C">
        <w:rPr>
          <w:rFonts w:asciiTheme="minorHAnsi" w:eastAsia="Calibri" w:hAnsiTheme="minorHAnsi" w:cs="Calibri"/>
          <w:noProof/>
          <w:color w:val="000000"/>
          <w:sz w:val="22"/>
          <w:szCs w:val="22"/>
          <w:lang w:eastAsia="en-GB"/>
        </w:rPr>
        <w:drawing>
          <wp:inline distT="0" distB="0" distL="0" distR="0" wp14:anchorId="6A7665DE" wp14:editId="5B2ED9E7">
            <wp:extent cx="4121592" cy="359863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 process.tif"/>
                    <pic:cNvPicPr/>
                  </pic:nvPicPr>
                  <pic:blipFill>
                    <a:blip r:embed="rId12">
                      <a:extLst>
                        <a:ext uri="{28A0092B-C50C-407E-A947-70E740481C1C}">
                          <a14:useLocalDpi xmlns:a14="http://schemas.microsoft.com/office/drawing/2010/main" val="0"/>
                        </a:ext>
                      </a:extLst>
                    </a:blip>
                    <a:stretch>
                      <a:fillRect/>
                    </a:stretch>
                  </pic:blipFill>
                  <pic:spPr>
                    <a:xfrm>
                      <a:off x="0" y="0"/>
                      <a:ext cx="4133564" cy="3609089"/>
                    </a:xfrm>
                    <a:prstGeom prst="rect">
                      <a:avLst/>
                    </a:prstGeom>
                  </pic:spPr>
                </pic:pic>
              </a:graphicData>
            </a:graphic>
          </wp:inline>
        </w:drawing>
      </w:r>
      <w:r w:rsidR="00436CD0" w:rsidRPr="00C44D8C">
        <w:rPr>
          <w:rFonts w:asciiTheme="minorHAnsi" w:eastAsia="Calibri" w:hAnsiTheme="minorHAnsi" w:cs="Calibri"/>
          <w:color w:val="000000"/>
          <w:sz w:val="22"/>
          <w:szCs w:val="22"/>
          <w:highlight w:val="white"/>
          <w:lang w:eastAsia="en-GB"/>
        </w:rPr>
        <w:t xml:space="preserve">   </w:t>
      </w:r>
    </w:p>
    <w:p w14:paraId="2F36168B" w14:textId="3C02776B" w:rsidR="00436CD0" w:rsidRPr="00C44D8C" w:rsidRDefault="00436CD0" w:rsidP="00436CD0">
      <w:pPr>
        <w:spacing w:line="360" w:lineRule="auto"/>
        <w:ind w:left="720"/>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Fig. 2.1</w:t>
      </w:r>
      <w:r w:rsidRPr="00C44D8C">
        <w:rPr>
          <w:rFonts w:asciiTheme="minorHAnsi" w:eastAsia="Calibri" w:hAnsiTheme="minorHAnsi" w:cs="Calibri"/>
          <w:color w:val="000000"/>
          <w:sz w:val="22"/>
          <w:szCs w:val="22"/>
          <w:lang w:eastAsia="en-GB"/>
        </w:rPr>
        <w:t xml:space="preserve"> Biochemical steps involved in anaerobic </w:t>
      </w:r>
      <w:r w:rsidRPr="00386652">
        <w:rPr>
          <w:rFonts w:asciiTheme="minorHAnsi" w:eastAsia="Calibri" w:hAnsiTheme="minorHAnsi" w:cs="Calibri"/>
          <w:color w:val="000000"/>
          <w:sz w:val="22"/>
          <w:szCs w:val="22"/>
          <w:lang w:eastAsia="en-GB"/>
        </w:rPr>
        <w:t xml:space="preserve">digestion (adapted from </w:t>
      </w:r>
      <w:r w:rsidR="00386652">
        <w:rPr>
          <w:rFonts w:asciiTheme="minorHAnsi" w:eastAsia="Calibri" w:hAnsiTheme="minorHAnsi" w:cs="Calibri"/>
          <w:color w:val="000000"/>
          <w:sz w:val="22"/>
          <w:szCs w:val="22"/>
          <w:lang w:eastAsia="en-GB"/>
        </w:rPr>
        <w:fldChar w:fldCharType="begin" w:fldLock="1"/>
      </w:r>
      <w:r w:rsidR="00386652">
        <w:rPr>
          <w:rFonts w:asciiTheme="minorHAnsi" w:eastAsia="Calibri" w:hAnsiTheme="minorHAnsi" w:cs="Calibri"/>
          <w:color w:val="000000"/>
          <w:sz w:val="22"/>
          <w:szCs w:val="22"/>
          <w:lang w:eastAsia="en-GB"/>
        </w:rPr>
        <w:instrText>ADDIN CSL_CITATION { "citationItems" : [ { "id" : "ITEM-1", "itemData" : { "DOI" : "10.1016/j.pecs.2008.06.002", "ISBN" : "0360-1285", "ISSN" : "03601285", "abstract" : "When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slu\u2026", "author" : [ { "dropping-particle" : "", "family" : "Appels", "given" : "Lise", "non-dropping-particle" : "", "parse-names" : false, "suffix" : "" }, { "dropping-particle" : "", "family" : "Baeyens", "given" : "Jan", "non-dropping-particle" : "", "parse-names" : false, "suffix" : "" }, { "dropping-particle" : "", "family" : "Degr\u00e8ve", "given" : "Jan", "non-dropping-particle" : "", "parse-names" : false, "suffix" : "" }, { "dropping-particle" : "", "family" : "Dewil", "given" : "Raf", "non-dropping-particle" : "", "parse-names" : false, "suffix" : "" } ], "container-title" : "Progress in Energy and Combustion Science", "id" : "ITEM-1", "issue" : "6", "issued" : { "date-parts" : [ [ "2008" ] ] }, "page" : "755-781", "title" : "Principles and potential of the anaerobic digestion of waste-activated sludge", "type" : "article-journal", "volume" : "34" }, "uris" : [ "http://www.mendeley.com/documents/?uuid=283bd049-1ba3-4cbd-8f8b-c5afb230dd42" ] } ], "mendeley" : { "formattedCitation" : "[12]", "plainTextFormattedCitation" : "[12]", "previouslyFormattedCitation" : "[12]"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[12]</w:t>
      </w:r>
      <w:r w:rsidR="00386652">
        <w:rPr>
          <w:rFonts w:asciiTheme="minorHAnsi" w:eastAsia="Calibri" w:hAnsiTheme="minorHAnsi" w:cs="Calibri"/>
          <w:color w:val="000000"/>
          <w:sz w:val="22"/>
          <w:szCs w:val="22"/>
          <w:lang w:eastAsia="en-GB"/>
        </w:rPr>
        <w:fldChar w:fldCharType="end"/>
      </w:r>
      <w:r w:rsidR="00386652">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w:t>
      </w:r>
    </w:p>
    <w:p w14:paraId="490B9243" w14:textId="77777777" w:rsidR="00436CD0" w:rsidRPr="00C44D8C" w:rsidRDefault="00436CD0" w:rsidP="00436CD0">
      <w:pPr>
        <w:spacing w:line="360" w:lineRule="auto"/>
        <w:rPr>
          <w:rFonts w:asciiTheme="minorHAnsi" w:eastAsia="Arial" w:hAnsiTheme="minorHAnsi" w:cs="Arial"/>
          <w:color w:val="000000"/>
          <w:sz w:val="22"/>
          <w:szCs w:val="22"/>
          <w:lang w:eastAsia="en-GB"/>
        </w:rPr>
      </w:pPr>
    </w:p>
    <w:p w14:paraId="5BF6DDEB" w14:textId="532EBBCF"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VFAs produced by acidogenesis are consequently broken down further into mainly acetic acid, as well as CO</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xml:space="preserve"> and H</w:t>
      </w:r>
      <w:r w:rsidRPr="00C44D8C">
        <w:rPr>
          <w:rFonts w:asciiTheme="minorHAnsi" w:eastAsia="Calibri" w:hAnsiTheme="minorHAnsi" w:cs="Calibri"/>
          <w:color w:val="000000"/>
          <w:sz w:val="22"/>
          <w:szCs w:val="22"/>
          <w:vertAlign w:val="subscript"/>
          <w:lang w:eastAsia="en-GB"/>
        </w:rPr>
        <w:t xml:space="preserve">2 </w:t>
      </w:r>
      <w:r w:rsidRPr="00C44D8C">
        <w:rPr>
          <w:rFonts w:asciiTheme="minorHAnsi" w:eastAsia="Calibri" w:hAnsiTheme="minorHAnsi" w:cs="Calibri"/>
          <w:color w:val="000000"/>
          <w:sz w:val="22"/>
          <w:szCs w:val="22"/>
          <w:lang w:eastAsia="en-GB"/>
        </w:rPr>
        <w:t>in the acetogenesis step. This involves the action of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-producing acetogenic bacteria, whose activity is inhibited by high partial pressures of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These bacteria are only able to convert VFAs into acetic acid at very low partial pressures of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in the range of 2.6-74 Pa</w:t>
      </w:r>
      <w:r w:rsidR="00386652">
        <w:rPr>
          <w:rFonts w:asciiTheme="minorHAnsi" w:eastAsia="Calibri" w:hAnsiTheme="minorHAnsi" w:cs="Calibri"/>
          <w:color w:val="000000"/>
          <w:sz w:val="22"/>
          <w:szCs w:val="22"/>
          <w:lang w:eastAsia="en-GB"/>
        </w:rPr>
        <w:t xml:space="preserve"> </w:t>
      </w:r>
      <w:r w:rsidR="00386652">
        <w:rPr>
          <w:rFonts w:asciiTheme="minorHAnsi" w:eastAsia="Calibri" w:hAnsiTheme="minorHAnsi" w:cs="Calibri"/>
          <w:color w:val="000000"/>
          <w:sz w:val="22"/>
          <w:szCs w:val="22"/>
          <w:lang w:eastAsia="en-GB"/>
        </w:rPr>
        <w:fldChar w:fldCharType="begin" w:fldLock="1"/>
      </w:r>
      <w:r w:rsidR="00386652">
        <w:rPr>
          <w:rFonts w:asciiTheme="minorHAnsi" w:eastAsia="Calibri" w:hAnsiTheme="minorHAnsi" w:cs="Calibri"/>
          <w:color w:val="000000"/>
          <w:sz w:val="22"/>
          <w:szCs w:val="22"/>
          <w:lang w:eastAsia="en-GB"/>
        </w:rPr>
        <w:instrText>ADDIN CSL_CITATION { "citationItems" : [ { "id" : "ITEM-1", "itemData" : { "DOI" : "10.1007/s00253-009-2246-7", "ISSN" : "1432-0614", "PMID" : "19777226", "abstract" : "Anaerobic digestion of energy crops, residues, and wastes is of increasing interest in order to reduce the greenhouse gas emissions and to facilitate a sustainable development of energy supply. Production of biogas provides a versatile carrier of renewable energy, as methane can be used for replacement of fossil fuels in both heat and power generation and as a vehicle fuel. For biogas production, various process types are applied which can be classified in wet and dry fermentation systems. Most often applied are wet digester systems using vertical stirred tank digester with different stirrer types dependent on the origin of the feedstock. Biogas is mainly utilized in engine-based combined heat and power plants, whereas microgas turbines and fuel cells are expensive alternatives which need further development work for reducing the costs and increasing their reliability. Gas upgrading and utilization as renewable vehicle fuel or injection into the natural gas grid is of increasing interest because the gas can be used in a more efficient way. The digestate from anaerobic fermentation is a valuable fertilizer due to the increased availability of nitrogen and the better short-term fertilization effect. Anaerobic treatment minimizes the survival of pathogens which is important for using the digested residue as fertilizer. This paper reviews the current state and perspectives of biogas production, including the biochemical parameters and feedstocks which influence the efficiency and reliability of the microbial conversion and gas yield.", "author" : [ { "dropping-particle" : "", "family" : "Weiland", "given" : "Peter", "non-dropping-particle" : "", "parse-names" : false, "suffix" : "" } ], "container-title" : "Applied microbiology and biotechnology", "id" : "ITEM-1", "issue" : "4", "issued" : { "date-parts" : [ [ "2010", "1" ] ] }, "page" : "849-60", "title" : "Biogas production: current state and perspectives.", "type" : "article-journal", "volume" : "85" }, "uris" : [ "http://www.mendeley.com/documents/?uuid=48302505-79da-4ea8-8c68-ac6093ec10e0" ] } ], "mendeley" : { "formattedCitation" : "[26]", "plainTextFormattedCitation" : "[26]", "previouslyFormattedCitation" : "[26]"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[26]</w:t>
      </w:r>
      <w:r w:rsidR="0038665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As a result, a symbiotic relationship exists between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-producing acetogenic bacteria and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-consuming acetogenic bacteria, which are able to consume H</w:t>
      </w:r>
      <w:r w:rsidRPr="00C44D8C">
        <w:rPr>
          <w:rFonts w:asciiTheme="minorHAnsi" w:eastAsia="Calibri" w:hAnsiTheme="minorHAnsi" w:cs="Calibri"/>
          <w:color w:val="000000"/>
          <w:sz w:val="22"/>
          <w:szCs w:val="22"/>
          <w:vertAlign w:val="subscript"/>
          <w:lang w:eastAsia="en-GB"/>
        </w:rPr>
        <w:t xml:space="preserve">2 </w:t>
      </w:r>
      <w:r w:rsidRPr="00C44D8C">
        <w:rPr>
          <w:rFonts w:asciiTheme="minorHAnsi" w:eastAsia="Calibri" w:hAnsiTheme="minorHAnsi" w:cs="Calibri"/>
          <w:color w:val="000000"/>
          <w:sz w:val="22"/>
          <w:szCs w:val="22"/>
          <w:lang w:eastAsia="en-GB"/>
        </w:rPr>
        <w:t>in the environment and thus, maintain low partial pressures of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xml:space="preserve"> for acetogenesis to occur</w:t>
      </w:r>
      <w:r w:rsidR="00386652">
        <w:rPr>
          <w:rFonts w:asciiTheme="minorHAnsi" w:eastAsia="Calibri" w:hAnsiTheme="minorHAnsi" w:cs="Calibri"/>
          <w:color w:val="000000"/>
          <w:sz w:val="22"/>
          <w:szCs w:val="22"/>
          <w:lang w:eastAsia="en-GB"/>
        </w:rPr>
        <w:t xml:space="preserve"> </w:t>
      </w:r>
      <w:r w:rsidR="00386652">
        <w:rPr>
          <w:rFonts w:asciiTheme="minorHAnsi" w:eastAsia="Calibri" w:hAnsiTheme="minorHAnsi" w:cs="Calibri"/>
          <w:color w:val="000000"/>
          <w:sz w:val="22"/>
          <w:szCs w:val="22"/>
          <w:lang w:eastAsia="en-GB"/>
        </w:rPr>
        <w:fldChar w:fldCharType="begin" w:fldLock="1"/>
      </w:r>
      <w:r w:rsidR="00386652">
        <w:rPr>
          <w:rFonts w:asciiTheme="minorHAnsi" w:eastAsia="Calibri" w:hAnsiTheme="minorHAnsi" w:cs="Calibri"/>
          <w:color w:val="000000"/>
          <w:sz w:val="22"/>
          <w:szCs w:val="22"/>
          <w:lang w:eastAsia="en-GB"/>
        </w:rPr>
        <w:instrText>ADDIN CSL_CITATION { "citationItems" : [ { "id" : "ITEM-1", "itemData" : { "DOI" : "10.2166/wst.2012.192", "ISBN" : "0273-1223 (Print)\\n0273-1223 (Linking)", "ISSN" : "02731223", "PMID" : "22699340", "abstract" : "Anaerobic purification is a cost-effective way to treat high strength industrial wastewater. Through anaerobic treatment of wastewaters energy is conserved as methane, and less sludge is produced. For high-rate methanogenesis compact syntrophic communities of fatty acid-degrading bacteria and methanogenic archaea are essential. Here, we describe the microbiology of syntrophic communities in methanogenic reactor sludges and provide information on which microbiological factors are essential to obtain high volumetric methane production rates. Fatty-acid degrading bacteria have been isolated from bioreactor sludges, but also from other sources such as freshwater sediments. Despite the important role that fatty acid-degrading bacteria play in high-rate methanogenic bioreactors, their relative numbers are generally low. This finding indicates that the microbial community composition can be further optimized to achieve even higher rates.", "author" : [ { "dropping-particle" : "", "family" : "Stams", "given" : "Alfons J M", "non-dropping-particle" : "", "parse-names" : false, "suffix" : "" }, { "dropping-particle" : "", "family" : "Sousa", "given" : "Diana Z.", "non-dropping-particle" : "", "parse-names" : false, "suffix" : "" }, { "dropping-particle" : "", "family" : "Kleerebezem", "given" : "Robbert", "non-dropping-particle" : "", "parse-names" : false, "suffix" : "" }, { "dropping-particle" : "", "family" : "Plugge", "given" : "Caroline M.", "non-dropping-particle" : "", "parse-names" : false, "suffix" : "" } ], "container-title" : "Water Science and Technology", "id" : "ITEM-1", "issued" : { "date-parts" : [ [ "2012" ] ] }, "page" : "352-362", "title" : "Role of syntrophic microbial communities in high-rate methanogenic bioreactors", "type" : "article-journal", "volume" : "66" }, "uris" : [ "http://www.mendeley.com/documents/?uuid=0035dffb-ae04-4d50-a246-8954daf789f4" ] } ], "mendeley" : { "formattedCitation" : "[27]", "plainTextFormattedCitation" : "[27]", "previouslyFormattedCitation" : "[27]"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[27]</w:t>
      </w:r>
      <w:r w:rsidR="0038665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28AC6873" w14:textId="2A2FB01E"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final step is methanogenesis, in which a diverse group of methanogenic archaea</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convert a limited number of simple carbon substrates, such as acetic acid, methylamines, CO</w:t>
      </w:r>
      <w:r w:rsidRPr="00C44D8C">
        <w:rPr>
          <w:rFonts w:asciiTheme="minorHAnsi" w:eastAsia="Calibri" w:hAnsiTheme="minorHAnsi" w:cs="Calibri"/>
          <w:color w:val="000000"/>
          <w:sz w:val="22"/>
          <w:szCs w:val="22"/>
          <w:vertAlign w:val="subscript"/>
          <w:lang w:eastAsia="en-GB"/>
        </w:rPr>
        <w:t xml:space="preserve">2 </w:t>
      </w:r>
      <w:r w:rsidRPr="00C44D8C">
        <w:rPr>
          <w:rFonts w:asciiTheme="minorHAnsi" w:eastAsia="Calibri" w:hAnsiTheme="minorHAnsi" w:cs="Calibri"/>
          <w:color w:val="000000"/>
          <w:sz w:val="22"/>
          <w:szCs w:val="22"/>
          <w:lang w:eastAsia="en-GB"/>
        </w:rPr>
        <w:t>and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xml:space="preserve"> into CH</w:t>
      </w:r>
      <w:r w:rsidRPr="00C44D8C">
        <w:rPr>
          <w:rFonts w:asciiTheme="minorHAnsi" w:eastAsia="Calibri" w:hAnsiTheme="minorHAnsi" w:cs="Calibri"/>
          <w:color w:val="000000"/>
          <w:sz w:val="22"/>
          <w:szCs w:val="22"/>
          <w:vertAlign w:val="subscript"/>
          <w:lang w:eastAsia="en-GB"/>
        </w:rPr>
        <w:t>4</w:t>
      </w:r>
      <w:r w:rsidR="00386652">
        <w:rPr>
          <w:rFonts w:asciiTheme="minorHAnsi" w:eastAsia="Calibri" w:hAnsiTheme="minorHAnsi" w:cs="Calibri"/>
          <w:color w:val="000000"/>
          <w:sz w:val="22"/>
          <w:szCs w:val="22"/>
          <w:vertAlign w:val="subscript"/>
          <w:lang w:eastAsia="en-GB"/>
        </w:rPr>
        <w:t xml:space="preserve"> </w:t>
      </w:r>
      <w:r w:rsidR="00386652">
        <w:rPr>
          <w:rFonts w:asciiTheme="minorHAnsi" w:eastAsia="Calibri" w:hAnsiTheme="minorHAnsi" w:cs="Calibri"/>
          <w:color w:val="000000"/>
          <w:sz w:val="22"/>
          <w:szCs w:val="22"/>
          <w:vertAlign w:val="subscript"/>
          <w:lang w:eastAsia="en-GB"/>
        </w:rPr>
        <w:fldChar w:fldCharType="begin" w:fldLock="1"/>
      </w:r>
      <w:r w:rsidR="00386652">
        <w:rPr>
          <w:rFonts w:asciiTheme="minorHAnsi" w:eastAsia="Calibri" w:hAnsiTheme="minorHAnsi" w:cs="Calibri"/>
          <w:color w:val="000000"/>
          <w:sz w:val="22"/>
          <w:szCs w:val="22"/>
          <w:vertAlign w:val="subscript"/>
          <w:lang w:eastAsia="en-GB"/>
        </w:rPr>
        <w:instrText>ADDIN CSL_CITATION { "citationItems" : [ { "id" : "ITEM-1", "itemData" : { "DOI" : "10.1007/s00253-009-2246-7", "ISSN" : "1432-0614", "PMID" : "19777226", "abstract" : "Anaerobic digestion of energy crops, residues, and wastes is of increasing interest in order to reduce the greenhouse gas emissions and to facilitate a sustainable development of energy supply. Production of biogas provides a versatile carrier of renewable energy, as methane can be used for replacement of fossil fuels in both heat and power generation and as a vehicle fuel. For biogas production, various process types are applied which can be classified in wet and dry fermentation systems. Most often applied are wet digester systems using vertical stirred tank digester with different stirrer types dependent on the origin of the feedstock. Biogas is mainly utilized in engine-based combined heat and power plants, whereas microgas turbines and fuel cells are expensive alternatives which need further development work for reducing the costs and increasing their reliability. Gas upgrading and utilization as renewable vehicle fuel or injection into the natural gas grid is of increasing interest because the gas can be used in a more efficient way. The digestate from anaerobic fermentation is a valuable fertilizer due to the increased availability of nitrogen and the better short-term fertilization effect. Anaerobic treatment minimizes the survival of pathogens which is important for using the digested residue as fertilizer. This paper reviews the current state and perspectives of biogas production, including the biochemical parameters and feedstocks which influence the efficiency and reliability of the microbial conversion and gas yield.", "author" : [ { "dropping-particle" : "", "family" : "Weiland", "given" : "Peter", "non-dropping-particle" : "", "parse-names" : false, "suffix" : "" } ], "container-title" : "Applied microbiology and biotechnology", "id" : "ITEM-1", "issue" : "4", "issued" : { "date-parts" : [ [ "2010", "1" ] ] }, "page" : "849-60", "title" : "Biogas production: current state and perspectives.", "type" : "article-journal", "volume" : "85" }, "uris" : [ "http://www.mendeley.com/documents/?uuid=48302505-79da-4ea8-8c68-ac6093ec10e0" ] }, { "id" : "ITEM-2", "itemData" : { "DOI" : "10.1128/JB.01424-07", "ISBN" : "0021-9193", "ISSN" : "00219193", "PMID" : "18178739", "abstract" : "A series of Methanosarcina barkeri mutants lacking the genes encoding the enzymes involved in the C1 oxidation/reduction pathway were constructed. Mutants lacking the methyl-tetrahydromethanopterin (H4MPT):coenzyme M (CoM) methyltransferase-encoding operon (delta mtr), the methylene-H4MPT reductase-encoding gene (delta mer), the methylene-H4MPT dehydrogenase-encoding gene (delta mtd), and the formyl-methanofuran:H4MPT formyl-transferase-encoding gene (delta ftr) all failed to grow using either methanol or H2/CO2 as a growth substrate, indicating that there is an absolute requirement for the C1 oxidation/reduction pathway for hydrogenotrophic and methylotrophic methanogenesis. The mutants also failed to grow on acetate, and we suggest that this was due to an inability to generate the reducing equivalents needed for biosynthetic reactions. Despite their lack of growth on methanol, the delta mtr and delta mer mutants were capable of producing methane from this substrate, whereas the delta mtd and delta ftr mutants were not. Thus, there is an Mtr/Mer bypass pathway that allows oxidation of methanol to the level of methylene-H4MPT in M. barkeri. The data further suggested that formaldehyde may be an intermediate in this bypass; however, no methanol dehydrogenase activity was found in delta mtr cell extracts, nor was there an obligate role for the formaldehyde-activating enzyme (Fae), which has been shown to catalyze the condensation of formaldehyde and H4MPT in vitro. Both the delta mer and delta mtr mutants were able to grow on a combination of methanol plus acetate, but they did so by metabolic pathways that are clearly distinct from each other and from previously characterized methanogenic pathways.", "author" : [ { "dropping-particle" : "V.", "family" : "Welander", "given" : "Paula", "non-dropping-particle" : "", "parse-names" : false, "suffix" : "" }, { "dropping-particle" : "", "family" : "Metcalf", "given" : "William W.", "non-dropping-particle" : "", "parse-names" : false, "suffix" : "" } ], "container-title" : "Journal of Bacteriology", "id" : "ITEM-2", "issued" : { "date-parts" : [ [ "2008" ] ] }, "page" : "1928-1936", "title" : "Mutagenesis of the C1 oxidation pathway in Methanosarcina barkeri: New insights into the Mtr/Mer bypass pathway", "type" : "article-journal", "volume" : "190" }, "uris" : [ "http://www.mendeley.com/documents/?uuid=a53acf39-0f97-3b08-8426-8eadf64811cf" ] } ], "mendeley" : { "formattedCitation" : "[18,26]", "plainTextFormattedCitation" : "[18,26]", "previouslyFormattedCitation" : "[18,26]" }, "properties" : { "noteIndex" : 0 }, "schema" : "https://github.com/citation-style-language/schema/raw/master/csl-citation.json" }</w:instrText>
      </w:r>
      <w:r w:rsidR="00386652">
        <w:rPr>
          <w:rFonts w:asciiTheme="minorHAnsi" w:eastAsia="Calibri" w:hAnsiTheme="minorHAnsi" w:cs="Calibri"/>
          <w:color w:val="000000"/>
          <w:sz w:val="22"/>
          <w:szCs w:val="22"/>
          <w:vertAlign w:val="subscript"/>
          <w:lang w:eastAsia="en-GB"/>
        </w:rPr>
        <w:fldChar w:fldCharType="separate"/>
      </w:r>
      <w:r w:rsidR="00386652" w:rsidRPr="00386652">
        <w:rPr>
          <w:rFonts w:asciiTheme="minorHAnsi" w:eastAsia="Calibri" w:hAnsiTheme="minorHAnsi" w:cs="Calibri"/>
          <w:noProof/>
          <w:color w:val="000000"/>
          <w:sz w:val="22"/>
          <w:szCs w:val="22"/>
          <w:lang w:eastAsia="en-GB"/>
        </w:rPr>
        <w:t>[18,26]</w:t>
      </w:r>
      <w:r w:rsidR="00386652">
        <w:rPr>
          <w:rFonts w:asciiTheme="minorHAnsi" w:eastAsia="Calibri" w:hAnsiTheme="minorHAnsi" w:cs="Calibri"/>
          <w:color w:val="000000"/>
          <w:sz w:val="22"/>
          <w:szCs w:val="22"/>
          <w:vertAlign w:val="subscript"/>
          <w:lang w:eastAsia="en-GB"/>
        </w:rPr>
        <w:fldChar w:fldCharType="end"/>
      </w:r>
      <w:r w:rsidRPr="00C44D8C">
        <w:rPr>
          <w:rFonts w:asciiTheme="minorHAnsi" w:eastAsia="Calibri" w:hAnsiTheme="minorHAnsi" w:cs="Calibri"/>
          <w:color w:val="000000"/>
          <w:sz w:val="22"/>
          <w:szCs w:val="22"/>
          <w:lang w:eastAsia="en-GB"/>
        </w:rPr>
        <w:t xml:space="preserve">. </w:t>
      </w:r>
    </w:p>
    <w:p w14:paraId="6C8DF195" w14:textId="77777777" w:rsidR="00A9324D" w:rsidRDefault="00436CD0" w:rsidP="00436CD0">
      <w:pPr>
        <w:spacing w:line="360" w:lineRule="auto"/>
        <w:ind w:firstLine="720"/>
        <w:rPr>
          <w:rFonts w:asciiTheme="minorHAnsi" w:eastAsia="Calibri" w:hAnsiTheme="minorHAnsi" w:cs="Calibri"/>
          <w:color w:val="000000"/>
          <w:sz w:val="22"/>
          <w:szCs w:val="22"/>
          <w:lang w:eastAsia="en-GB"/>
        </w:rPr>
        <w:sectPr w:rsidR="00A9324D"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en-GB"/>
        </w:rPr>
        <w:t>Compared to aerobic wastewater treatment processes, AD waste treatment is much more cost-effective, requiring smaller-sized reactors, less energy and water consumption, and produces little or no waste sludge at the end of the process</w:t>
      </w:r>
      <w:r w:rsidR="00386652">
        <w:rPr>
          <w:rFonts w:asciiTheme="minorHAnsi" w:eastAsia="Calibri" w:hAnsiTheme="minorHAnsi" w:cs="Calibri"/>
          <w:color w:val="000000"/>
          <w:sz w:val="22"/>
          <w:szCs w:val="22"/>
          <w:lang w:eastAsia="en-GB"/>
        </w:rPr>
        <w:t xml:space="preserve"> </w:t>
      </w:r>
      <w:r w:rsidR="00386652">
        <w:rPr>
          <w:rFonts w:asciiTheme="minorHAnsi" w:eastAsia="Calibri" w:hAnsiTheme="minorHAnsi" w:cs="Calibri"/>
          <w:color w:val="000000"/>
          <w:sz w:val="22"/>
          <w:szCs w:val="22"/>
          <w:lang w:eastAsia="en-GB"/>
        </w:rPr>
        <w:fldChar w:fldCharType="begin" w:fldLock="1"/>
      </w:r>
      <w:r w:rsidR="00386652">
        <w:rPr>
          <w:rFonts w:asciiTheme="minorHAnsi" w:eastAsia="Calibri" w:hAnsiTheme="minorHAnsi" w:cs="Calibri"/>
          <w:color w:val="000000"/>
          <w:sz w:val="22"/>
          <w:szCs w:val="22"/>
          <w:lang w:eastAsia="en-GB"/>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"id" : "ITEM-2", "itemData" : { "DOI" : "10.1016/j.pecs.2008.06.002", "ISBN" : "0360-1285", "ISSN" : "03601285", "abstract" : "When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slu\u2026", "author" : [ { "dropping-particle" : "", "family" : "Appels", "given" : "Lise", "non-dropping-particle" : "", "parse-names" : false, "suffix" : "" }, { "dropping-particle" : "", "family" : "Baeyens", "given" : "Jan", "non-dropping-particle" : "", "parse-names" : false, "suffix" : "" }, { "dropping-particle" : "", "family" : "Degr\u00e8ve", "given" : "Jan", "non-dropping-particle" : "", "parse-names" : false, "suffix" : "" }, { "dropping-particle" : "", "family" : "Dewil", "given" : "Raf", "non-dropping-particle" : "", "parse-names" : false, "suffix" : "" } ], "container-title" : "Progress in Energy and Combustion Science", "id" : "ITEM-2", "issue" : "6", "issued" : { "date-parts" : [ [ "2008" ] ] }, "page" : "755-781", "title" : "Principles and potential of the anaerobic digestion of waste-activated sludge", "type" : "article-journal", "volume" : "34" }, "uris" : [ "http://www.mendeley.com/documents/?uuid=283bd049-1ba3-4cbd-8f8b-c5afb230dd42" ] } ], "mendeley" : { "formattedCitation" : "[12,16]", "plainTextFormattedCitation" : "[12,16]", "previouslyFormattedCitation" : "[12,16]"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[12,16]</w:t>
      </w:r>
      <w:r w:rsidR="0038665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It is an established low-cost and ecologically sustainable technology that has already shown great success in treating and reusing waste biomass on a global scale</w:t>
      </w:r>
      <w:r w:rsidR="00386652">
        <w:rPr>
          <w:rFonts w:asciiTheme="minorHAnsi" w:eastAsia="Calibri" w:hAnsiTheme="minorHAnsi" w:cs="Calibri"/>
          <w:color w:val="000000"/>
          <w:sz w:val="22"/>
          <w:szCs w:val="22"/>
          <w:lang w:eastAsia="en-GB"/>
        </w:rPr>
        <w:t xml:space="preserve"> </w:t>
      </w:r>
      <w:r w:rsidR="00386652">
        <w:rPr>
          <w:rFonts w:asciiTheme="minorHAnsi" w:eastAsia="Calibri" w:hAnsiTheme="minorHAnsi" w:cs="Calibri"/>
          <w:color w:val="000000"/>
          <w:sz w:val="22"/>
          <w:szCs w:val="22"/>
          <w:lang w:eastAsia="en-GB"/>
        </w:rPr>
        <w:fldChar w:fldCharType="begin" w:fldLock="1"/>
      </w:r>
      <w:r w:rsidR="00386652">
        <w:rPr>
          <w:rFonts w:asciiTheme="minorHAnsi" w:eastAsia="Calibri" w:hAnsiTheme="minorHAnsi" w:cs="Calibri"/>
          <w:color w:val="000000"/>
          <w:sz w:val="22"/>
          <w:szCs w:val="22"/>
          <w:lang w:eastAsia="en-GB"/>
        </w:rPr>
        <w:instrText>ADDIN CSL_CITATION { "citationItems" : [ { "id" : "ITEM-1", "itemData" : { "DOI" : "10.1007/s00253-009-2246-7", "ISSN" : "1432-0614", "PMID" : "19777226", "abstract" : "Anaerobic digestion of energy crops, residues, and wastes is of increasing interest in order to reduce the greenhouse gas emissions and to facilitate a sustainable development of energy supply. Production of biogas provides a versatile carrier of renewable energy, as methane can be used for replacement of fossil fuels in both heat and power generation and as a vehicle fuel. For biogas production, various process types are applied which can be classified in wet and dry fermentation systems. Most often applied are wet digester systems using vertical stirred tank digester with different stirrer types dependent on the origin of the feedstock. Biogas is mainly utilized in engine-based combined heat and power plants, whereas microgas turbines and fuel cells are expensive alternatives which need further development work for reducing the costs and increasing their reliability. Gas upgrading and utilization as renewable vehicle fuel or injection into the natural gas grid is of increasing interest because the gas can be used in a more efficient way. The digestate from anaerobic fermentation is a valuable fertilizer due to the increased availability of nitrogen and the better short-term fertilization effect. Anaerobic treatment minimizes the survival of pathogens which is important for using the digested residue as fertilizer. This paper reviews the current state and perspectives of biogas production, including the biochemical parameters and feedstocks which influence the efficiency and reliability of the microbial conversion and gas yield.", "author" : [ { "dropping-particle" : "", "family" : "Weiland", "given" : "Peter", "non-dropping-particle" : "", "parse-names" : false, "suffix" : "" } ], "container-title" : "Applied microbiology and biotechnology", "id" : "ITEM-1", "issue" : "4", "issued" : { "date-parts" : [ [ "2010", "1" ] ] }, "page" : "849-60", "title" : "Biogas production: current state and perspectives.", "type" : "article-journal", "volume" : "85" }, "uris" : [ "http://www.mendeley.com/documents/?uuid=48302505-79da-4ea8-8c68-ac6093ec10e0" ] } ], "mendeley" : { "formattedCitation" : "[26]", "plainTextFormattedCitation" : "[26]", "previouslyFormattedCitation" : "[26]"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[26]</w:t>
      </w:r>
      <w:r w:rsidR="0038665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792FC2B7" w14:textId="0B30A6C5" w:rsidR="00436CD0" w:rsidRPr="00C44D8C" w:rsidRDefault="00436CD0" w:rsidP="00436CD0">
      <w:pPr>
        <w:spacing w:line="360" w:lineRule="auto"/>
        <w:ind w:firstLine="720"/>
        <w:rPr>
          <w:rFonts w:asciiTheme="minorHAnsi" w:eastAsia="Calibri" w:hAnsiTheme="minorHAnsi" w:cs="Calibri"/>
          <w:sz w:val="22"/>
          <w:szCs w:val="22"/>
          <w:lang w:eastAsia="en-GB"/>
        </w:rPr>
      </w:pPr>
    </w:p>
    <w:p w14:paraId="384DD680" w14:textId="1447A258"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recent rise of AD in the global arena was largely due to the innovative work of </w:t>
      </w:r>
      <w:r w:rsidRPr="00386652">
        <w:rPr>
          <w:rFonts w:asciiTheme="minorHAnsi" w:eastAsia="Calibri" w:hAnsiTheme="minorHAnsi" w:cs="Calibri"/>
          <w:color w:val="000000"/>
          <w:sz w:val="22"/>
          <w:szCs w:val="22"/>
          <w:lang w:eastAsia="en-GB"/>
        </w:rPr>
        <w:t>Lettinga a</w:t>
      </w:r>
      <w:r w:rsidR="00386652">
        <w:rPr>
          <w:rFonts w:asciiTheme="minorHAnsi" w:eastAsia="Calibri" w:hAnsiTheme="minorHAnsi" w:cs="Calibri"/>
          <w:color w:val="000000"/>
          <w:sz w:val="22"/>
          <w:szCs w:val="22"/>
          <w:lang w:eastAsia="en-GB"/>
        </w:rPr>
        <w:t xml:space="preserve">nd </w:t>
      </w:r>
      <w:r w:rsidR="00650B38">
        <w:rPr>
          <w:rFonts w:asciiTheme="minorHAnsi" w:eastAsia="Calibri" w:hAnsiTheme="minorHAnsi" w:cs="Calibri"/>
          <w:color w:val="000000"/>
          <w:sz w:val="22"/>
          <w:szCs w:val="22"/>
          <w:lang w:eastAsia="en-GB"/>
        </w:rPr>
        <w:t>co-workers</w:t>
      </w:r>
      <w:r w:rsidR="00386652">
        <w:rPr>
          <w:rFonts w:asciiTheme="minorHAnsi" w:eastAsia="Calibri" w:hAnsiTheme="minorHAnsi" w:cs="Calibri"/>
          <w:color w:val="000000"/>
          <w:sz w:val="22"/>
          <w:szCs w:val="22"/>
          <w:lang w:eastAsia="en-GB"/>
        </w:rPr>
        <w:t xml:space="preserve"> </w:t>
      </w:r>
      <w:r w:rsidR="00386652">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"mendeley" : { "formattedCitation" : "[16]", "plainTextFormattedCitation" : "[16]", "previouslyFormattedCitation" : "[16]" }, "properties" : { "noteIndex" : 0 }, "schema" : "https://github.com/citation-style-language/schema/raw/master/csl-citation.json" }</w:instrText>
      </w:r>
      <w:r w:rsidR="00386652">
        <w:rPr>
          <w:rFonts w:asciiTheme="minorHAnsi" w:eastAsia="Calibri" w:hAnsiTheme="minorHAnsi" w:cs="Calibri"/>
          <w:color w:val="000000"/>
          <w:sz w:val="22"/>
          <w:szCs w:val="22"/>
          <w:lang w:eastAsia="en-GB"/>
        </w:rPr>
        <w:fldChar w:fldCharType="separate"/>
      </w:r>
      <w:r w:rsidR="00386652" w:rsidRPr="00386652">
        <w:rPr>
          <w:rFonts w:asciiTheme="minorHAnsi" w:eastAsia="Calibri" w:hAnsiTheme="minorHAnsi" w:cs="Calibri"/>
          <w:noProof/>
          <w:color w:val="000000"/>
          <w:sz w:val="22"/>
          <w:szCs w:val="22"/>
          <w:lang w:eastAsia="en-GB"/>
        </w:rPr>
        <w:t>[16]</w:t>
      </w:r>
      <w:r w:rsidR="00386652">
        <w:rPr>
          <w:rFonts w:asciiTheme="minorHAnsi" w:eastAsia="Calibri" w:hAnsiTheme="minorHAnsi" w:cs="Calibri"/>
          <w:color w:val="000000"/>
          <w:sz w:val="22"/>
          <w:szCs w:val="22"/>
          <w:lang w:eastAsia="en-GB"/>
        </w:rPr>
        <w:fldChar w:fldCharType="end"/>
      </w:r>
      <w:r w:rsidR="00386652">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Their work led to advancements and important adjustments to the designs of conventional AD reactors, resulting in the establishment of high rate anaerobic reactors, which were initially applied to treat high strength industrial wastewaters in the Global North. These high rate anaerobic reactor designs relied upon the </w:t>
      </w:r>
      <w:r w:rsidR="002B7CD7">
        <w:rPr>
          <w:rFonts w:asciiTheme="minorHAnsi" w:eastAsia="Calibri" w:hAnsiTheme="minorHAnsi" w:cs="Calibri"/>
          <w:color w:val="000000"/>
          <w:sz w:val="22"/>
          <w:szCs w:val="22"/>
          <w:lang w:eastAsia="en-GB"/>
        </w:rPr>
        <w:t xml:space="preserve">high retention of an adherent </w:t>
      </w:r>
      <w:r w:rsidRPr="00C44D8C">
        <w:rPr>
          <w:rFonts w:asciiTheme="minorHAnsi" w:eastAsia="Calibri" w:hAnsiTheme="minorHAnsi" w:cs="Calibri"/>
          <w:color w:val="000000"/>
          <w:sz w:val="22"/>
          <w:szCs w:val="22"/>
          <w:lang w:eastAsia="en-GB"/>
        </w:rPr>
        <w:t>well-balanced microbial biomass</w:t>
      </w:r>
      <w:r w:rsidR="002B7CD7">
        <w:rPr>
          <w:rFonts w:asciiTheme="minorHAnsi" w:eastAsia="Calibri" w:hAnsiTheme="minorHAnsi" w:cs="Calibri"/>
          <w:color w:val="000000"/>
          <w:sz w:val="22"/>
          <w:szCs w:val="22"/>
          <w:lang w:eastAsia="en-GB"/>
        </w:rPr>
        <w:t>, or immobilisation,</w:t>
      </w:r>
      <w:r w:rsidRPr="00C44D8C">
        <w:rPr>
          <w:rFonts w:asciiTheme="minorHAnsi" w:eastAsia="Calibri" w:hAnsiTheme="minorHAnsi" w:cs="Calibri"/>
          <w:color w:val="000000"/>
          <w:sz w:val="22"/>
          <w:szCs w:val="22"/>
          <w:lang w:eastAsia="en-GB"/>
        </w:rPr>
        <w:t xml:space="preserve"> within AD reactors to degrade both low and high strength wastewaters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"mendeley" : { "formattedCitation" : "[16]", "plainTextFormattedCitation" : "[16]", "previouslyFormattedCitation" : "[16]"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[16]</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leading to drastic improvements in the efficiency and stability of the AD process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"10.1007/s11157-005-4630-9", "ISSN" : "15691705", "abstract" : "Anaerobic digesters have been responsible for the removal of large fraction of organic matter (mineralization of waste sludge) in conventional aerobic sewage treatment plants since the early years of domestic sewage treatment (DST). Attention on the anaerobic technology for improving the sustainability of sewage treatment has been paid mainly after the energy crisis in the 1970s. The successful use of anaerobic reactors (especially up-flow anaerobic sludge blanket (UASB) reactors) for the treatment of raw domestic sewage in tropical and sub-tropical regions (where ambient temperatures are not restrictive for anaerobic digestion) opened the opportunity to substitute the aerobic processes for the anaerobic technology in removal of the influent organic matter. Despite the success, effluents from anaerobic reactors treating domestic sewage require post-treatment in order to achieve the emission standards prevailing in most countries. Initially, the composition of this effluent rich in reduced compounds has required the adoption of post-treatment (mainly aerobic) systems able to remove the undesirable constituents. Currently, however, a wealth of information obtained on biological and physical-chemical processes related to the recovery or removal of nitrogen, phosphorus and sulfur compounds creates the opportunity for new treatment systems. The design of DST plant with the anaerobic reactor as core unit coupled to the pre- and post-treatment systems in order to promote the recovery of resources and the polishing of effluent quality can improve the sustainability of treatment systems. This paper presents a broader view on the possible applications of anaerobic treatment systems not only for organic matter removal but also for resources recovery aiming at the improvement of the sustainability of DST. \u00a9 Springer 2006.", "author" : [ { "dropping-particle" : "", "family" : "Foresti", "given" : "Eugenio", "non-dropping-particle" : "", "parse-names" : false, "suffix" : "" }, { "dropping-particle" : "", "family" : "Zaiat", "given" : "Marcelo", "non-dropping-particle" : "", "parse-names" : false, "suffix" : "" }, { "dropping-particle" : "", "family" : "Vallero", "given" : "Marcus", "non-dropping-particle" : "", "parse-names" : false, "suffix" : "" } ], "container-title" : "Reviews in Environmental Science and Biotechnology", "id" : "ITEM-1", "issue" : "1", "issued" : { "date-parts" : [ [ "2006" ] ] }, "page" : "3-19", "title" : "Anaerobic processes as the core technology for sustainable domestic wastewater treatment: Consolidated applications, new trends, perspectives, and challenges", "type" : "article-journal", "volume" : "5" }, "uris" : [ "http://www.mendeley.com/documents/?uuid=bf1fee52-2893-41b7-ab5c-ebf53119d986" ] } ], "mendeley" : { "formattedCitation" : "[28]", "plainTextFormattedCitation" : "[28]", "previouslyFormattedCitation" : "[28]"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[28]</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r w:rsidRPr="00C44D8C">
        <w:rPr>
          <w:rFonts w:asciiTheme="minorHAnsi" w:eastAsia="Arial" w:hAnsiTheme="minorHAnsi" w:cs="Arial"/>
          <w:color w:val="000000"/>
          <w:sz w:val="22"/>
          <w:szCs w:val="22"/>
          <w:lang w:eastAsia="en-GB"/>
        </w:rPr>
        <w:t xml:space="preserve">The provision of abiotic </w:t>
      </w:r>
      <w:r w:rsidRPr="00C44D8C">
        <w:rPr>
          <w:rFonts w:asciiTheme="minorHAnsi" w:eastAsia="Calibri" w:hAnsiTheme="minorHAnsi" w:cs="Calibri"/>
          <w:color w:val="000000"/>
          <w:sz w:val="22"/>
          <w:szCs w:val="22"/>
          <w:lang w:eastAsia="en-GB"/>
        </w:rPr>
        <w:t>support materials for the immobilisation of microorganisms within AD reactors is common</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"10.1016/j.rser.2008.08.006", "ISSN" : "13640321", "author" : [ { "dropping-particle" : "", "family" : "Singh", "given" : "S.P.", "non-dropping-particle" : "", "parse-names" : false, "suffix" : "" }, { "dropping-particle" : "", "family" : "Prerna", "given" : "Pandey", "non-dropping-particle" : "", "parse-names" : false, "suffix" : "" } ], "container-title" : "Renewable and Sustainable Energy Reviews", "id" : "ITEM-1", "issue" : "6-7", "issued" : { "date-parts" : [ [ "2009", "8" ] ] }, "page" : "1569-1575", "title" : "Review of recent advances in anaerobic packed-bed biogas reactors", "type" : "article-journal", "volume" : "13" }, "uris" : [ "http://www.mendeley.com/documents/?uuid=59866e5b-8c07-4e8f-9111-d87af250ce4c" ] } ], "mendeley" : { "formattedCitation" : "[13]", "plainTextFormattedCitation" : "[13]", "previouslyFormattedCitation" : "[13]"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[13]</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 sessile microbial community attached to these support materials is commonly known as a biofilm</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"10.1038/nrmicro821", "ISBN" : "1740-1526 (Print)\\r1740-1526 (Linking)", "ISSN" : "1740-1526", "PMID" : "15040259", "abstract" : "Biofilms--matrix-enclosed microbial accretions that adhere to biological or non-biological surfaces--represent a significant and incompletely understood mode of growth for bacteria. Biofilm formation appears early in the fossil record (approximately 3.25 billion years ago) and is common throughout a diverse range of organisms in both the Archaea and Bacteria lineages, including the 'living fossils' in the most deeply dividing branches of the phylogenetic tree. It is evident that biofilm formation is an ancient and integral component of the prokaryotic life cycle, and is a key factor for survival in diverse environments. Recent advances show that biofilms are structurally complex, dynamic systems with attributes of both primordial multicellular organisms and multifaceted ecosystems. Biofilm formation represents a protected mode of growth that allows cells to survive in hostile environments and also disperse to colonize new niches. The implications of these survival and propagative mechanisms in the context of both the natural environment and infectious diseases are discussed in this review.", "author" : [ { "dropping-particle" : "", "family" : "Hall-Stoodley", "given" : "Luanne", "non-dropping-particle" : "", "parse-names" : false, "suffix" : "" }, { "dropping-particle" : "", "family" : "Costerton", "given" : "J William", "non-dropping-particle" : "", "parse-names" : false, "suffix" : "" }, { "dropping-particle" : "", "family" : "Stoodley", "given" : "Paul", "non-dropping-particle" : "", "parse-names" : false, "suffix" : "" } ], "container-title" : "Nature reviews. Microbiology", "id" : "ITEM-1", "issue" : "2", "issued" : { "date-parts" : [ [ "2004" ] ] }, "page" : "95-108", "title" : "Bacterial biofilms: from the natural environment to infectious diseases.", "type" : "article-journal", "volume" : "2" }, "uris" : [ "http://www.mendeley.com/documents/?uuid=80ad09d6-5320-4093-a20b-c180a35631d4" ] }, { "id" : "ITEM-2", "itemData" : { "abstract" : "Direct observations have clearl y shown that biofilm bacteria predominate, numerically and metabolically, in virtually all nutrient-sufficient ecosystems. Therefore, these sessile organisms predominate in most of the environmental, 7ll 0066-4227/9511 00 1-0711 $05.00", "author" : [ { "dropping-particle" : "", "family" : "Costerton", "given" : "J William", "non-dropping-particle" : "", "parse-names" : false, "suffix" : "" }, { "dropping-particle" : "", "family" : "Lewandowski", "given" : "Zbigniew", "non-dropping-particle" : "", "parse-names" : false, "suffix" : "" }, { "dropping-particle" : "", "family" : "Caldwell", "given" : "Douglas E", "non-dropping-particle" : "", "parse-names" : false, "suffix" : "" }, { "dropping-particle" : "", "family" : "Korber", "given" : "Darren R", "non-dropping-particle" : "", "parse-names" : false, "suffix" : "" }, { "dropping-particle" : "", "family" : "Lappin-Scott", "given" : "Hilary M", "non-dropping-particle" : "", "parse-names" : false, "suffix" : "" } ], "container-title" : "Annual review of microbiology", "id" : "ITEM-2", "issued" : { "date-parts" : [ [ "1995" ] ] }, "page" : "711-745", "title" : "MICROBIAL BIOFILMS", "type" : "article-journal", "volume" : "49" }, "uris" : [ "http://www.mendeley.com/documents/?uuid=8aafbc2b-666c-3dce-88ce-d576e45dbb2d" ] } ], "mendeley" : { "formattedCitation" : "[29,30]", "plainTextFormattedCitation" : "[29,30]", "previouslyFormattedCitation" : "[29,30]"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[29,30]</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and these support materials ensure their fixture within AD reactors</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"10.1016/j.rser.2008.08.006", "ISSN" : "13640321", "author" : [ { "dropping-particle" : "", "family" : "Singh", "given" : "S.P.", "non-dropping-particle" : "", "parse-names" : false, "suffix" : "" }, { "dropping-particle" : "", "family" : "Prerna", "given" : "Pandey", "non-dropping-particle" : "", "parse-names" : false, "suffix" : "" } ], "container-title" : "Renewable and Sustainable Energy Reviews", "id" : "ITEM-1", "issue" : "6-7", "issued" : { "date-parts" : [ [ "2009", "8" ] ] }, "page" : "1569-1575", "title" : "Review of recent advances in anaerobic packed-bed biogas reactors", "type" : "article-journal", "volume" : "13" }, "uris" : [ "http://www.mendeley.com/documents/?uuid=59866e5b-8c07-4e8f-9111-d87af250ce4c" ] } ], "mendeley" : { "formattedCitation" : "[13]", "plainTextFormattedCitation" : "[13]", "previouslyFormattedCitation" : "[13]"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[13]</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r w:rsidRPr="00C44D8C">
        <w:rPr>
          <w:rFonts w:asciiTheme="minorHAnsi" w:eastAsia="Arial" w:hAnsiTheme="minorHAnsi" w:cs="Arial"/>
          <w:color w:val="000000"/>
          <w:sz w:val="22"/>
          <w:szCs w:val="22"/>
          <w:lang w:eastAsia="en-GB"/>
        </w:rPr>
        <w:t>Biofilms</w:t>
      </w:r>
      <w:r w:rsidRPr="00C44D8C">
        <w:rPr>
          <w:rFonts w:asciiTheme="minorHAnsi" w:eastAsia="Calibri" w:hAnsiTheme="minorHAnsi" w:cs="Calibri"/>
          <w:color w:val="000000"/>
          <w:sz w:val="22"/>
          <w:szCs w:val="22"/>
          <w:lang w:eastAsia="en-GB"/>
        </w:rPr>
        <w:t xml:space="preserve"> work extremely well in maintaining a high level of microbial activity within AD reactors, and play an important role in wastewater treatment technologies such as AD</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"mendeley" : { "formattedCitation" : "[16]", "plainTextFormattedCitation" : "[16]", "previouslyFormattedCitation" : "[16]"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[16]</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1D2AB542" w14:textId="0C2F9000"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complex consortium of microorganisms involved in AD grow and perform optimally at mesophilic temperatures (30-35</w:t>
      </w:r>
      <w:r w:rsidRPr="00C44D8C">
        <w:rPr>
          <w:rFonts w:ascii="Cambria Math" w:eastAsia="Calibri" w:hAnsi="Cambria Math" w:cs="Cambria Math"/>
          <w:color w:val="000000"/>
          <w:sz w:val="22"/>
          <w:szCs w:val="22"/>
          <w:lang w:eastAsia="en-GB"/>
        </w:rPr>
        <w:t>℃</w:t>
      </w:r>
      <w:r w:rsidRPr="00C44D8C">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"10.1007/s11157-005-4630-9", "ISSN" : "15691705", "abstract" : "Anaerobic digesters have been responsible for the removal of large fraction of organic matter (mineralization of waste sludge) in conventional aerobic sewage treatment plants since the early years of domestic sewage treatment (DST). Attention on the anaerobic technology for improving the sustainability of sewage treatment has been paid mainly after the energy crisis in the 1970s. The successful use of anaerobic reactors (especially up-flow anaerobic sludge blanket (UASB) reactors) for the treatment of raw domestic sewage in tropical and sub-tropical regions (where ambient temperatures are not restrictive for anaerobic digestion) opened the opportunity to substitute the aerobic processes for the anaerobic technology in removal of the influent organic matter. Despite the success, effluents from anaerobic reactors treating domestic sewage require post-treatment in order to achieve the emission standards prevailing in most countries. Initially, the composition of this effluent rich in reduced compounds has required the adoption of post-treatment (mainly aerobic) systems able to remove the undesirable constituents. Currently, however, a wealth of information obtained on biological and physical-chemical processes related to the recovery or removal of nitrogen, phosphorus and sulfur compounds creates the opportunity for new treatment systems. The design of DST plant with the anaerobic reactor as core unit coupled to the pre- and post-treatment systems in order to promote the recovery of resources and the polishing of effluent quality can improve the sustainability of treatment systems. This paper presents a broader view on the possible applications of anaerobic treatment systems not only for organic matter removal but also for resources recovery aiming at the improvement of the sustainability of DST. \u00a9 Springer 2006.", "author" : [ { "dropping-particle" : "", "family" : "Foresti", "given" : "Eugenio", "non-dropping-particle" : "", "parse-names" : false, "suffix" : "" }, { "dropping-particle" : "", "family" : "Zaiat", "given" : "Marcelo", "non-dropping-particle" : "", "parse-names" : false, "suffix" : "" }, { "dropping-particle" : "", "family" : "Vallero", "given" : "Marcus", "non-dropping-particle" : "", "parse-names" : false, "suffix" : "" } ], "container-title" : "Reviews in Environmental Science and Biotechnology", "id" : "ITEM-1", "issue" : "1", "issued" : { "date-parts" : [ [ "2006" ] ] }, "page" : "3-19", "title" : "Anaerobic processes as the core technology for sustainable domestic wastewater treatment: Consolidated applications, new trends, perspectives, and challenges", "type" : "article-journal", "volume" : "5" }, "uris" : [ "http://www.mendeley.com/documents/?uuid=bf1fee52-2893-41b7-ab5c-ebf53119d986" ] } ], "mendeley" : { "formattedCitation" : "[28]", "plainTextFormattedCitation" : "[28]", "previouslyFormattedCitation" : "[28]"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[28]</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and can degrade a large variety of organic feedstocks into biogas</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"10.1007/s00253-009-2246-7", "ISSN" : "1432-0614", "PMID" : "19777226", "abstract" : "Anaerobic digestion of energy crops, residues, and wastes is of increasing interest in order to reduce the greenhouse gas emissions and to facilitate a sustainable development of energy supply. Production of biogas provides a versatile carrier of renewable energy, as methane can be used for replacement of fossil fuels in both heat and power generation and as a vehicle fuel. For biogas production, various process types are applied which can be classified in wet and dry fermentation systems. Most often applied are wet digester systems using vertical stirred tank digester with different stirrer types dependent on the origin of the feedstock. Biogas is mainly utilized in engine-based combined heat and power plants, whereas microgas turbines and fuel cells are expensive alternatives which need further development work for reducing the costs and increasing their reliability. Gas upgrading and utilization as renewable vehicle fuel or injection into the natural gas grid is of increasing interest because the gas can be used in a more efficient way. The digestate from anaerobic fermentation is a valuable fertilizer due to the increased availability of nitrogen and the better short-term fertilization effect. Anaerobic treatment minimizes the survival of pathogens which is important for using the digested residue as fertilizer. This paper reviews the current state and perspectives of biogas production, including the biochemical parameters and feedstocks which influence the efficiency and reliability of the microbial conversion and gas yield.", "author" : [ { "dropping-particle" : "", "family" : "Weiland", "given" : "Peter", "non-dropping-particle" : "", "parse-names" : false, "suffix" : "" } ], "container-title" : "Applied microbiology and biotechnology", "id" : "ITEM-1", "issue" : "4", "issued" : { "date-parts" : [ [ "2010", "1" ] ] }, "page" : "849-60", "title" : "Biogas production: current state and perspectives.", "type" : "article-journal", "volume" : "85" }, "uris" : [ "http://www.mendeley.com/documents/?uuid=48302505-79da-4ea8-8c68-ac6093ec10e0" ] } ], "mendeley" : { "formattedCitation" : "[26]", "plainTextFormattedCitation" : "[26]", "previouslyFormattedCitation" : "[26]"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[26]</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Biogas is a combustible fuel mixture consisting mainly of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(~50-70%), CO</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xml:space="preserve"> (~25-45%) and other trace gases.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has a high calorific value of 21–24 MJ/m</w:t>
      </w:r>
      <w:r w:rsidRPr="00C44D8C">
        <w:rPr>
          <w:rFonts w:asciiTheme="minorHAnsi" w:eastAsia="Calibri" w:hAnsiTheme="minorHAnsi" w:cs="Calibri"/>
          <w:color w:val="000000"/>
          <w:sz w:val="22"/>
          <w:szCs w:val="22"/>
          <w:vertAlign w:val="superscript"/>
          <w:lang w:eastAsia="en-GB"/>
        </w:rPr>
        <w:t>3</w:t>
      </w:r>
      <w:r w:rsidRPr="00C44D8C">
        <w:rPr>
          <w:rFonts w:asciiTheme="minorHAnsi" w:eastAsia="Calibri" w:hAnsiTheme="minorHAnsi" w:cs="Calibri"/>
          <w:color w:val="000000"/>
          <w:sz w:val="22"/>
          <w:szCs w:val="22"/>
          <w:lang w:eastAsia="en-GB"/>
        </w:rPr>
        <w:t>, or 6 kWh/m</w:t>
      </w:r>
      <w:r w:rsidRPr="00C44D8C">
        <w:rPr>
          <w:rFonts w:asciiTheme="minorHAnsi" w:eastAsia="Calibri" w:hAnsiTheme="minorHAnsi" w:cs="Calibri"/>
          <w:color w:val="000000"/>
          <w:sz w:val="22"/>
          <w:szCs w:val="22"/>
          <w:vertAlign w:val="superscript"/>
          <w:lang w:eastAsia="en-GB"/>
        </w:rPr>
        <w:t>3</w:t>
      </w:r>
      <w:r w:rsidRPr="00C44D8C">
        <w:rPr>
          <w:rFonts w:asciiTheme="minorHAnsi" w:eastAsia="Calibri" w:hAnsiTheme="minorHAnsi" w:cs="Calibri"/>
          <w:color w:val="000000"/>
          <w:sz w:val="22"/>
          <w:szCs w:val="22"/>
          <w:lang w:eastAsia="en-GB"/>
        </w:rPr>
        <w:t>, making it a valuable energy resource if captured</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"10.1016/j.esd.2011.09.003", "ISSN" : "09730826", "author" : [ { "dropping-particle" : "", "family" : "Bond", "given" : "Tom", "non-dropping-particle" : "", "parse-names" : false, "suffix" : "" }, { "dropping-particle" : "", "family" : "Templeton", "given" : "Michael R.", "non-dropping-particle" : "", "parse-names" : false, "suffix" : "" } ], "container-title" : "Energy for Sustainable Development", "id" : "ITEM-1", "issue" : "4", "issued" : { "date-parts" : [ [ "2011", "12" ] ] }, "page" : "347-354", "publisher" : "International Energy Initiative", "title" : "History and future of domestic biogas plants in the developing world", "type" : "article-journal", "volume" : "15" }, "uris" : [ "http://www.mendeley.com/documents/?uuid=46bd4d7a-be62-45cc-a61c-3687da6bfa5d" ] } ], "mendeley" : { "formattedCitation" : "[5]", "plainTextFormattedCitation" : "[5]", "previouslyFormattedCitation" : "[5]"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[5]</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0A7866C4" w14:textId="785D987E"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As such, AD is an ideal technology for the Global South where the tropical climate provides optimal mesophilic temperatures for the growth of the microorganisms involved in the AD process</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"10.1016/j.biortech.2005.05.015", "ISBN" : "0960-8524", "ISSN" : "09608524", "PMID" : "16055328", "abstract" : "This study presents a literature review on the treatment of domestic sewage in controlled environments having the anaerobic process and specifically the upflow anaerobic sludge blanket (UASB) concept as the core, under natural hot conditions. The UASB process application is however beset by the preponderance of suspended solids, and the paper looks at its optimization via pre- and post-treatments to curb the prevailing problems, in the light of possible discharge and re-use/recycling/resource recovery, leading to efficient environmental protection. Pre-treatment clarification could be done with ferric chloride/polyelectrolyte, so that phosphate precipitates during the process. The pre-treated liquid phase can be submitted to a high rate anaerobic process, using the simple and robust UASB technology. In a subsequent post-treatment step, ammonium can be removed by ion exchange using a zeolite column through which the wastewater percolates after leaving the anaerobic digester. The various stages can also eliminate a large fraction of the pathogens present in the raw wastewater, mainly through the pre-treatment sedimentation and the ion exchange filtration. The sludge produced in the precipitation stage can be stabilized in a conventional anaerobic digester. Integration of the different treatment steps provides a sustainable technology to treat domestic sewage under hot climate conditions. ?? 2005 Elsevier Ltd. All rights reserved.", "author" : [ { "dropping-particle" : "", "family" : "Aiyuk", "given" : "Sunny", "non-dropping-particle" : "", "parse-names" : false, "suffix" : "" }, { "dropping-particle" : "", "family" : "Forrez", "given" : "Ilse", "non-dropping-particle" : "", "parse-names" : false, "suffix" : "" }, { "dropping-particle" : "", "family" : "Lieven", "given" : "De Kempeneer", "non-dropping-particle" : "", "parse-names" : false, "suffix" : "" }, { "dropping-particle" : "", "family" : "Haandel", "given" : "Adrianus", "non-dropping-particle" : "van", "parse-names" : false, "suffix" : "" }, { "dropping-particle" : "", "family" : "Verstraete", "given" : "Willy", "non-dropping-particle" : "", "parse-names" : false, "suffix" : "" } ], "container-title" : "Bioresource Technology", "id" : "ITEM-1", "issue" : "17", "issued" : { "date-parts" : [ [ "2006" ] ] }, "page" : "2225-2241", "title" : "Anaerobic and complementary treatment of domestic sewage in regions with hot climates-A review", "type" : "article-journal", "volume" : "97" }, "uris" : [ "http://www.mendeley.com/documents/?uuid=3690e4ae-984a-4a5c-a82b-0abcbb4d09e6" ] } ], "mendeley" : { "formattedCitation" : "[2]", "plainTextFormattedCitation" : "[2]", "previouslyFormattedCitation" : "[2]"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[2]</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means that no further energy requirements are needed to heat up AD systems to ideal operating temperatures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"mendeley" : { "formattedCitation" : "[16]", "plainTextFormattedCitation" : "[16]", "previouslyFormattedCitation" : "[16]"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[16]</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Additionally, the capacity of implementing AD systems in a decentralised mode without the need for expensive sewerage piping systems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"10.1016/j.esd.2011.09.003", "ISSN" : "09730826", "author" : [ { "dropping-particle" : "", "family" : "Bond", "given" : "Tom", "non-dropping-particle" : "", "parse-names" : false, "suffix" : "" }, { "dropping-particle" : "", "family" : "Templeton", "given" : "Michael R.", "non-dropping-particle" : "", "parse-names" : false, "suffix" : "" } ], "container-title" : "Energy for Sustainable Development", "id" : "ITEM-1", "issue" : "4", "issued" : { "date-parts" : [ [ "2011", "12" ] ] }, "page" : "347-354", "publisher" : "International Energy Initiative", "title" : "History and future of domestic biogas plants in the developing world", "type" : "article-journal", "volume" : "15" }, "uris" : [ "http://www.mendeley.com/documents/?uuid=46bd4d7a-be62-45cc-a61c-3687da6bfa5d" ] } ], "mendeley" : { "formattedCitation" : "[5]", "plainTextFormattedCitation" : "[5]", "previouslyFormattedCitation" : "[5]"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[5]</w:t>
      </w:r>
      <w:r w:rsidR="00C4570E">
        <w:rPr>
          <w:rFonts w:asciiTheme="minorHAnsi" w:eastAsia="Calibri" w:hAnsiTheme="minorHAnsi" w:cs="Calibri"/>
          <w:color w:val="000000"/>
          <w:sz w:val="22"/>
          <w:szCs w:val="22"/>
          <w:lang w:eastAsia="en-GB"/>
        </w:rPr>
        <w:fldChar w:fldCharType="end"/>
      </w:r>
      <w:r w:rsidR="00C4570E">
        <w:rPr>
          <w:rFonts w:asciiTheme="minorHAnsi" w:eastAsia="Calibri" w:hAnsiTheme="minorHAnsi" w:cs="Calibri"/>
          <w:color w:val="000000"/>
          <w:sz w:val="22"/>
          <w:szCs w:val="22"/>
          <w:lang w:eastAsia="en-GB"/>
        </w:rPr>
        <w:t xml:space="preserve"> m</w:t>
      </w:r>
      <w:r w:rsidRPr="00C44D8C">
        <w:rPr>
          <w:rFonts w:asciiTheme="minorHAnsi" w:eastAsia="Calibri" w:hAnsiTheme="minorHAnsi" w:cs="Calibri"/>
          <w:color w:val="000000"/>
          <w:sz w:val="22"/>
          <w:szCs w:val="22"/>
          <w:lang w:eastAsia="en-GB"/>
        </w:rPr>
        <w:t>akes it a promising technology for treating domestic wastewater in peri-urban areas in the Global South.</w:t>
      </w:r>
    </w:p>
    <w:p w14:paraId="670B933B" w14:textId="76CD39CF" w:rsidR="003250CB" w:rsidRDefault="00436CD0" w:rsidP="003250CB">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Common feedstocks used for AD are typically animal manure, industrial wastewater, food waste and the solid fraction of municipal waste</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C4570E">
        <w:rPr>
          <w:rFonts w:asciiTheme="minorHAnsi" w:eastAsia="Calibri" w:hAnsiTheme="minorHAnsi" w:cs="Calibri"/>
          <w:color w:val="000000"/>
          <w:sz w:val="22"/>
          <w:szCs w:val="22"/>
          <w:lang w:eastAsia="en-GB"/>
        </w:rPr>
        <w:instrText>ADDIN CSL_CITATION { "citationItems" : [ { "id" : "ITEM-1", "itemData" : { "DOI" : "10.1007/s00253-009-2246-7", "ISSN" : "1432-0614", "PMID" : "19777226", "abstract" : "Anaerobic digestion of energy crops, residues, and wastes is of increasing interest in order to reduce the greenhouse gas emissions and to facilitate a sustainable development of energy supply. Production of biogas provides a versatile carrier of renewable energy, as methane can be used for replacement of fossil fuels in both heat and power generation and as a vehicle fuel. For biogas production, various process types are applied which can be classified in wet and dry fermentation systems. Most often applied are wet digester systems using vertical stirred tank digester with different stirrer types dependent on the origin of the feedstock. Biogas is mainly utilized in engine-based combined heat and power plants, whereas microgas turbines and fuel cells are expensive alternatives which need further development work for reducing the costs and increasing their reliability. Gas upgrading and utilization as renewable vehicle fuel or injection into the natural gas grid is of increasing interest because the gas can be used in a more efficient way. The digestate from anaerobic fermentation is a valuable fertilizer due to the increased availability of nitrogen and the better short-term fertilization effect. Anaerobic treatment minimizes the survival of pathogens which is important for using the digested residue as fertilizer. This paper reviews the current state and perspectives of biogas production, including the biochemical parameters and feedstocks which influence the efficiency and reliability of the microbial conversion and gas yield.", "author" : [ { "dropping-particle" : "", "family" : "Weiland", "given" : "Peter", "non-dropping-particle" : "", "parse-names" : false, "suffix" : "" } ], "container-title" : "Applied microbiology and biotechnology", "id" : "ITEM-1", "issue" : "4", "issued" : { "date-parts" : [ [ "2010", "1" ] ] }, "page" : "849-60", "title" : "Biogas production: current state and perspectives.", "type" : "article-journal", "volume" : "85" }, "uris" : [ "http://www.mendeley.com/documents/?uuid=48302505-79da-4ea8-8c68-ac6093ec10e0" ] } ], "mendeley" : { "formattedCitation" : "[26]", "plainTextFormattedCitation" : "[26]", "previouslyFormattedCitation" : "[26]"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C4570E" w:rsidRPr="00C4570E">
        <w:rPr>
          <w:rFonts w:asciiTheme="minorHAnsi" w:eastAsia="Calibri" w:hAnsiTheme="minorHAnsi" w:cs="Calibri"/>
          <w:noProof/>
          <w:color w:val="000000"/>
          <w:sz w:val="22"/>
          <w:szCs w:val="22"/>
          <w:lang w:eastAsia="en-GB"/>
        </w:rPr>
        <w:t>[26]</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However, the energy potential of domestic wastewater has often been neglected in favour of the perspective that it is a waste product that needs to be disposed of. This ‘throw away’ attitude undermines the value of domestic waste streams and can hinder progress in combating the issues surrounding wastewater treatment. In fact, past studies have highlighted the energy potential of various domestic waste streams in AD</w:t>
      </w:r>
      <w:r w:rsidR="003250CB">
        <w:rPr>
          <w:rFonts w:asciiTheme="minorHAnsi" w:eastAsia="Calibri" w:hAnsiTheme="minorHAnsi" w:cs="Calibri"/>
          <w:color w:val="000000"/>
          <w:sz w:val="22"/>
          <w:szCs w:val="22"/>
          <w:lang w:eastAsia="en-GB"/>
        </w:rPr>
        <w:t xml:space="preserve"> </w:t>
      </w:r>
      <w:r w:rsidR="003250C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"author" : [ { "dropping-particle" : "", "family" : "McCarty", "given" : "Perry L", "non-dropping-particle" : "", "parse-names" : false, "suffix" : "" }, { "dropping-particle" : "", "family" : "Bae", "given" : "Jaeho", "non-dropping-particle" : "", "parse-names" : false, "suffix" : "" }, { "dropping-particle" : "", "family" : "Kim", "given" : "Jeonghwan", "non-dropping-particle" : "", "parse-names" : false, "suffix" : "" } ], "container-title" : "Environmental science &amp; technology", "id" : "ITEM-1", "issued" : { "date-parts" : [ [ "2011" ] ] }, "page" : "7100-7106", "title" : "Domestic Wastewater Treatment as a Net Energy Producer - Can This be Achieved ?", "type" : "article-journal", "volume" : "45" }, "uris" : [ "http://www.mendeley.com/documents/?uuid=10d19502-8766-47e9-b705-b5e7c212369e" ] } ], "mendeley" : { "formattedCitation" : "[31]", "plainTextFormattedCitation" : "[31]", "previouslyFormattedCitation" : "[31]" }, "properties" : { "noteIndex" : 0 }, "schema" : "https://github.com/citation-style-language/schema/raw/master/csl-citation.json" }</w:instrText>
      </w:r>
      <w:r w:rsidR="003250C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[31]</w:t>
      </w:r>
      <w:r w:rsidR="003250C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such as </w:t>
      </w:r>
      <w:r w:rsidRPr="00C44D8C">
        <w:rPr>
          <w:rFonts w:asciiTheme="minorHAnsi" w:eastAsia="Calibri" w:hAnsiTheme="minorHAnsi" w:cs="Calibri"/>
          <w:color w:val="000000"/>
          <w:sz w:val="22"/>
          <w:szCs w:val="22"/>
          <w:lang w:eastAsia="en-GB"/>
        </w:rPr>
        <w:lastRenderedPageBreak/>
        <w:t>faecal sludge</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"10.3390/w2010101", "ISSN" : "2073-4441", "author" : [ { "dropping-particle" : "", "family" : "Graaff", "given" : "Marthe S.", "non-dropping-particle" : "de", "parse-names" : false, "suffix" : "" }, { "dropping-particle" : "", "family" : "Temmink", "given" : "Hardy", "non-dropping-particle" : "", "parse-names" : false, "suffix" : "" }, { "dropping-particle" : "", "family" : "Zeeman", "given" : "Grietje", "non-dropping-particle" : "", "parse-names" : false, "suffix" : "" }, { "dropping-particle" : "", "family" : "Buisman", "given" : "Cees J. N.", "non-dropping-particle" : "", "parse-names" : false, "suffix" : "" } ], "container-title" : "Water", "id" : "ITEM-1", "issue" : "1", "issued" : { "date-parts" : [ [ "2010", "2", "26" ] ] }, "page" : "101-119", "title" : "Anaerobic Treatment of Concentrated Black Water in a UASB Reactor at a Short HRT", "type" : "article-journal", "volume" : "2" }, "uris" : [ "http://www.mendeley.com/documents/?uuid=69e8cc4a-6323-4aa3-bb59-374ebefe0221" ] } ], "mendeley" : { "formattedCitation" : "[32]", "plainTextFormattedCitation" : "[32]", "previouslyFormattedCitation" : "[32]"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[32]</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urine</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"author" : [ { "dropping-particle" : "", "family" : "Edith", "given" : "Kpata-konan Nazo", "non-dropping-particle" : "", "parse-names" : false, "suffix" : "" }, { "dropping-particle" : "", "family" : "Th\u00e9ophile", "given" : "Gnagne", "non-dropping-particle" : "", "parse-names" : false, "suffix" : "" }, { "dropping-particle" : "", "family" : "F\u00e9lix", "given" : "Konan Koffi", "non-dropping-particle" : "", "parse-names" : false, "suffix" : "" }, { "dropping-particle" : "", "family" : "Yves", "given" : "Bony Kotchi", "non-dropping-particle" : "", "parse-names" : false, "suffix" : "" } ], "container-title" : "International Journal of Innovation and Applied Studies", "id" : "ITEM-1", "issue" : "3", "issued" : { "date-parts" : [ [ "2013" ] ] }, "page" : "335-343", "title" : "Improving anaerobic biodigestion of manioc wastewater with human urine as co-substrate", "type" : "article-journal", "volume" : "2" }, "uris" : [ "http://www.mendeley.com/documents/?uuid=e8f65940-1a5e-4dd8-8ed5-5d238b62fd51" ] } ], "mendeley" : { "formattedCitation" : "[33]", "plainTextFormattedCitation" : "[33]", "previouslyFormattedCitation" : "[33]"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[33]</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greywater</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"10.1016/j.psep.2012.12.004", "ISSN" : "09575820", "author" : [ { "dropping-particle" : "", "family" : "Chanakya", "given" : "H.N.", "non-dropping-particle" : "", "parse-names" : false, "suffix" : "" }, { "dropping-particle" : "", "family" : "Khuntia", "given" : "Himanshu Kumar", "non-dropping-particle" : "", "parse-names" : false, "suffix" : "" } ], "container-title" : "Process Safety and Environmental Protection", "id" : "ITEM-1", "issue" : "November 2012", "issued" : { "date-parts" : [ [ "2013", "1" ] ] }, "page" : "1-7", "publisher" : "Institution of Chemical Engineers", "title" : "Treatment of gray water using anaerobic biofilms created on synthetic and natural fibers", "type" : "article-journal" }, "uris" : [ "http://www.mendeley.com/documents/?uuid=0d397cc8-431d-454f-9c45-c62d14072fdd" ] } ], "mendeley" : { "formattedCitation" : "[34]", "plainTextFormattedCitation" : "[34]", "previouslyFormattedCitation" : "[34]"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[34]</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and sewage sludge</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"10.1016/j.wasman.2012.10.018", "ISSN" : "1879-2456", "PMID" : "23177568", "abstract" : "System stability and performance of high-solids anaerobic co-digestion of dewatered sludge (DS) and food waste (FW) in comparison with mono digestions were investigated. System stability was improved in co-digestion systems with co-substrate acting as a diluting agent to toxic chemicals like ammonia or Na(+). For high-solids digestion of DS, the addition of FW not only improved system stability but also greatly enhanced volumetric biogas production. For high-solids digestion of FW, the addition of DS could reduce Na(+) concentration and help maintain satisfactory stability during the conversion of FW into biogas. System performances of co-digestion systems were mainly determined by the mixing ratios of DS and FW. Biogas production and volatile solids (VSs) reduction in digestion of the co-mixture of DS and FW increased linearly with higher ratios of FW. A kinetic model, which aimed to forecast the performance of co-digestion and to assist reactor design, was developed from long-term semi-continuous experiments. Maximum VS reduction for DS and FW was estimated to be 44.3% and 90.3%, respectively, and first order constant k was found to be 0.17d(-1) and 0.50 d(-1), respectively. Experimental data of co-digestion were in good conformity to the predictions of the model.", "author" : [ { "dropping-particle" : "", "family" : "Dai", "given" : "Xiaohu", "non-dropping-particle" : "", "parse-names" : false, "suffix" : "" }, { "dropping-particle" : "", "family" : "Duan", "given" : "Nina", "non-dropping-particle" : "", "parse-names" : false, "suffix" : "" }, { "dropping-particle" : "", "family" : "Dong", "given" : "Bin", "non-dropping-particle" : "", "parse-names" : false, "suffix" : "" }, { "dropping-particle" : "", "family" : "Dai", "given" : "Lingling", "non-dropping-particle" : "", "parse-names" : false, "suffix" : "" } ], "container-title" : "Waste management (New York, N.Y.)", "id" : "ITEM-1", "issue" : "2", "issued" : { "date-parts" : [ [ "2013", "2" ] ] }, "page" : "308-16", "publisher" : "Elsevier Ltd", "title" : "High-solids anaerobic co-digestion of sewage sludge and food waste in comparison with mono digestions: stability and performance.", "type" : "article-journal", "volume" : "33" }, "uris" : [ "http://www.mendeley.com/documents/?uuid=dc8f6753-fc5c-43c9-9e3c-e2783f0dace8" ] } ], "mendeley" : { "formattedCitation" : "[35]", "plainTextFormattedCitation" : "[35]", "previouslyFormattedCitation" : "[35]"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[35]</w:t>
      </w:r>
      <w:r w:rsidR="00C4570E">
        <w:rPr>
          <w:rFonts w:asciiTheme="minorHAnsi" w:eastAsia="Calibri" w:hAnsiTheme="minorHAnsi" w:cs="Calibri"/>
          <w:color w:val="000000"/>
          <w:sz w:val="22"/>
          <w:szCs w:val="22"/>
          <w:lang w:eastAsia="en-GB"/>
        </w:rPr>
        <w:fldChar w:fldCharType="end"/>
      </w:r>
      <w:r w:rsidR="00C4570E">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with promising results. </w:t>
      </w:r>
    </w:p>
    <w:p w14:paraId="4EBBBA7C" w14:textId="77777777" w:rsidR="003250CB" w:rsidRDefault="003250CB" w:rsidP="003250CB">
      <w:pPr>
        <w:spacing w:line="360" w:lineRule="auto"/>
        <w:rPr>
          <w:rFonts w:asciiTheme="minorHAnsi" w:eastAsia="Calibri" w:hAnsiTheme="minorHAnsi" w:cs="Calibri"/>
          <w:color w:val="000000"/>
          <w:sz w:val="22"/>
          <w:szCs w:val="22"/>
          <w:lang w:eastAsia="en-GB"/>
        </w:rPr>
      </w:pPr>
    </w:p>
    <w:p w14:paraId="5D2D6C98" w14:textId="1ED712E0" w:rsidR="00436CD0" w:rsidRPr="00DF337D" w:rsidRDefault="00DF337D" w:rsidP="003250CB">
      <w:pPr>
        <w:pStyle w:val="Heading1"/>
      </w:pPr>
      <w:bookmarkStart w:id="43" w:name="_Toc462575261"/>
      <w:r w:rsidRPr="00DF337D">
        <w:t xml:space="preserve">2.2. </w:t>
      </w:r>
      <w:r w:rsidR="00436CD0" w:rsidRPr="00DF337D">
        <w:t>Methanogenesis</w:t>
      </w:r>
      <w:bookmarkEnd w:id="43"/>
    </w:p>
    <w:p w14:paraId="32ABE0F5" w14:textId="1F11292E"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The last biochemical reaction involved in AD, methanogenesis, is responsible for the majority of natural and anthropogenic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gas emissions in the world</w:t>
      </w:r>
      <w:r w:rsidR="00C4570E">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"10.1016/S0005-2728(00)00274-7", "ISBN" : "0006-3002 (Print) 0006-3002 (Linking)", "ISSN" : "0006-3002", "PMID" : "11248186", "abstract" : "Methanogenic archaea are dependent on sodium ions for methane formation. A sodium ion-dependent step has been shown to be methyl transfer from N5-methyltetrahydromethanopterin to coenzyme M. This exergonic reaction (??G????? = -30 kJ/mol) is catalyzed by a Na+-translocating membrane-associated multienzyme complex composed of eight different subunits, MtrA-H. Subunit MtrA harbors a cob(I)amide prosthetic group which is methylated and demethylated in the catalytic cycle, demethylation being sodium ion-dependent. Based on the finding that in the cob(II)amide oxidation state the corrinoid is bound in a base-off/His-on configuration it is proposed that methyl transfer from MtrA to coenzyme M is associated with a conformational change of the protein and that this change drives the electrogenic translocation of the sodium ions. ?? 2001 Elsevier Science B.V.", "author" : [ { "dropping-particle" : "", "family" : "Gottschalk", "given" : "Gerhard", "non-dropping-particle" : "", "parse-names" : false, "suffix" : "" }, { "dropping-particle" : "", "family" : "Thauer", "given" : "Rudolf K.", "non-dropping-particle" : "", "parse-names" : false, "suffix" : "" } ], "container-title" : "Biochimica et Biophysica Acta - Bioenergetics", "id" : "ITEM-1", "issue" : "1", "issued" : { "date-parts" : [ [ "2001" ] ] }, "page" : "28-36", "title" : "The Na+-translocating methyltransferase complex from methanogenic archaea", "type" : "article-journal", "volume" : "1505" }, "uris" : [ "http://www.mendeley.com/documents/?uuid=8b6cf6dd-603b-42a9-8e40-f1cd1c788fee" ] } ], "mendeley" : { "formattedCitation" : "[36]", "plainTextFormattedCitation" : "[36]", "previouslyFormattedCitation" : "[36]"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[36]</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It is one of the most primitive and ancient known metabolic pathways, pre-dating many forms of respiration, such as photosynthesis, and is an important biochemical reaction that maintains the global flux and balance of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w:t>
      </w:r>
      <w:r w:rsidR="00C457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"10.1111/j.1574-6976.2011.00265.x", "ISBN" : "1574-6976", "ISSN" : "01686445", "PMID" : "21265868", "abstract" : "The tree of life is split into three main branches: eukaryotes, bacteria, and archaea. Our knowledge of eukaryotic and bacteria cell biology has been built on a foundation of studies in model organisms, using the complementary approaches of genetics and biochemistry. Archaea have led to some exciting discoveries in the field of biochemistry, but archaeal genetics has been slow to get off the ground, not least because these organisms inhabit some of the more inhospitable places on earth and are therefore believed to be difficult to culture. In fact, many species can be cultivated with relative ease and there has been tremendous progress in the development of genetic tools for both major archaeal phyla, the Euryarchaeota and the Crenarchaeota. There are several model organisms available for methanogens, halophiles, and thermophiles; in the latter group, there are genetic systems for Sulfolobales and Thermococcales. In this review, we present the advantages and disadvantages of working with each archaeal group, give an overview of their different genetic systems, and direct the neophyte archaeologist to the most appropriate model organism.", "author" : [ { "dropping-particle" : "", "family" : "Leigh", "given" : "John a.", "non-dropping-particle" : "", "parse-names" : false, "suffix" : "" }, { "dropping-particle" : "", "family" : "Albers", "given" : "Sonja Verena", "non-dropping-particle" : "", "parse-names" : false, "suffix" : "" }, { "dropping-particle" : "", "family" : "Atomi", "given" : "Haruyuki", "non-dropping-particle" : "", "parse-names" : false, "suffix" : "" }, { "dropping-particle" : "", "family" : "Allers", "given" : "Thorsten", "non-dropping-particle" : "", "parse-names" : false, "suffix" : "" } ], "container-title" : "FEMS Microbiology Reviews", "id" : "ITEM-1", "issue" : "4", "issued" : { "date-parts" : [ [ "2011" ] ] }, "page" : "577-608", "title" : "Model organisms for genetics in the domain Archaea: Methanogens, halophiles, Thermococcales and Sulfolobales", "type" : "article-journal", "volume" : "35" }, "uris" : [ "http://www.mendeley.com/documents/?uuid=4ebcbdea-10d4-4008-a94d-9178d71abde9" ] } ], "mendeley" : { "formattedCitation" : "[37]", "plainTextFormattedCitation" : "[37]", "previouslyFormattedCitation" : "[37]"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[37]</w:t>
      </w:r>
      <w:r w:rsidR="00C457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In fact, methanogens are the only organisms known to biologically produce CH</w:t>
      </w:r>
      <w:r w:rsidRPr="00C44D8C">
        <w:rPr>
          <w:rFonts w:asciiTheme="minorHAnsi" w:eastAsia="Calibri" w:hAnsiTheme="minorHAnsi" w:cs="Calibri"/>
          <w:color w:val="000000"/>
          <w:sz w:val="22"/>
          <w:szCs w:val="22"/>
          <w:vertAlign w:val="subscript"/>
          <w:lang w:eastAsia="en-GB"/>
        </w:rPr>
        <w:t xml:space="preserve">4 </w:t>
      </w:r>
      <w:r w:rsidR="00C457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"10.1016/S0005-2728(00)00274-7", "ISBN" : "0006-3002 (Print) 0006-3002 (Linking)", "ISSN" : "0006-3002", "PMID" : "11248186", "abstract" : "Methanogenic archaea are dependent on sodium ions for methane formation. A sodium ion-dependent step has been shown to be methyl transfer from N5-methyltetrahydromethanopterin to coenzyme M. This exergonic reaction (??G????? = -30 kJ/mol) is catalyzed by a Na+-translocating membrane-associated multienzyme complex composed of eight different subunits, MtrA-H. Subunit MtrA harbors a cob(I)amide prosthetic group which is methylated and demethylated in the catalytic cycle, demethylation being sodium ion-dependent. Based on the finding that in the cob(II)amide oxidation state the corrinoid is bound in a base-off/His-on configuration it is proposed that methyl transfer from MtrA to coenzyme M is associated with a conformational change of the protein and that this change drives the electrogenic translocation of the sodium ions. ?? 2001 Elsevier Science B.V.", "author" : [ { "dropping-particle" : "", "family" : "Gottschalk", "given" : "Gerhard", "non-dropping-particle" : "", "parse-names" : false, "suffix" : "" }, { "dropping-particle" : "", "family" : "Thauer", "given" : "Rudolf K.", "non-dropping-particle" : "", "parse-names" : false, "suffix" : "" } ], "container-title" : "Biochimica et Biophysica Acta - Bioenergetics", "id" : "ITEM-1", "issue" : "1", "issued" : { "date-parts" : [ [ "2001" ] ] }, "page" : "28-36", "title" : "The Na+-translocating methyltransferase complex from methanogenic archaea", "type" : "article-journal", "volume" : "1505" }, "uris" : [ "http://www.mendeley.com/documents/?uuid=8b6cf6dd-603b-42a9-8e40-f1cd1c788fee" ] } ], "mendeley" : { "formattedCitation" : "[36]", "plainTextFormattedCitation" : "[36]", "previouslyFormattedCitation" : "[36]" }, "properties" : { "noteIndex" : 0 }, "schema" : "https://github.com/citation-style-language/schema/raw/master/csl-citation.json" }</w:instrText>
      </w:r>
      <w:r w:rsidR="00C457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[36]</w:t>
      </w:r>
      <w:r w:rsidR="00C4570E">
        <w:rPr>
          <w:rFonts w:asciiTheme="minorHAnsi" w:eastAsia="Calibri" w:hAnsiTheme="minorHAnsi" w:cs="Calibri"/>
          <w:color w:val="000000"/>
          <w:sz w:val="22"/>
          <w:szCs w:val="22"/>
          <w:lang w:eastAsia="en-GB"/>
        </w:rPr>
        <w:fldChar w:fldCharType="end"/>
      </w:r>
      <w:r w:rsidR="00C4570E">
        <w:rPr>
          <w:rFonts w:asciiTheme="minorHAnsi" w:eastAsia="Calibri" w:hAnsiTheme="minorHAnsi" w:cs="Calibri"/>
          <w:color w:val="000000"/>
          <w:sz w:val="22"/>
          <w:szCs w:val="22"/>
          <w:lang w:eastAsia="en-GB"/>
        </w:rPr>
        <w:t>.</w:t>
      </w:r>
    </w:p>
    <w:p w14:paraId="0FFD4415" w14:textId="12AB5D1E" w:rsidR="003250CB" w:rsidRDefault="00436CD0" w:rsidP="003250CB">
      <w:pPr>
        <w:spacing w:line="360" w:lineRule="auto"/>
        <w:ind w:firstLine="720"/>
        <w:rPr>
          <w:rFonts w:asciiTheme="minorHAnsi" w:eastAsia="Calibri" w:hAnsiTheme="minorHAnsi" w:cs="Calibri"/>
          <w:color w:val="000000"/>
          <w:sz w:val="22"/>
          <w:szCs w:val="22"/>
          <w:lang w:eastAsia="en-GB"/>
        </w:rPr>
        <w:sectPr w:rsidR="003250CB"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en-GB"/>
        </w:rPr>
        <w:t>Given the diversity of the methanogenic archaea</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it is somewhat surprising that they produce CH</w:t>
      </w:r>
      <w:r w:rsidRPr="00C44D8C">
        <w:rPr>
          <w:rFonts w:asciiTheme="minorHAnsi" w:eastAsia="Calibri" w:hAnsiTheme="minorHAnsi" w:cs="Calibri"/>
          <w:color w:val="000000"/>
          <w:sz w:val="22"/>
          <w:szCs w:val="22"/>
          <w:vertAlign w:val="subscript"/>
          <w:lang w:eastAsia="en-GB"/>
        </w:rPr>
        <w:t xml:space="preserve">4 </w:t>
      </w:r>
      <w:r w:rsidRPr="00C44D8C">
        <w:rPr>
          <w:rFonts w:asciiTheme="minorHAnsi" w:eastAsia="Calibri" w:hAnsiTheme="minorHAnsi" w:cs="Calibri"/>
          <w:color w:val="000000"/>
          <w:sz w:val="22"/>
          <w:szCs w:val="22"/>
          <w:lang w:eastAsia="en-GB"/>
        </w:rPr>
        <w:t xml:space="preserve">from a limited number of specific substrates using extremely specialised metabolic pathways </w:t>
      </w:r>
      <w:r w:rsidR="000306E8">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"10.1007/BF00871644", "ISSN" : "0003-6072", "abstract" : "In methanogenic environments organic matter is degraded by associations of fermenting, acetogenic and methanogenic bacteria. Hydrogen and formate consumption, and to some extent also acetate consumption, by methanogens affects the metabolism of the other bacteria. Product formation of fermenting bacteria is shifted to more oxidized products, while acetogenic bacteria are only able to metabolize compounds when methanogens consume hydrogen and formate efficiently. These types of metabolic interaction between anaerobic bacteria is due to the fact that the oxidation of NADH and FADH(2) coupled to proton or bicarbonate reduction is thermodynamically only feasible at low hydrogen and formate concentrations. Syntrophic relationships which depend on interspecies hydrogen or formate transfer were described for the degradation of e.g. fatty acids, amino acids and aromatic compounds.", "author" : [ { "dropping-particle" : "", "family" : "Stams", "given" : "Ajm", "non-dropping-particle" : "", "parse-names" : false, "suffix" : "" } ], "container-title" : "Antonie Van Leeuwenhoek International Journal of General and Molecular Microbiology", "id" : "ITEM-1", "issued" : { "date-parts" : [ [ "1994" ] ] }, "page" : "271-294", "title" : "Metabolic Interactions Between Anaerobic-Bacteria in Methanogenic Environments", "type" : "article-journal", "volume" : "66" }, "uris" : [ "http://www.mendeley.com/documents/?uuid=2a391f1f-8dd4-41cd-9dcd-31b064ad739f" ] } ], "mendeley" : { "formattedCitation" : "[38]", "plainTextFormattedCitation" : "[38]", "previouslyFormattedCitation" : "[38]" }, "properties" : { "noteIndex" : 0 }, "schema" : "https://github.com/citation-style-language/schema/raw/master/csl-citation.json" }</w:instrText>
      </w:r>
      <w:r w:rsidR="000306E8">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[38]</w:t>
      </w:r>
      <w:r w:rsidR="000306E8">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These methanogenesis pathways are listed in Table 2.1 and are schematically depicted in Fig. 2.2, along </w:t>
      </w:r>
      <w:r w:rsidR="003250CB">
        <w:rPr>
          <w:rFonts w:asciiTheme="minorHAnsi" w:eastAsia="Calibri" w:hAnsiTheme="minorHAnsi" w:cs="Calibri"/>
          <w:color w:val="000000"/>
          <w:sz w:val="22"/>
          <w:szCs w:val="22"/>
          <w:lang w:eastAsia="en-GB"/>
        </w:rPr>
        <w:t>with their associated enzymes.</w:t>
      </w:r>
    </w:p>
    <w:p w14:paraId="6CBB2058" w14:textId="379A7C5C"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lastRenderedPageBreak/>
        <w:t>Table 2.1</w:t>
      </w:r>
      <w:r w:rsidRPr="00C44D8C">
        <w:rPr>
          <w:rFonts w:asciiTheme="minorHAnsi" w:eastAsia="Calibri" w:hAnsiTheme="minorHAnsi" w:cs="Calibri"/>
          <w:color w:val="000000"/>
          <w:sz w:val="22"/>
          <w:szCs w:val="22"/>
          <w:lang w:eastAsia="en-GB"/>
        </w:rPr>
        <w:t xml:space="preserve"> Specialised metabolic path</w:t>
      </w:r>
      <w:r w:rsidR="000306E8">
        <w:rPr>
          <w:rFonts w:asciiTheme="minorHAnsi" w:eastAsia="Calibri" w:hAnsiTheme="minorHAnsi" w:cs="Calibri"/>
          <w:color w:val="000000"/>
          <w:sz w:val="22"/>
          <w:szCs w:val="22"/>
          <w:lang w:eastAsia="en-GB"/>
        </w:rPr>
        <w:t xml:space="preserve">ways of the methanogen archaea </w:t>
      </w:r>
      <w:r w:rsidR="000306E8">
        <w:rPr>
          <w:rFonts w:asciiTheme="minorHAnsi" w:eastAsia="Calibri" w:hAnsiTheme="minorHAnsi" w:cs="Calibri"/>
          <w:color w:val="000000"/>
          <w:sz w:val="22"/>
          <w:szCs w:val="22"/>
          <w:lang w:eastAsia="en-GB"/>
        </w:rPr>
        <w:fldChar w:fldCharType="begin" w:fldLock="1"/>
      </w:r>
      <w:r w:rsidR="000306E8">
        <w:rPr>
          <w:rFonts w:asciiTheme="minorHAnsi" w:eastAsia="Calibri" w:hAnsiTheme="minorHAnsi" w:cs="Calibri"/>
          <w:color w:val="000000"/>
          <w:sz w:val="22"/>
          <w:szCs w:val="22"/>
          <w:lang w:eastAsia="en-GB"/>
        </w:rPr>
        <w:instrText>ADDIN CSL_CITATION { "citationItems" : [ { "id" : "ITEM-1", "itemData" : { "DOI" : "10.1128/JB.01424-07", "ISBN" : "0021-9193", "ISSN" : "00219193", "PMID" : "18178739", "abstract" : "A series of Methanosarcina barkeri mutants lacking the genes encoding the enzymes involved in the C1 oxidation/reduction pathway were constructed. Mutants lacking the methyl-tetrahydromethanopterin (H4MPT):coenzyme M (CoM) methyltransferase-encoding operon (delta mtr), the methylene-H4MPT reductase-encoding gene (delta mer), the methylene-H4MPT dehydrogenase-encoding gene (delta mtd), and the formyl-methanofuran:H4MPT formyl-transferase-encoding gene (delta ftr) all failed to grow using either methanol or H2/CO2 as a growth substrate, indicating that there is an absolute requirement for the C1 oxidation/reduction pathway for hydrogenotrophic and methylotrophic methanogenesis. The mutants also failed to grow on acetate, and we suggest that this was due to an inability to generate the reducing equivalents needed for biosynthetic reactions. Despite their lack of growth on methanol, the delta mtr and delta mer mutants were capable of producing methane from this substrate, whereas the delta mtd and delta ftr mutants were not. Thus, there is an Mtr/Mer bypass pathway that allows oxidation of methanol to the level of methylene-H4MPT in M. barkeri. The data further suggested that formaldehyde may be an intermediate in this bypass; however, no methanol dehydrogenase activity was found in delta mtr cell extracts, nor was there an obligate role for the formaldehyde-activating enzyme (Fae), which has been shown to catalyze the condensation of formaldehyde and H4MPT in vitro. Both the delta mer and delta mtr mutants were able to grow on a combination of methanol plus acetate, but they did so by metabolic pathways that are clearly distinct from each other and from previously characterized methanogenic pathways.", "author" : [ { "dropping-particle" : "V.", "family" : "Welander", "given" : "Paula", "non-dropping-particle" : "", "parse-names" : false, "suffix" : "" }, { "dropping-particle" : "", "family" : "Metcalf", "given" : "William W.", "non-dropping-particle" : "", "parse-names" : false, "suffix" : "" } ], "container-title" : "Journal of Bacteriology", "id" : "ITEM-1", "issued" : { "date-parts" : [ [ "2008" ] ] }, "page" : "1928-1936", "title" : "Mutagenesis of the C1 oxidation pathway in Methanosarcina barkeri: New insights into the Mtr/Mer bypass pathway", "type" : "article-journal", "volume" : "190" }, "uris" : [ "http://www.mendeley.com/documents/?uuid=a53acf39-0f97-3b08-8426-8eadf64811cf" ] } ], "mendeley" : { "formattedCitation" : "[18]", "plainTextFormattedCitation" : "[18]", "previouslyFormattedCitation" : "[18]" }, "properties" : { "noteIndex" : 0 }, "schema" : "https://github.com/citation-style-language/schema/raw/master/csl-citation.json" }</w:instrText>
      </w:r>
      <w:r w:rsidR="000306E8">
        <w:rPr>
          <w:rFonts w:asciiTheme="minorHAnsi" w:eastAsia="Calibri" w:hAnsiTheme="minorHAnsi" w:cs="Calibri"/>
          <w:color w:val="000000"/>
          <w:sz w:val="22"/>
          <w:szCs w:val="22"/>
          <w:lang w:eastAsia="en-GB"/>
        </w:rPr>
        <w:fldChar w:fldCharType="separate"/>
      </w:r>
      <w:r w:rsidR="000306E8" w:rsidRPr="000306E8">
        <w:rPr>
          <w:rFonts w:asciiTheme="minorHAnsi" w:eastAsia="Calibri" w:hAnsiTheme="minorHAnsi" w:cs="Calibri"/>
          <w:noProof/>
          <w:color w:val="000000"/>
          <w:sz w:val="22"/>
          <w:szCs w:val="22"/>
          <w:lang w:eastAsia="en-GB"/>
        </w:rPr>
        <w:t>[18]</w:t>
      </w:r>
      <w:r w:rsidR="000306E8">
        <w:rPr>
          <w:rFonts w:asciiTheme="minorHAnsi" w:eastAsia="Calibri" w:hAnsiTheme="minorHAnsi" w:cs="Calibri"/>
          <w:color w:val="000000"/>
          <w:sz w:val="22"/>
          <w:szCs w:val="22"/>
          <w:lang w:eastAsia="en-GB"/>
        </w:rPr>
        <w:fldChar w:fldCharType="end"/>
      </w:r>
      <w:r w:rsidR="000306E8">
        <w:rPr>
          <w:rFonts w:asciiTheme="minorHAnsi" w:eastAsia="Calibri" w:hAnsiTheme="minorHAnsi" w:cs="Calibri"/>
          <w:color w:val="000000"/>
          <w:sz w:val="22"/>
          <w:szCs w:val="22"/>
          <w:lang w:eastAsia="en-GB"/>
        </w:rPr>
        <w:t>.</w:t>
      </w:r>
    </w:p>
    <w:tbl>
      <w:tblPr>
        <w:tblW w:w="7507" w:type="dxa"/>
        <w:tblInd w:w="-120" w:type="dxa"/>
        <w:tblLayout w:type="fixed"/>
        <w:tblLook w:val="0600" w:firstRow="0" w:lastRow="0" w:firstColumn="0" w:lastColumn="0" w:noHBand="1" w:noVBand="1"/>
      </w:tblPr>
      <w:tblGrid>
        <w:gridCol w:w="2425"/>
        <w:gridCol w:w="2523"/>
        <w:gridCol w:w="2559"/>
      </w:tblGrid>
      <w:tr w:rsidR="00436CD0" w:rsidRPr="00C44D8C" w14:paraId="32CAABD5" w14:textId="77777777" w:rsidTr="00D20D2A">
        <w:trPr>
          <w:cantSplit/>
          <w:trHeight w:val="744"/>
        </w:trPr>
        <w:tc>
          <w:tcPr>
            <w:tcW w:w="2425" w:type="dxa"/>
            <w:tcBorders>
              <w:bottom w:val="single" w:sz="4" w:space="0" w:color="000000"/>
              <w:right w:val="single" w:sz="4" w:space="0" w:color="auto"/>
            </w:tcBorders>
            <w:tcMar>
              <w:left w:w="120" w:type="dxa"/>
              <w:right w:w="120" w:type="dxa"/>
            </w:tcMar>
          </w:tcPr>
          <w:p w14:paraId="61D4B5B8"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p>
          <w:p w14:paraId="384C4775"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Metabolic pathway</w:t>
            </w:r>
          </w:p>
        </w:tc>
        <w:tc>
          <w:tcPr>
            <w:tcW w:w="2523" w:type="dxa"/>
            <w:tcBorders>
              <w:left w:val="single" w:sz="4" w:space="0" w:color="auto"/>
              <w:bottom w:val="single" w:sz="4" w:space="0" w:color="000000"/>
              <w:right w:val="single" w:sz="4" w:space="0" w:color="auto"/>
            </w:tcBorders>
            <w:tcMar>
              <w:left w:w="120" w:type="dxa"/>
              <w:right w:w="120" w:type="dxa"/>
            </w:tcMar>
          </w:tcPr>
          <w:p w14:paraId="615E37C2"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p>
          <w:p w14:paraId="768DE8A9"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Reaction</w:t>
            </w:r>
          </w:p>
        </w:tc>
        <w:tc>
          <w:tcPr>
            <w:tcW w:w="2559" w:type="dxa"/>
            <w:tcBorders>
              <w:left w:val="single" w:sz="4" w:space="0" w:color="auto"/>
              <w:bottom w:val="single" w:sz="4" w:space="0" w:color="000000"/>
            </w:tcBorders>
            <w:tcMar>
              <w:left w:w="120" w:type="dxa"/>
              <w:right w:w="120" w:type="dxa"/>
            </w:tcMar>
          </w:tcPr>
          <w:p w14:paraId="3D239DC5"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p>
          <w:p w14:paraId="1A686A82" w14:textId="1B2BD280" w:rsidR="00436CD0" w:rsidRPr="00C44D8C" w:rsidRDefault="00436CD0" w:rsidP="00B95E97">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 xml:space="preserve">Methanogenic </w:t>
            </w:r>
            <w:r w:rsidR="00B95E97">
              <w:rPr>
                <w:rFonts w:asciiTheme="minorHAnsi" w:eastAsia="Calibri" w:hAnsiTheme="minorHAnsi" w:cs="Calibri"/>
                <w:b/>
                <w:color w:val="000000"/>
                <w:sz w:val="22"/>
                <w:szCs w:val="22"/>
                <w:lang w:eastAsia="en-GB"/>
              </w:rPr>
              <w:t>family</w:t>
            </w:r>
          </w:p>
        </w:tc>
      </w:tr>
      <w:tr w:rsidR="00436CD0" w:rsidRPr="00C44D8C" w14:paraId="4B238D27" w14:textId="77777777" w:rsidTr="00D20D2A">
        <w:trPr>
          <w:cantSplit/>
          <w:trHeight w:val="1480"/>
        </w:trPr>
        <w:tc>
          <w:tcPr>
            <w:tcW w:w="2425" w:type="dxa"/>
            <w:tcBorders>
              <w:top w:val="single" w:sz="4" w:space="0" w:color="000000"/>
              <w:right w:val="single" w:sz="4" w:space="0" w:color="auto"/>
            </w:tcBorders>
            <w:tcMar>
              <w:left w:w="120" w:type="dxa"/>
              <w:right w:w="120" w:type="dxa"/>
            </w:tcMar>
          </w:tcPr>
          <w:p w14:paraId="242EE378"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35D94B4F"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CO</w:t>
            </w:r>
            <w:r w:rsidRPr="00C44D8C">
              <w:rPr>
                <w:rFonts w:asciiTheme="minorHAnsi" w:eastAsia="Calibri" w:hAnsiTheme="minorHAnsi" w:cs="Calibri"/>
                <w:color w:val="000000"/>
                <w:sz w:val="22"/>
                <w:szCs w:val="22"/>
                <w:vertAlign w:val="subscript"/>
                <w:lang w:eastAsia="en-GB"/>
              </w:rPr>
              <w:t xml:space="preserve">2 </w:t>
            </w:r>
            <w:r w:rsidRPr="00C44D8C">
              <w:rPr>
                <w:rFonts w:asciiTheme="minorHAnsi" w:eastAsia="Calibri" w:hAnsiTheme="minorHAnsi" w:cs="Calibri"/>
                <w:color w:val="000000"/>
                <w:sz w:val="22"/>
                <w:szCs w:val="22"/>
                <w:lang w:eastAsia="en-GB"/>
              </w:rPr>
              <w:t>reduction pathway (hydrogenotrophic)</w:t>
            </w:r>
          </w:p>
        </w:tc>
        <w:tc>
          <w:tcPr>
            <w:tcW w:w="2523" w:type="dxa"/>
            <w:tcBorders>
              <w:top w:val="single" w:sz="4" w:space="0" w:color="000000"/>
              <w:left w:val="single" w:sz="4" w:space="0" w:color="auto"/>
              <w:right w:val="single" w:sz="4" w:space="0" w:color="auto"/>
            </w:tcBorders>
            <w:tcMar>
              <w:left w:w="120" w:type="dxa"/>
              <w:right w:w="120" w:type="dxa"/>
            </w:tcMar>
          </w:tcPr>
          <w:p w14:paraId="6C2AF1EF"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46904EAB"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CO</w:t>
            </w:r>
            <w:r w:rsidRPr="00C44D8C">
              <w:rPr>
                <w:rFonts w:asciiTheme="minorHAnsi" w:eastAsia="Calibri" w:hAnsiTheme="minorHAnsi" w:cs="Calibri"/>
                <w:b/>
                <w:color w:val="000000"/>
                <w:sz w:val="22"/>
                <w:szCs w:val="22"/>
                <w:vertAlign w:val="subscript"/>
                <w:lang w:eastAsia="en-GB"/>
              </w:rPr>
              <w:t xml:space="preserve">2 </w:t>
            </w:r>
            <w:r w:rsidRPr="00C44D8C">
              <w:rPr>
                <w:rFonts w:asciiTheme="minorHAnsi" w:eastAsia="Calibri" w:hAnsiTheme="minorHAnsi" w:cs="Calibri"/>
                <w:b/>
                <w:color w:val="000000"/>
                <w:sz w:val="22"/>
                <w:szCs w:val="22"/>
                <w:lang w:eastAsia="en-GB"/>
              </w:rPr>
              <w:t>+ 4H</w:t>
            </w:r>
            <w:r w:rsidRPr="00C44D8C">
              <w:rPr>
                <w:rFonts w:asciiTheme="minorHAnsi" w:eastAsia="Calibri" w:hAnsiTheme="minorHAnsi" w:cs="Calibri"/>
                <w:b/>
                <w:color w:val="000000"/>
                <w:sz w:val="22"/>
                <w:szCs w:val="22"/>
                <w:vertAlign w:val="subscript"/>
                <w:lang w:eastAsia="en-GB"/>
              </w:rPr>
              <w:t xml:space="preserve">2 </w:t>
            </w:r>
            <w:r w:rsidRPr="00C44D8C">
              <w:rPr>
                <w:rFonts w:asciiTheme="minorHAnsi" w:eastAsia="Calibri" w:hAnsiTheme="minorHAnsi" w:cs="Calibri"/>
                <w:b/>
                <w:color w:val="000000"/>
                <w:sz w:val="22"/>
                <w:szCs w:val="22"/>
                <w:lang w:eastAsia="en-GB"/>
              </w:rPr>
              <w:t>→ CH</w:t>
            </w:r>
            <w:r w:rsidRPr="00C44D8C">
              <w:rPr>
                <w:rFonts w:asciiTheme="minorHAnsi" w:eastAsia="Calibri" w:hAnsiTheme="minorHAnsi" w:cs="Calibri"/>
                <w:b/>
                <w:color w:val="000000"/>
                <w:sz w:val="22"/>
                <w:szCs w:val="22"/>
                <w:vertAlign w:val="subscript"/>
                <w:lang w:eastAsia="en-GB"/>
              </w:rPr>
              <w:t xml:space="preserve">4 </w:t>
            </w:r>
            <w:r w:rsidRPr="00C44D8C">
              <w:rPr>
                <w:rFonts w:asciiTheme="minorHAnsi" w:eastAsia="Calibri" w:hAnsiTheme="minorHAnsi" w:cs="Calibri"/>
                <w:b/>
                <w:color w:val="000000"/>
                <w:sz w:val="22"/>
                <w:szCs w:val="22"/>
                <w:lang w:eastAsia="en-GB"/>
              </w:rPr>
              <w:t>+ 2H</w:t>
            </w:r>
            <w:r w:rsidRPr="00C44D8C">
              <w:rPr>
                <w:rFonts w:asciiTheme="minorHAnsi" w:eastAsia="Calibri" w:hAnsiTheme="minorHAnsi" w:cs="Calibri"/>
                <w:b/>
                <w:color w:val="000000"/>
                <w:sz w:val="22"/>
                <w:szCs w:val="22"/>
                <w:vertAlign w:val="subscript"/>
                <w:lang w:eastAsia="en-GB"/>
              </w:rPr>
              <w:t>2</w:t>
            </w:r>
            <w:r w:rsidRPr="00C44D8C">
              <w:rPr>
                <w:rFonts w:asciiTheme="minorHAnsi" w:eastAsia="Calibri" w:hAnsiTheme="minorHAnsi" w:cs="Calibri"/>
                <w:b/>
                <w:color w:val="000000"/>
                <w:sz w:val="22"/>
                <w:szCs w:val="22"/>
                <w:lang w:eastAsia="en-GB"/>
              </w:rPr>
              <w:t>O</w:t>
            </w:r>
          </w:p>
          <w:p w14:paraId="2926BEE1"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Reduction of CO</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xml:space="preserve"> using H</w:t>
            </w:r>
            <w:r w:rsidRPr="00C44D8C">
              <w:rPr>
                <w:rFonts w:asciiTheme="minorHAnsi" w:eastAsia="Calibri" w:hAnsiTheme="minorHAnsi" w:cs="Calibri"/>
                <w:color w:val="000000"/>
                <w:sz w:val="22"/>
                <w:szCs w:val="22"/>
                <w:vertAlign w:val="subscript"/>
                <w:lang w:eastAsia="en-GB"/>
              </w:rPr>
              <w:t xml:space="preserve">2 </w:t>
            </w:r>
            <w:r w:rsidRPr="00C44D8C">
              <w:rPr>
                <w:rFonts w:asciiTheme="minorHAnsi" w:eastAsia="Calibri" w:hAnsiTheme="minorHAnsi" w:cs="Calibri"/>
                <w:color w:val="000000"/>
                <w:sz w:val="22"/>
                <w:szCs w:val="22"/>
                <w:lang w:eastAsia="en-GB"/>
              </w:rPr>
              <w:t>as reductant</w:t>
            </w:r>
          </w:p>
        </w:tc>
        <w:tc>
          <w:tcPr>
            <w:tcW w:w="2559" w:type="dxa"/>
            <w:tcBorders>
              <w:top w:val="single" w:sz="4" w:space="0" w:color="000000"/>
              <w:left w:val="single" w:sz="4" w:space="0" w:color="auto"/>
            </w:tcBorders>
            <w:tcMar>
              <w:left w:w="120" w:type="dxa"/>
              <w:right w:w="120" w:type="dxa"/>
            </w:tcMar>
          </w:tcPr>
          <w:p w14:paraId="4E757F86"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i/>
                <w:color w:val="000000"/>
                <w:sz w:val="22"/>
                <w:szCs w:val="22"/>
                <w:lang w:eastAsia="en-GB"/>
              </w:rPr>
              <w:t>Methanobacteriales</w:t>
            </w:r>
          </w:p>
          <w:p w14:paraId="0CAA23F4"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i/>
                <w:color w:val="000000"/>
                <w:sz w:val="22"/>
                <w:szCs w:val="22"/>
                <w:lang w:eastAsia="en-GB"/>
              </w:rPr>
              <w:t>Methanococcales</w:t>
            </w:r>
          </w:p>
          <w:p w14:paraId="76320D2C"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i/>
                <w:color w:val="000000"/>
                <w:sz w:val="22"/>
                <w:szCs w:val="22"/>
                <w:lang w:eastAsia="en-GB"/>
              </w:rPr>
              <w:t>Methanomicrobiales</w:t>
            </w:r>
          </w:p>
          <w:p w14:paraId="79304066"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i/>
                <w:color w:val="000000"/>
                <w:sz w:val="22"/>
                <w:szCs w:val="22"/>
                <w:lang w:eastAsia="en-GB"/>
              </w:rPr>
              <w:t>Methanosarcinaceae</w:t>
            </w:r>
          </w:p>
        </w:tc>
      </w:tr>
      <w:tr w:rsidR="00436CD0" w:rsidRPr="00C44D8C" w14:paraId="1F142158" w14:textId="77777777" w:rsidTr="00D20D2A">
        <w:trPr>
          <w:cantSplit/>
          <w:trHeight w:val="2225"/>
        </w:trPr>
        <w:tc>
          <w:tcPr>
            <w:tcW w:w="2425" w:type="dxa"/>
            <w:tcBorders>
              <w:right w:val="single" w:sz="4" w:space="0" w:color="auto"/>
            </w:tcBorders>
            <w:tcMar>
              <w:left w:w="120" w:type="dxa"/>
              <w:right w:w="120" w:type="dxa"/>
            </w:tcMar>
          </w:tcPr>
          <w:p w14:paraId="2DEAF400"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299F6DE2"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Methylotrophic pathway</w:t>
            </w:r>
          </w:p>
        </w:tc>
        <w:tc>
          <w:tcPr>
            <w:tcW w:w="2523" w:type="dxa"/>
            <w:tcBorders>
              <w:left w:val="single" w:sz="4" w:space="0" w:color="auto"/>
              <w:right w:val="single" w:sz="4" w:space="0" w:color="auto"/>
            </w:tcBorders>
            <w:tcMar>
              <w:left w:w="120" w:type="dxa"/>
              <w:right w:w="120" w:type="dxa"/>
            </w:tcMar>
          </w:tcPr>
          <w:p w14:paraId="64472E52"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19C8FAF9"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4CH</w:t>
            </w:r>
            <w:r w:rsidRPr="00C44D8C">
              <w:rPr>
                <w:rFonts w:asciiTheme="minorHAnsi" w:eastAsia="Calibri" w:hAnsiTheme="minorHAnsi" w:cs="Calibri"/>
                <w:b/>
                <w:color w:val="000000"/>
                <w:sz w:val="22"/>
                <w:szCs w:val="22"/>
                <w:vertAlign w:val="subscript"/>
                <w:lang w:eastAsia="en-GB"/>
              </w:rPr>
              <w:t>3</w:t>
            </w:r>
            <w:r w:rsidRPr="00C44D8C">
              <w:rPr>
                <w:rFonts w:asciiTheme="minorHAnsi" w:eastAsia="Calibri" w:hAnsiTheme="minorHAnsi" w:cs="Calibri"/>
                <w:b/>
                <w:color w:val="000000"/>
                <w:sz w:val="22"/>
                <w:szCs w:val="22"/>
                <w:lang w:eastAsia="en-GB"/>
              </w:rPr>
              <w:t>OH → 3CH</w:t>
            </w:r>
            <w:r w:rsidRPr="00C44D8C">
              <w:rPr>
                <w:rFonts w:asciiTheme="minorHAnsi" w:eastAsia="Calibri" w:hAnsiTheme="minorHAnsi" w:cs="Calibri"/>
                <w:b/>
                <w:color w:val="000000"/>
                <w:sz w:val="22"/>
                <w:szCs w:val="22"/>
                <w:vertAlign w:val="subscript"/>
                <w:lang w:eastAsia="en-GB"/>
              </w:rPr>
              <w:t>4</w:t>
            </w:r>
            <w:r w:rsidRPr="00C44D8C">
              <w:rPr>
                <w:rFonts w:asciiTheme="minorHAnsi" w:eastAsia="Calibri" w:hAnsiTheme="minorHAnsi" w:cs="Calibri"/>
                <w:b/>
                <w:color w:val="000000"/>
                <w:sz w:val="22"/>
                <w:szCs w:val="22"/>
                <w:lang w:eastAsia="en-GB"/>
              </w:rPr>
              <w:t xml:space="preserve"> + CO</w:t>
            </w:r>
            <w:r w:rsidRPr="00C44D8C">
              <w:rPr>
                <w:rFonts w:asciiTheme="minorHAnsi" w:eastAsia="Calibri" w:hAnsiTheme="minorHAnsi" w:cs="Calibri"/>
                <w:b/>
                <w:color w:val="000000"/>
                <w:sz w:val="22"/>
                <w:szCs w:val="22"/>
                <w:vertAlign w:val="subscript"/>
                <w:lang w:eastAsia="en-GB"/>
              </w:rPr>
              <w:t>2</w:t>
            </w:r>
            <w:r w:rsidRPr="00C44D8C">
              <w:rPr>
                <w:rFonts w:asciiTheme="minorHAnsi" w:eastAsia="Calibri" w:hAnsiTheme="minorHAnsi" w:cs="Calibri"/>
                <w:b/>
                <w:color w:val="000000"/>
                <w:sz w:val="22"/>
                <w:szCs w:val="22"/>
                <w:lang w:eastAsia="en-GB"/>
              </w:rPr>
              <w:t xml:space="preserve"> + 2H</w:t>
            </w:r>
            <w:r w:rsidRPr="00C44D8C">
              <w:rPr>
                <w:rFonts w:asciiTheme="minorHAnsi" w:eastAsia="Calibri" w:hAnsiTheme="minorHAnsi" w:cs="Calibri"/>
                <w:b/>
                <w:color w:val="000000"/>
                <w:sz w:val="22"/>
                <w:szCs w:val="22"/>
                <w:vertAlign w:val="subscript"/>
                <w:lang w:eastAsia="en-GB"/>
              </w:rPr>
              <w:t>2</w:t>
            </w:r>
            <w:r w:rsidRPr="00C44D8C">
              <w:rPr>
                <w:rFonts w:asciiTheme="minorHAnsi" w:eastAsia="Calibri" w:hAnsiTheme="minorHAnsi" w:cs="Calibri"/>
                <w:b/>
                <w:color w:val="000000"/>
                <w:sz w:val="22"/>
                <w:szCs w:val="22"/>
                <w:lang w:eastAsia="en-GB"/>
              </w:rPr>
              <w:t>O</w:t>
            </w:r>
          </w:p>
          <w:p w14:paraId="4E50ED9C"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Conversion of methylated compounds, such as methanol and methylamines into CO</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xml:space="preserve"> and CH</w:t>
            </w:r>
            <w:r w:rsidRPr="00C44D8C">
              <w:rPr>
                <w:rFonts w:asciiTheme="minorHAnsi" w:eastAsia="Calibri" w:hAnsiTheme="minorHAnsi" w:cs="Calibri"/>
                <w:color w:val="000000"/>
                <w:sz w:val="22"/>
                <w:szCs w:val="22"/>
                <w:vertAlign w:val="subscript"/>
                <w:lang w:eastAsia="en-GB"/>
              </w:rPr>
              <w:t>4</w:t>
            </w:r>
          </w:p>
        </w:tc>
        <w:tc>
          <w:tcPr>
            <w:tcW w:w="2559" w:type="dxa"/>
            <w:tcBorders>
              <w:left w:val="single" w:sz="4" w:space="0" w:color="auto"/>
            </w:tcBorders>
            <w:tcMar>
              <w:left w:w="120" w:type="dxa"/>
              <w:right w:w="120" w:type="dxa"/>
            </w:tcMar>
          </w:tcPr>
          <w:p w14:paraId="11B85AA2"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6879ADF9" w14:textId="77777777" w:rsidR="00436CD0" w:rsidRPr="00C44D8C" w:rsidRDefault="00436CD0" w:rsidP="00436CD0">
            <w:pPr>
              <w:spacing w:line="360" w:lineRule="auto"/>
              <w:jc w:val="center"/>
              <w:rPr>
                <w:rFonts w:asciiTheme="minorHAnsi" w:eastAsia="Arial" w:hAnsiTheme="minorHAnsi" w:cs="Arial"/>
                <w:color w:val="000000"/>
                <w:sz w:val="22"/>
                <w:szCs w:val="22"/>
                <w:lang w:eastAsia="en-GB"/>
              </w:rPr>
            </w:pPr>
            <w:r w:rsidRPr="00C44D8C">
              <w:rPr>
                <w:rFonts w:asciiTheme="minorHAnsi" w:eastAsia="Calibri" w:hAnsiTheme="minorHAnsi" w:cs="Calibri"/>
                <w:i/>
                <w:color w:val="000000"/>
                <w:sz w:val="22"/>
                <w:szCs w:val="22"/>
                <w:lang w:eastAsia="en-GB"/>
              </w:rPr>
              <w:t>Methanosarcinaceae</w:t>
            </w:r>
          </w:p>
        </w:tc>
      </w:tr>
      <w:tr w:rsidR="00436CD0" w:rsidRPr="00C44D8C" w14:paraId="71685B6C" w14:textId="77777777" w:rsidTr="00D20D2A">
        <w:trPr>
          <w:cantSplit/>
          <w:trHeight w:val="1848"/>
        </w:trPr>
        <w:tc>
          <w:tcPr>
            <w:tcW w:w="2425" w:type="dxa"/>
            <w:tcBorders>
              <w:right w:val="single" w:sz="4" w:space="0" w:color="auto"/>
            </w:tcBorders>
            <w:tcMar>
              <w:left w:w="120" w:type="dxa"/>
              <w:right w:w="120" w:type="dxa"/>
            </w:tcMar>
          </w:tcPr>
          <w:p w14:paraId="624FF86B"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p>
          <w:p w14:paraId="30FA1DB4"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Methyl reduction pathway </w:t>
            </w:r>
          </w:p>
        </w:tc>
        <w:tc>
          <w:tcPr>
            <w:tcW w:w="2523" w:type="dxa"/>
            <w:tcBorders>
              <w:left w:val="single" w:sz="4" w:space="0" w:color="auto"/>
              <w:right w:val="single" w:sz="4" w:space="0" w:color="auto"/>
            </w:tcBorders>
            <w:tcMar>
              <w:left w:w="120" w:type="dxa"/>
              <w:right w:w="120" w:type="dxa"/>
            </w:tcMar>
          </w:tcPr>
          <w:p w14:paraId="06524D66"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p>
          <w:p w14:paraId="1E6FEEB7"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CH</w:t>
            </w:r>
            <w:r w:rsidRPr="00C44D8C">
              <w:rPr>
                <w:rFonts w:asciiTheme="minorHAnsi" w:eastAsia="Calibri" w:hAnsiTheme="minorHAnsi" w:cs="Calibri"/>
                <w:b/>
                <w:color w:val="000000"/>
                <w:sz w:val="22"/>
                <w:szCs w:val="22"/>
                <w:vertAlign w:val="subscript"/>
                <w:lang w:eastAsia="en-GB"/>
              </w:rPr>
              <w:t>3</w:t>
            </w:r>
            <w:r w:rsidRPr="00C44D8C">
              <w:rPr>
                <w:rFonts w:asciiTheme="minorHAnsi" w:eastAsia="Calibri" w:hAnsiTheme="minorHAnsi" w:cs="Calibri"/>
                <w:b/>
                <w:color w:val="000000"/>
                <w:sz w:val="22"/>
                <w:szCs w:val="22"/>
                <w:lang w:eastAsia="en-GB"/>
              </w:rPr>
              <w:t>OH + H</w:t>
            </w:r>
            <w:r w:rsidRPr="00C44D8C">
              <w:rPr>
                <w:rFonts w:asciiTheme="minorHAnsi" w:eastAsia="Calibri" w:hAnsiTheme="minorHAnsi" w:cs="Calibri"/>
                <w:b/>
                <w:color w:val="000000"/>
                <w:sz w:val="22"/>
                <w:szCs w:val="22"/>
                <w:vertAlign w:val="subscript"/>
                <w:lang w:eastAsia="en-GB"/>
              </w:rPr>
              <w:t>2</w:t>
            </w:r>
            <w:r w:rsidRPr="00C44D8C">
              <w:rPr>
                <w:rFonts w:asciiTheme="minorHAnsi" w:eastAsia="Calibri" w:hAnsiTheme="minorHAnsi" w:cs="Calibri"/>
                <w:b/>
                <w:color w:val="000000"/>
                <w:sz w:val="22"/>
                <w:szCs w:val="22"/>
                <w:lang w:eastAsia="en-GB"/>
              </w:rPr>
              <w:t xml:space="preserve">  → CH</w:t>
            </w:r>
            <w:r w:rsidRPr="00C44D8C">
              <w:rPr>
                <w:rFonts w:asciiTheme="minorHAnsi" w:eastAsia="Calibri" w:hAnsiTheme="minorHAnsi" w:cs="Calibri"/>
                <w:b/>
                <w:color w:val="000000"/>
                <w:sz w:val="22"/>
                <w:szCs w:val="22"/>
                <w:vertAlign w:val="subscript"/>
                <w:lang w:eastAsia="en-GB"/>
              </w:rPr>
              <w:t>4</w:t>
            </w:r>
            <w:r w:rsidRPr="00C44D8C">
              <w:rPr>
                <w:rFonts w:asciiTheme="minorHAnsi" w:eastAsia="Calibri" w:hAnsiTheme="minorHAnsi" w:cs="Calibri"/>
                <w:b/>
                <w:color w:val="000000"/>
                <w:sz w:val="22"/>
                <w:szCs w:val="22"/>
                <w:lang w:eastAsia="en-GB"/>
              </w:rPr>
              <w:t xml:space="preserve"> + H</w:t>
            </w:r>
            <w:r w:rsidRPr="00C44D8C">
              <w:rPr>
                <w:rFonts w:asciiTheme="minorHAnsi" w:eastAsia="Calibri" w:hAnsiTheme="minorHAnsi" w:cs="Calibri"/>
                <w:b/>
                <w:color w:val="000000"/>
                <w:sz w:val="22"/>
                <w:szCs w:val="22"/>
                <w:vertAlign w:val="subscript"/>
                <w:lang w:eastAsia="en-GB"/>
              </w:rPr>
              <w:t>2</w:t>
            </w:r>
            <w:r w:rsidRPr="00C44D8C">
              <w:rPr>
                <w:rFonts w:asciiTheme="minorHAnsi" w:eastAsia="Calibri" w:hAnsiTheme="minorHAnsi" w:cs="Calibri"/>
                <w:b/>
                <w:color w:val="000000"/>
                <w:sz w:val="22"/>
                <w:szCs w:val="22"/>
                <w:lang w:eastAsia="en-GB"/>
              </w:rPr>
              <w:t>O</w:t>
            </w:r>
          </w:p>
          <w:p w14:paraId="47259FD9"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Reduction of methanol using H</w:t>
            </w:r>
            <w:r w:rsidRPr="00C44D8C">
              <w:rPr>
                <w:rFonts w:asciiTheme="minorHAnsi" w:eastAsia="Calibri" w:hAnsiTheme="minorHAnsi" w:cs="Calibri"/>
                <w:color w:val="000000"/>
                <w:sz w:val="22"/>
                <w:szCs w:val="22"/>
                <w:vertAlign w:val="subscript"/>
                <w:lang w:eastAsia="en-GB"/>
              </w:rPr>
              <w:t xml:space="preserve">2 </w:t>
            </w:r>
            <w:r w:rsidRPr="00C44D8C">
              <w:rPr>
                <w:rFonts w:asciiTheme="minorHAnsi" w:eastAsia="Calibri" w:hAnsiTheme="minorHAnsi" w:cs="Calibri"/>
                <w:color w:val="000000"/>
                <w:sz w:val="22"/>
                <w:szCs w:val="22"/>
                <w:lang w:eastAsia="en-GB"/>
              </w:rPr>
              <w:t xml:space="preserve">as reductant </w:t>
            </w:r>
          </w:p>
          <w:p w14:paraId="0972189C"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p>
        </w:tc>
        <w:tc>
          <w:tcPr>
            <w:tcW w:w="2559" w:type="dxa"/>
            <w:tcBorders>
              <w:left w:val="single" w:sz="4" w:space="0" w:color="auto"/>
            </w:tcBorders>
            <w:tcMar>
              <w:left w:w="120" w:type="dxa"/>
              <w:right w:w="120" w:type="dxa"/>
            </w:tcMar>
          </w:tcPr>
          <w:p w14:paraId="7926C4CD"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p>
          <w:p w14:paraId="5F58EC26"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i/>
                <w:color w:val="000000"/>
                <w:sz w:val="22"/>
                <w:szCs w:val="22"/>
                <w:lang w:eastAsia="en-GB"/>
              </w:rPr>
              <w:t>Methanosarcinaceae</w:t>
            </w:r>
          </w:p>
        </w:tc>
      </w:tr>
      <w:tr w:rsidR="00436CD0" w:rsidRPr="00C44D8C" w14:paraId="16347F9A" w14:textId="77777777" w:rsidTr="00D20D2A">
        <w:trPr>
          <w:cantSplit/>
          <w:trHeight w:val="1490"/>
        </w:trPr>
        <w:tc>
          <w:tcPr>
            <w:tcW w:w="2425" w:type="dxa"/>
            <w:tcBorders>
              <w:right w:val="single" w:sz="4" w:space="0" w:color="auto"/>
            </w:tcBorders>
            <w:tcMar>
              <w:left w:w="120" w:type="dxa"/>
              <w:right w:w="120" w:type="dxa"/>
            </w:tcMar>
          </w:tcPr>
          <w:p w14:paraId="4B883479"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4351D1B6"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Aceticlastic pathway</w:t>
            </w:r>
          </w:p>
        </w:tc>
        <w:tc>
          <w:tcPr>
            <w:tcW w:w="2523" w:type="dxa"/>
            <w:tcBorders>
              <w:left w:val="single" w:sz="4" w:space="0" w:color="auto"/>
              <w:right w:val="single" w:sz="4" w:space="0" w:color="auto"/>
            </w:tcBorders>
            <w:tcMar>
              <w:left w:w="120" w:type="dxa"/>
              <w:right w:w="120" w:type="dxa"/>
            </w:tcMar>
          </w:tcPr>
          <w:p w14:paraId="34E6FF18"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1CD51C9A"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CH</w:t>
            </w:r>
            <w:r w:rsidRPr="00C44D8C">
              <w:rPr>
                <w:rFonts w:asciiTheme="minorHAnsi" w:eastAsia="Calibri" w:hAnsiTheme="minorHAnsi" w:cs="Calibri"/>
                <w:b/>
                <w:color w:val="000000"/>
                <w:sz w:val="22"/>
                <w:szCs w:val="22"/>
                <w:vertAlign w:val="subscript"/>
                <w:lang w:eastAsia="en-GB"/>
              </w:rPr>
              <w:t>3</w:t>
            </w:r>
            <w:r w:rsidRPr="00C44D8C">
              <w:rPr>
                <w:rFonts w:asciiTheme="minorHAnsi" w:eastAsia="Calibri" w:hAnsiTheme="minorHAnsi" w:cs="Calibri"/>
                <w:b/>
                <w:color w:val="000000"/>
                <w:sz w:val="22"/>
                <w:szCs w:val="22"/>
                <w:lang w:eastAsia="en-GB"/>
              </w:rPr>
              <w:t>-COO</w:t>
            </w:r>
            <w:r w:rsidRPr="00C44D8C">
              <w:rPr>
                <w:rFonts w:asciiTheme="minorHAnsi" w:eastAsia="Calibri" w:hAnsiTheme="minorHAnsi" w:cs="Calibri"/>
                <w:b/>
                <w:color w:val="000000"/>
                <w:sz w:val="22"/>
                <w:szCs w:val="22"/>
                <w:vertAlign w:val="superscript"/>
                <w:lang w:eastAsia="en-GB"/>
              </w:rPr>
              <w:t>-</w:t>
            </w:r>
            <w:r w:rsidRPr="00C44D8C">
              <w:rPr>
                <w:rFonts w:asciiTheme="minorHAnsi" w:eastAsia="Calibri" w:hAnsiTheme="minorHAnsi" w:cs="Calibri"/>
                <w:b/>
                <w:color w:val="000000"/>
                <w:sz w:val="22"/>
                <w:szCs w:val="22"/>
                <w:lang w:eastAsia="en-GB"/>
              </w:rPr>
              <w:t xml:space="preserve"> + H</w:t>
            </w:r>
            <w:r w:rsidRPr="00C44D8C">
              <w:rPr>
                <w:rFonts w:asciiTheme="minorHAnsi" w:eastAsia="Calibri" w:hAnsiTheme="minorHAnsi" w:cs="Calibri"/>
                <w:b/>
                <w:color w:val="000000"/>
                <w:sz w:val="22"/>
                <w:szCs w:val="22"/>
                <w:vertAlign w:val="superscript"/>
                <w:lang w:eastAsia="en-GB"/>
              </w:rPr>
              <w:t xml:space="preserve">+ </w:t>
            </w:r>
            <w:r w:rsidRPr="00C44D8C">
              <w:rPr>
                <w:rFonts w:asciiTheme="minorHAnsi" w:eastAsia="Calibri" w:hAnsiTheme="minorHAnsi" w:cs="Calibri"/>
                <w:b/>
                <w:color w:val="000000"/>
                <w:sz w:val="22"/>
                <w:szCs w:val="22"/>
                <w:lang w:eastAsia="en-GB"/>
              </w:rPr>
              <w:t>→ CH</w:t>
            </w:r>
            <w:r w:rsidRPr="00C44D8C">
              <w:rPr>
                <w:rFonts w:asciiTheme="minorHAnsi" w:eastAsia="Calibri" w:hAnsiTheme="minorHAnsi" w:cs="Calibri"/>
                <w:b/>
                <w:color w:val="000000"/>
                <w:sz w:val="22"/>
                <w:szCs w:val="22"/>
                <w:vertAlign w:val="subscript"/>
                <w:lang w:eastAsia="en-GB"/>
              </w:rPr>
              <w:t>4</w:t>
            </w:r>
            <w:r w:rsidRPr="00C44D8C">
              <w:rPr>
                <w:rFonts w:asciiTheme="minorHAnsi" w:eastAsia="Calibri" w:hAnsiTheme="minorHAnsi" w:cs="Calibri"/>
                <w:b/>
                <w:color w:val="000000"/>
                <w:sz w:val="22"/>
                <w:szCs w:val="22"/>
                <w:lang w:eastAsia="en-GB"/>
              </w:rPr>
              <w:t xml:space="preserve"> + CO</w:t>
            </w:r>
            <w:r w:rsidRPr="00C44D8C">
              <w:rPr>
                <w:rFonts w:asciiTheme="minorHAnsi" w:eastAsia="Calibri" w:hAnsiTheme="minorHAnsi" w:cs="Calibri"/>
                <w:b/>
                <w:color w:val="000000"/>
                <w:sz w:val="22"/>
                <w:szCs w:val="22"/>
                <w:vertAlign w:val="subscript"/>
                <w:lang w:eastAsia="en-GB"/>
              </w:rPr>
              <w:t>2</w:t>
            </w:r>
          </w:p>
          <w:p w14:paraId="36B71477"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Conversion of acetate into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and CO</w:t>
            </w:r>
            <w:r w:rsidRPr="00C44D8C">
              <w:rPr>
                <w:rFonts w:asciiTheme="minorHAnsi" w:eastAsia="Calibri" w:hAnsiTheme="minorHAnsi" w:cs="Calibri"/>
                <w:color w:val="000000"/>
                <w:sz w:val="22"/>
                <w:szCs w:val="22"/>
                <w:vertAlign w:val="subscript"/>
                <w:lang w:eastAsia="en-GB"/>
              </w:rPr>
              <w:t>2</w:t>
            </w:r>
          </w:p>
        </w:tc>
        <w:tc>
          <w:tcPr>
            <w:tcW w:w="2559" w:type="dxa"/>
            <w:tcBorders>
              <w:left w:val="single" w:sz="4" w:space="0" w:color="auto"/>
            </w:tcBorders>
            <w:tcMar>
              <w:left w:w="120" w:type="dxa"/>
              <w:right w:w="120" w:type="dxa"/>
            </w:tcMar>
          </w:tcPr>
          <w:p w14:paraId="2898EEE0"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0E10D275"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i/>
                <w:color w:val="000000"/>
                <w:sz w:val="22"/>
                <w:szCs w:val="22"/>
                <w:lang w:eastAsia="en-GB"/>
              </w:rPr>
              <w:t>Methanosaetaceae</w:t>
            </w:r>
          </w:p>
          <w:p w14:paraId="36668621"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i/>
                <w:color w:val="000000"/>
                <w:sz w:val="22"/>
                <w:szCs w:val="22"/>
                <w:lang w:eastAsia="en-GB"/>
              </w:rPr>
              <w:t>Methanosarcinaceae</w:t>
            </w:r>
          </w:p>
        </w:tc>
      </w:tr>
    </w:tbl>
    <w:p w14:paraId="50105B9E" w14:textId="77777777" w:rsidR="00B429A5" w:rsidRDefault="00B429A5" w:rsidP="00436CD0">
      <w:pPr>
        <w:spacing w:line="360" w:lineRule="auto"/>
        <w:rPr>
          <w:rFonts w:asciiTheme="minorHAnsi" w:eastAsia="Calibri" w:hAnsiTheme="minorHAnsi" w:cs="Calibri"/>
          <w:color w:val="000000"/>
          <w:sz w:val="22"/>
          <w:szCs w:val="22"/>
          <w:lang w:eastAsia="en-GB"/>
        </w:rPr>
      </w:pPr>
    </w:p>
    <w:p w14:paraId="1E979F28" w14:textId="77777777" w:rsidR="00B429A5" w:rsidRDefault="00B429A5" w:rsidP="00436CD0">
      <w:pPr>
        <w:spacing w:line="360" w:lineRule="auto"/>
        <w:rPr>
          <w:rFonts w:asciiTheme="minorHAnsi" w:eastAsia="Calibri" w:hAnsiTheme="minorHAnsi" w:cs="Calibri"/>
          <w:color w:val="000000"/>
          <w:sz w:val="22"/>
          <w:szCs w:val="22"/>
          <w:lang w:eastAsia="en-GB"/>
        </w:rPr>
      </w:pPr>
    </w:p>
    <w:p w14:paraId="5002C4C2" w14:textId="23150F84" w:rsidR="00B429A5" w:rsidRDefault="00436CD0" w:rsidP="00436CD0">
      <w:pPr>
        <w:spacing w:line="360" w:lineRule="auto"/>
        <w:rPr>
          <w:rFonts w:asciiTheme="minorHAnsi" w:eastAsia="Calibri" w:hAnsiTheme="minorHAnsi" w:cs="Calibri"/>
          <w:color w:val="000000"/>
          <w:sz w:val="22"/>
          <w:szCs w:val="22"/>
          <w:lang w:eastAsia="en-GB"/>
        </w:rPr>
        <w:sectPr w:rsidR="00B429A5"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en-GB"/>
        </w:rPr>
        <w:t>Acetate is the most important substrate for methanogenesis, being the precursor for 70% of the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produced in AD processes </w:t>
      </w:r>
      <w:r w:rsidR="000306E8">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"10.2175/106143006X95393", "ISSN" : "10614303", "author" : [ { "dropping-particle" : "", "family" : "Conklin", "given" : "Anne", "non-dropping-particle" : "", "parse-names" : false, "suffix" : "" }, { "dropping-particle" : "", "family" : "Stensel", "given" : "H. David", "non-dropping-particle" : "", "parse-names" : false, "suffix" : "" }, { "dropping-particle" : "", "family" : "Ferguson", "given" : "John", "non-dropping-particle" : "", "parse-names" : false, "suffix" : "" } ], "container-title" : "Water Environment Research", "id" : "ITEM-1", "issue" : "5", "issued" : { "date-parts" : [ [ "2006", "5", "1" ] ] }, "page" : "486-496", "title" : "Growth Kinetics and Competition Between Methanosarcina and Methanosaeta in Mesophilic Anaerobic Digestion", "type" : "article-journal", "volume" : "78" }, "uris" : [ "http://www.mendeley.com/documents/?uuid=abbf951e-cff5-402d-a54d-fb7d7ce12bf9" ] }, { "id" : "ITEM-2", "itemData" : { "DOI" : "10.1016/j.biortech.2005.05.015", "ISBN" : "0960-8524", "ISSN" : "09608524", "PMID" : "16055328", "abstract" : "This study presents a literature review on the treatment of domestic sewage in controlled environments having the anaerobic process and specifically the upflow anaerobic sludge blanket (UASB) concept as the core, under natural hot conditions. The UASB process application is however beset by the preponderance of suspended solids, and the paper looks at its optimization via pre- and post-treatments to curb the prevailing problems, in the light of possible discharge and re-use/recycling/resource recovery, leading to efficient environmental protection. Pre-treatment clarification could be done with ferric chloride/polyelectrolyte, so that phosphate precipitates during the process. The pre-treated liquid phase can be submitted to a high rate anaerobic process, using the simple and robust UASB technology. In a subsequent post-treatment step, ammonium can be removed by ion exchange using a zeolite column through which the wastewater percolates after leaving the anaerobic digester. The various stages can also eliminate a large fraction of the pathogens present in the raw wastewater, mainly through the pre-treatment sedimentation and the ion exchange filtration. The sludge produced in the precipitation stage can be stabilized in a conventional anaerobic digester. Integration of the different treatment steps provides a sustainable technology to treat domestic sewage under hot climate conditions. ?? 2005 Elsevier Ltd. All rights reserved.", "author" : [ { "dropping-particle" : "", "family" : "Aiyuk", "given" : "Sunny", "non-dropping-particle" : "", "parse-names" : false, "suffix" : "" }, { "dropping-particle" : "", "family" : "Forrez", "given" : "Ilse", "non-dropping-particle" : "", "parse-names" : false, "suffix" : "" }, { "dropping-particle" : "", "family" : "Lieven", "given" : "De Kempeneer", "non-dropping-particle" : "", "parse-names" : false, "suffix" : "" }, { "dropping-particle" : "", "family" : "Haandel", "given" : "Adrianus", "non-dropping-particle" : "van", "parse-names" : false, "suffix" : "" }, { "dropping-particle" : "", "family" : "Verstraete", "given" : "Willy", "non-dropping-particle" : "", "parse-names" : false, "suffix" : "" } ], "container-title" : "Bioresource Technology", "id" : "ITEM-2", "issue" : "17", "issued" : { "date-parts" : [ [ "2006" ] ] }, "page" : "2225-2241", "title" : "Anaerobic and complementary treatment of domestic sewage in regions with hot climates-A review", "type" : "article-journal", "volume" : "97" }, "uris" : [ "http://www.mendeley.com/documents/?uuid=3690e4ae-984a-4a5c-a82b-0abcbb4d09e6" ] } ], "mendeley" : { "formattedCitation" : "[2,39]", "plainTextFormattedCitation" : "[2,39]", "previouslyFormattedCitation" : "[2,39]" }, "properties" : { "noteIndex" : 0 }, "schema" : "https://github.com/citation-style-language/schema/raw/master/csl-citation.json" }</w:instrText>
      </w:r>
      <w:r w:rsidR="000306E8">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[2,39]</w:t>
      </w:r>
      <w:r w:rsidR="000306E8">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Yet despite acetate having such an essential role in the metabolism of the methanogens, only two methanogenic genera are able to convert acetate into methane using the aceticlastic pathway: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 xml:space="preserve"> and </w:t>
      </w:r>
      <w:r w:rsidRPr="00C44D8C">
        <w:rPr>
          <w:rFonts w:asciiTheme="minorHAnsi" w:eastAsia="Calibri" w:hAnsiTheme="minorHAnsi" w:cs="Calibri"/>
          <w:i/>
          <w:color w:val="000000"/>
          <w:sz w:val="22"/>
          <w:szCs w:val="22"/>
          <w:lang w:eastAsia="en-GB"/>
        </w:rPr>
        <w:t>Methanosaeta</w:t>
      </w:r>
      <w:r w:rsidRPr="00C44D8C">
        <w:rPr>
          <w:rFonts w:asciiTheme="minorHAnsi" w:eastAsia="Calibri" w:hAnsiTheme="minorHAnsi" w:cs="Calibri"/>
          <w:color w:val="000000"/>
          <w:sz w:val="22"/>
          <w:szCs w:val="22"/>
          <w:lang w:eastAsia="en-GB"/>
        </w:rPr>
        <w:t xml:space="preserve"> </w:t>
      </w:r>
      <w:r w:rsidR="000306E8">
        <w:rPr>
          <w:rFonts w:asciiTheme="minorHAnsi" w:eastAsia="Calibri" w:hAnsiTheme="minorHAnsi" w:cs="Calibri"/>
          <w:color w:val="000000"/>
          <w:sz w:val="22"/>
          <w:szCs w:val="22"/>
          <w:lang w:eastAsia="en-GB"/>
        </w:rPr>
        <w:fldChar w:fldCharType="begin" w:fldLock="1"/>
      </w:r>
      <w:r w:rsidR="000306E8">
        <w:rPr>
          <w:rFonts w:asciiTheme="minorHAnsi" w:eastAsia="Calibri" w:hAnsiTheme="minorHAnsi" w:cs="Calibri"/>
          <w:color w:val="000000"/>
          <w:sz w:val="22"/>
          <w:szCs w:val="22"/>
          <w:lang w:eastAsia="en-GB"/>
        </w:rPr>
        <w:instrText>ADDIN CSL_CITATION { "citationItems" : [ { "id" : "ITEM-1", "itemData" : { "DOI" : "10.1007/s00253-009-2246-7", "ISSN" : "1432-0614", "PMID" : "19777226", "abstract" : "Anaerobic digestion of energy crops, residues, and wastes is of increasing interest in order to reduce the greenhouse gas emissions and to facilitate a sustainable development of energy supply. Production of biogas provides a versatile carrier of renewable energy, as methane can be used for replacement of fossil fuels in both heat and power generation and as a vehicle fuel. For biogas production, various process types are applied which can be classified in wet and dry fermentation systems. Most often applied are wet digester systems using vertical stirred tank digester with different stirrer types dependent on the origin of the feedstock. Biogas is mainly utilized in engine-based combined heat and power plants, whereas microgas turbines and fuel cells are expensive alternatives which need further development work for reducing the costs and increasing their reliability. Gas upgrading and utilization as renewable vehicle fuel or injection into the natural gas grid is of increasing interest because the gas can be used in a more efficient way. The digestate from anaerobic fermentation is a valuable fertilizer due to the increased availability of nitrogen and the better short-term fertilization effect. Anaerobic treatment minimizes the survival of pathogens which is important for using the digested residue as fertilizer. This paper reviews the current state and perspectives of biogas production, including the biochemical parameters and feedstocks which influence the efficiency and reliability of the microbial conversion and gas yield.", "author" : [ { "dropping-particle" : "", "family" : "Weiland", "given" : "Peter", "non-dropping-particle" : "", "parse-names" : false, "suffix" : "" } ], "container-title" : "Applied microbiology and biotechnology", "id" : "ITEM-1", "issue" : "4", "issued" : { "date-parts" : [ [ "2010", "1" ] ] }, "page" : "849-60", "title" : "Biogas production: current state and perspectives.", "type" : "article-journal", "volume" : "85" }, "uris" : [ "http://www.mendeley.com/documents/?uuid=48302505-79da-4ea8-8c68-ac6093ec10e0" ] } ], "mendeley" : { "formattedCitation" : "[26]", "plainTextFormattedCitation" : "[26]", "previouslyFormattedCitation" : "[26]" }, "properties" : { "noteIndex" : 0 }, "schema" : "https://github.com/citation-style-language/schema/raw/master/csl-citation.json" }</w:instrText>
      </w:r>
      <w:r w:rsidR="000306E8">
        <w:rPr>
          <w:rFonts w:asciiTheme="minorHAnsi" w:eastAsia="Calibri" w:hAnsiTheme="minorHAnsi" w:cs="Calibri"/>
          <w:color w:val="000000"/>
          <w:sz w:val="22"/>
          <w:szCs w:val="22"/>
          <w:lang w:eastAsia="en-GB"/>
        </w:rPr>
        <w:fldChar w:fldCharType="separate"/>
      </w:r>
      <w:r w:rsidR="000306E8" w:rsidRPr="000306E8">
        <w:rPr>
          <w:rFonts w:asciiTheme="minorHAnsi" w:eastAsia="Calibri" w:hAnsiTheme="minorHAnsi" w:cs="Calibri"/>
          <w:noProof/>
          <w:color w:val="000000"/>
          <w:sz w:val="22"/>
          <w:szCs w:val="22"/>
          <w:lang w:eastAsia="en-GB"/>
        </w:rPr>
        <w:t>[26]</w:t>
      </w:r>
      <w:r w:rsidR="000306E8">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40E99A3F" w14:textId="77777777"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noProof/>
          <w:color w:val="000000"/>
          <w:sz w:val="22"/>
          <w:szCs w:val="22"/>
          <w:lang w:eastAsia="en-GB"/>
        </w:rPr>
        <w:lastRenderedPageBreak/>
        <w:drawing>
          <wp:inline distT="0" distB="0" distL="0" distR="0" wp14:anchorId="2F6A4E1B" wp14:editId="1C433DD3">
            <wp:extent cx="5401945" cy="3846195"/>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 methanogenesis pathways-1.jpg"/>
                    <pic:cNvPicPr/>
                  </pic:nvPicPr>
                  <pic:blipFill>
                    <a:blip r:embed="rId13">
                      <a:extLst>
                        <a:ext uri="{28A0092B-C50C-407E-A947-70E740481C1C}">
                          <a14:useLocalDpi xmlns:a14="http://schemas.microsoft.com/office/drawing/2010/main" val="0"/>
                        </a:ext>
                      </a:extLst>
                    </a:blip>
                    <a:stretch>
                      <a:fillRect/>
                    </a:stretch>
                  </pic:blipFill>
                  <pic:spPr>
                    <a:xfrm>
                      <a:off x="0" y="0"/>
                      <a:ext cx="5401945" cy="3846195"/>
                    </a:xfrm>
                    <a:prstGeom prst="rect">
                      <a:avLst/>
                    </a:prstGeom>
                  </pic:spPr>
                </pic:pic>
              </a:graphicData>
            </a:graphic>
          </wp:inline>
        </w:drawing>
      </w:r>
    </w:p>
    <w:p w14:paraId="5CCF499D" w14:textId="77777777" w:rsidR="00436CD0" w:rsidRPr="00C44D8C" w:rsidRDefault="00436CD0" w:rsidP="00436CD0">
      <w:pPr>
        <w:spacing w:line="360" w:lineRule="auto"/>
        <w:rPr>
          <w:rFonts w:asciiTheme="minorHAnsi" w:eastAsia="Calibri" w:hAnsiTheme="minorHAnsi" w:cs="Calibri"/>
          <w:color w:val="000000"/>
          <w:sz w:val="22"/>
          <w:szCs w:val="22"/>
          <w:lang w:eastAsia="en-GB"/>
        </w:rPr>
      </w:pPr>
    </w:p>
    <w:p w14:paraId="1747E700" w14:textId="17FC1358"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b/>
          <w:color w:val="000000"/>
          <w:sz w:val="22"/>
          <w:szCs w:val="22"/>
          <w:lang w:eastAsia="en-GB"/>
        </w:rPr>
        <w:t xml:space="preserve">Fig. 2.2 </w:t>
      </w:r>
      <w:r w:rsidRPr="00C44D8C">
        <w:rPr>
          <w:rFonts w:asciiTheme="minorHAnsi" w:eastAsia="Calibri" w:hAnsiTheme="minorHAnsi" w:cs="Calibri"/>
          <w:color w:val="000000"/>
          <w:sz w:val="22"/>
          <w:szCs w:val="22"/>
          <w:lang w:eastAsia="en-GB"/>
        </w:rPr>
        <w:t xml:space="preserve">The four methanogenic pathways found in the methanogenic archaea with their associated enzymes. The hydrogenotrophic pathway is shown in red (A). The aceticlastic pathway is shown in blue (B). The methylotrophic pathway is shown in green (C). The methyl reduction pathway is shown in orange (D). These four methanogenesis pathways overlap. The steps not used in each pathway are shaded in grey. Figure adapted from </w:t>
      </w:r>
      <w:r w:rsidR="000306E8" w:rsidRPr="000306E8">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"abstract" : "In the methanogenic archaeon Methanosarcina barkeri Fusaro, the N 5 -methyl-tetrahydrosarcinapterin (CH3-H4SPT):coenzyme M (CoM) methyltransferase, encoded by the mtr operon, catalyzes the energy-conserving (sodium-pumping) methyl transfer from CH 3-H4SPT to CoM during growth on H2\u035eCO2 or acetate. However, in the disproportionation of C-1 compounds, such as methanol, to methane and carbon dioxide, it catalyzes the reverse, endergonic transfer from methyl-CoM to H 4SPT, which is driven by sodium uptake. It has been proposed that a bypass for this energy-consuming reaction may occur via a direct methyl transfer from methanol to H 4SPT. To test this, an mtr deletion mutant was constructed and characterized in M. barkeri Fusaro. The mutant is unable to grow on methanol, acetate or H 2\u035eCO2, but can grow on methanol with H 2\u035eCO2 and, surprisingly, methanol with acetate. 13 C labeling experiments show that growth on acetate with meth-anol involves a previously unknown methanogenic pathway, in which oxidation of acetate to a mixture of CO 2 and formic acid is coupled to methanol reduction. Interestingly, although the mutant is unable to grow on methanol alone, it remains capable of producing methane from this substrate. Thus, the proposed Mtr bypass does exist, but is unable to support growth of the organism.", "author" : [ { "dropping-particle" : "V", "family" : "Welander", "given" : "Paula", "non-dropping-particle" : "", "parse-names" : false, "suffix" : "" }, { "dropping-particle" : "", "family" : "Metcalf", "given" : "William W", "non-dropping-particle" : "", "parse-names" : false, "suffix" : "" } ], "container-title" : "PNAS", "id" : "ITEM-1", "issued" : { "date-parts" : [ [ "2005" ] ] }, "page" : "10664-10669", "title" : "Loss of the mtr operon in Methanosarcina blocks growth on methanol, but not methanogenesis, and reveals an unknown methanogenic pathway", "type" : "article-journal", "volume" : "102" }, "uris" : [ "http://www.mendeley.com/documents/?uuid=94445a89-ed42-3c89-b9f7-71107346914b" ] } ], "mendeley" : { "formattedCitation" : "[40]", "plainTextFormattedCitation" : "[40]", "previouslyFormattedCitation" : "[40]" }, "properties" : { "noteIndex" : 0 }, "schema" : "https://github.com/citation-style-language/schema/raw/master/csl-citation.json" }</w:instrText>
      </w:r>
      <w:r w:rsidR="000306E8" w:rsidRPr="000306E8">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[40]</w:t>
      </w:r>
      <w:r w:rsidR="000306E8" w:rsidRPr="000306E8">
        <w:rPr>
          <w:rFonts w:asciiTheme="minorHAnsi" w:eastAsia="Calibri" w:hAnsiTheme="minorHAnsi" w:cs="Calibri"/>
          <w:color w:val="000000"/>
          <w:sz w:val="22"/>
          <w:szCs w:val="22"/>
          <w:lang w:eastAsia="en-GB"/>
        </w:rPr>
        <w:fldChar w:fldCharType="end"/>
      </w:r>
      <w:r w:rsidR="000306E8" w:rsidRPr="000306E8">
        <w:rPr>
          <w:rFonts w:asciiTheme="minorHAnsi" w:eastAsia="Calibri" w:hAnsiTheme="minorHAnsi" w:cs="Calibri"/>
          <w:color w:val="000000"/>
          <w:sz w:val="22"/>
          <w:szCs w:val="22"/>
          <w:lang w:eastAsia="en-GB"/>
        </w:rPr>
        <w:t>.</w:t>
      </w:r>
    </w:p>
    <w:p w14:paraId="3C75B21C" w14:textId="77777777" w:rsidR="00436CD0" w:rsidRDefault="00436CD0" w:rsidP="00436CD0">
      <w:pPr>
        <w:spacing w:line="360" w:lineRule="auto"/>
        <w:rPr>
          <w:rFonts w:asciiTheme="minorHAnsi" w:eastAsia="Calibri" w:hAnsiTheme="minorHAnsi" w:cs="Calibri"/>
          <w:color w:val="000000"/>
          <w:sz w:val="20"/>
          <w:lang w:eastAsia="en-GB"/>
        </w:rPr>
      </w:pPr>
      <w:r w:rsidRPr="000306E8">
        <w:rPr>
          <w:rFonts w:asciiTheme="minorHAnsi" w:eastAsia="Calibri" w:hAnsiTheme="minorHAnsi" w:cs="Calibri"/>
          <w:i/>
          <w:color w:val="000000"/>
          <w:sz w:val="20"/>
          <w:lang w:eastAsia="en-GB"/>
        </w:rPr>
        <w:t xml:space="preserve">Figure abbreviations of methanogenesis enzymes: </w:t>
      </w:r>
      <w:r w:rsidRPr="000306E8">
        <w:rPr>
          <w:rFonts w:asciiTheme="minorHAnsi" w:eastAsia="Calibri" w:hAnsiTheme="minorHAnsi" w:cs="Calibri"/>
          <w:color w:val="000000"/>
          <w:sz w:val="20"/>
          <w:lang w:eastAsia="en-GB"/>
        </w:rPr>
        <w:t>CHO-MF, formyl-methanofuran; CHO-H</w:t>
      </w:r>
      <w:r w:rsidRPr="000306E8">
        <w:rPr>
          <w:rFonts w:asciiTheme="minorHAnsi" w:eastAsia="Calibri" w:hAnsiTheme="minorHAnsi" w:cs="Calibri"/>
          <w:color w:val="000000"/>
          <w:sz w:val="20"/>
          <w:vertAlign w:val="subscript"/>
          <w:lang w:eastAsia="en-GB"/>
        </w:rPr>
        <w:t>4</w:t>
      </w:r>
      <w:r w:rsidRPr="000306E8">
        <w:rPr>
          <w:rFonts w:asciiTheme="minorHAnsi" w:eastAsia="Calibri" w:hAnsiTheme="minorHAnsi" w:cs="Calibri"/>
          <w:color w:val="000000"/>
          <w:sz w:val="20"/>
          <w:lang w:eastAsia="en-GB"/>
        </w:rPr>
        <w:t>SPT, formyl-tetrahydrosarcinapterin; CH≡H4SPT, methenyl-tetrahydrosarcinapterin; CH</w:t>
      </w:r>
      <w:r w:rsidRPr="000306E8">
        <w:rPr>
          <w:rFonts w:asciiTheme="minorHAnsi" w:eastAsia="Calibri" w:hAnsiTheme="minorHAnsi" w:cs="Calibri"/>
          <w:color w:val="000000"/>
          <w:sz w:val="20"/>
          <w:vertAlign w:val="subscript"/>
          <w:lang w:eastAsia="en-GB"/>
        </w:rPr>
        <w:t>2</w:t>
      </w:r>
      <w:r w:rsidRPr="000306E8">
        <w:rPr>
          <w:rFonts w:asciiTheme="minorHAnsi" w:eastAsia="Calibri" w:hAnsiTheme="minorHAnsi" w:cs="Calibri"/>
          <w:color w:val="000000"/>
          <w:sz w:val="20"/>
          <w:lang w:eastAsia="en-GB"/>
        </w:rPr>
        <w:t>=H</w:t>
      </w:r>
      <w:r w:rsidRPr="000306E8">
        <w:rPr>
          <w:rFonts w:asciiTheme="minorHAnsi" w:eastAsia="Calibri" w:hAnsiTheme="minorHAnsi" w:cs="Calibri"/>
          <w:color w:val="000000"/>
          <w:sz w:val="20"/>
          <w:vertAlign w:val="subscript"/>
          <w:lang w:eastAsia="en-GB"/>
        </w:rPr>
        <w:t>4</w:t>
      </w:r>
      <w:r w:rsidRPr="000306E8">
        <w:rPr>
          <w:rFonts w:asciiTheme="minorHAnsi" w:eastAsia="Calibri" w:hAnsiTheme="minorHAnsi" w:cs="Calibri"/>
          <w:color w:val="000000"/>
          <w:sz w:val="20"/>
          <w:lang w:eastAsia="en-GB"/>
        </w:rPr>
        <w:t>SPT, methylene-tetrahydrosarcinapterin; CH</w:t>
      </w:r>
      <w:r w:rsidRPr="000306E8">
        <w:rPr>
          <w:rFonts w:asciiTheme="minorHAnsi" w:eastAsia="Calibri" w:hAnsiTheme="minorHAnsi" w:cs="Calibri"/>
          <w:color w:val="000000"/>
          <w:sz w:val="20"/>
          <w:vertAlign w:val="subscript"/>
          <w:lang w:eastAsia="en-GB"/>
        </w:rPr>
        <w:t>3</w:t>
      </w:r>
      <w:r w:rsidRPr="000306E8">
        <w:rPr>
          <w:rFonts w:asciiTheme="minorHAnsi" w:eastAsia="Calibri" w:hAnsiTheme="minorHAnsi" w:cs="Calibri"/>
          <w:color w:val="000000"/>
          <w:sz w:val="20"/>
          <w:lang w:eastAsia="en-GB"/>
        </w:rPr>
        <w:t>-H</w:t>
      </w:r>
      <w:r w:rsidRPr="000306E8">
        <w:rPr>
          <w:rFonts w:asciiTheme="minorHAnsi" w:eastAsia="Calibri" w:hAnsiTheme="minorHAnsi" w:cs="Calibri"/>
          <w:color w:val="000000"/>
          <w:sz w:val="20"/>
          <w:vertAlign w:val="subscript"/>
          <w:lang w:eastAsia="en-GB"/>
        </w:rPr>
        <w:t>4</w:t>
      </w:r>
      <w:r w:rsidRPr="000306E8">
        <w:rPr>
          <w:rFonts w:asciiTheme="minorHAnsi" w:eastAsia="Calibri" w:hAnsiTheme="minorHAnsi" w:cs="Calibri"/>
          <w:color w:val="000000"/>
          <w:sz w:val="20"/>
          <w:lang w:eastAsia="en-GB"/>
        </w:rPr>
        <w:t>SPT, methyl-tetrahydrosarcinapterin; CH</w:t>
      </w:r>
      <w:r w:rsidRPr="000306E8">
        <w:rPr>
          <w:rFonts w:asciiTheme="minorHAnsi" w:eastAsia="Calibri" w:hAnsiTheme="minorHAnsi" w:cs="Calibri"/>
          <w:color w:val="000000"/>
          <w:sz w:val="20"/>
          <w:vertAlign w:val="subscript"/>
          <w:lang w:eastAsia="en-GB"/>
        </w:rPr>
        <w:t>3</w:t>
      </w:r>
      <w:r w:rsidRPr="000306E8">
        <w:rPr>
          <w:rFonts w:asciiTheme="minorHAnsi" w:eastAsia="Calibri" w:hAnsiTheme="minorHAnsi" w:cs="Calibri"/>
          <w:color w:val="000000"/>
          <w:sz w:val="20"/>
          <w:lang w:eastAsia="en-GB"/>
        </w:rPr>
        <w:t>-CoM, methyl-coenzyme M; CoM, coenzyme M; CoB, coenzyme B; CoM-CoB, mixed disulfide of CoM and CoB; Mph/MphH</w:t>
      </w:r>
      <w:r w:rsidRPr="000306E8">
        <w:rPr>
          <w:rFonts w:asciiTheme="minorHAnsi" w:eastAsia="Calibri" w:hAnsiTheme="minorHAnsi" w:cs="Calibri"/>
          <w:color w:val="000000"/>
          <w:sz w:val="20"/>
          <w:vertAlign w:val="subscript"/>
          <w:lang w:eastAsia="en-GB"/>
        </w:rPr>
        <w:t>2</w:t>
      </w:r>
      <w:r w:rsidRPr="000306E8">
        <w:rPr>
          <w:rFonts w:asciiTheme="minorHAnsi" w:eastAsia="Calibri" w:hAnsiTheme="minorHAnsi" w:cs="Calibri"/>
          <w:color w:val="000000"/>
          <w:sz w:val="20"/>
          <w:lang w:eastAsia="en-GB"/>
        </w:rPr>
        <w:t>, oxidized and reduced methanophenazine; F</w:t>
      </w:r>
      <w:r w:rsidRPr="000306E8">
        <w:rPr>
          <w:rFonts w:asciiTheme="minorHAnsi" w:eastAsia="Calibri" w:hAnsiTheme="minorHAnsi" w:cs="Calibri"/>
          <w:color w:val="000000"/>
          <w:sz w:val="20"/>
          <w:vertAlign w:val="subscript"/>
          <w:lang w:eastAsia="en-GB"/>
        </w:rPr>
        <w:t>420</w:t>
      </w:r>
      <w:r w:rsidRPr="000306E8">
        <w:rPr>
          <w:rFonts w:asciiTheme="minorHAnsi" w:eastAsia="Calibri" w:hAnsiTheme="minorHAnsi" w:cs="Calibri"/>
          <w:color w:val="000000"/>
          <w:sz w:val="20"/>
          <w:lang w:eastAsia="en-GB"/>
        </w:rPr>
        <w:t>/F</w:t>
      </w:r>
      <w:r w:rsidRPr="000306E8">
        <w:rPr>
          <w:rFonts w:asciiTheme="minorHAnsi" w:eastAsia="Calibri" w:hAnsiTheme="minorHAnsi" w:cs="Calibri"/>
          <w:color w:val="000000"/>
          <w:sz w:val="20"/>
          <w:vertAlign w:val="subscript"/>
          <w:lang w:eastAsia="en-GB"/>
        </w:rPr>
        <w:t>420</w:t>
      </w:r>
      <w:r w:rsidRPr="000306E8">
        <w:rPr>
          <w:rFonts w:asciiTheme="minorHAnsi" w:eastAsia="Calibri" w:hAnsiTheme="minorHAnsi" w:cs="Calibri"/>
          <w:color w:val="000000"/>
          <w:sz w:val="20"/>
          <w:lang w:eastAsia="en-GB"/>
        </w:rPr>
        <w:t>H</w:t>
      </w:r>
      <w:r w:rsidRPr="000306E8">
        <w:rPr>
          <w:rFonts w:asciiTheme="minorHAnsi" w:eastAsia="Calibri" w:hAnsiTheme="minorHAnsi" w:cs="Calibri"/>
          <w:color w:val="000000"/>
          <w:sz w:val="20"/>
          <w:vertAlign w:val="subscript"/>
          <w:lang w:eastAsia="en-GB"/>
        </w:rPr>
        <w:t>2</w:t>
      </w:r>
      <w:r w:rsidRPr="000306E8">
        <w:rPr>
          <w:rFonts w:asciiTheme="minorHAnsi" w:eastAsia="Calibri" w:hAnsiTheme="minorHAnsi" w:cs="Calibri"/>
          <w:color w:val="000000"/>
          <w:sz w:val="20"/>
          <w:lang w:eastAsia="en-GB"/>
        </w:rPr>
        <w:t>, oxidized and reduced Factor 420; Fd</w:t>
      </w:r>
      <w:r w:rsidRPr="000306E8">
        <w:rPr>
          <w:rFonts w:asciiTheme="minorHAnsi" w:eastAsia="Calibri" w:hAnsiTheme="minorHAnsi" w:cs="Calibri"/>
          <w:color w:val="000000"/>
          <w:sz w:val="20"/>
          <w:vertAlign w:val="subscript"/>
          <w:lang w:eastAsia="en-GB"/>
        </w:rPr>
        <w:t>(ox)</w:t>
      </w:r>
      <w:r w:rsidRPr="000306E8">
        <w:rPr>
          <w:rFonts w:asciiTheme="minorHAnsi" w:eastAsia="Calibri" w:hAnsiTheme="minorHAnsi" w:cs="Calibri"/>
          <w:color w:val="000000"/>
          <w:sz w:val="20"/>
          <w:lang w:eastAsia="en-GB"/>
        </w:rPr>
        <w:t>/Fd</w:t>
      </w:r>
      <w:r w:rsidRPr="000306E8">
        <w:rPr>
          <w:rFonts w:asciiTheme="minorHAnsi" w:eastAsia="Calibri" w:hAnsiTheme="minorHAnsi" w:cs="Calibri"/>
          <w:color w:val="000000"/>
          <w:sz w:val="20"/>
          <w:vertAlign w:val="subscript"/>
          <w:lang w:eastAsia="en-GB"/>
        </w:rPr>
        <w:t>(red)</w:t>
      </w:r>
      <w:r w:rsidRPr="000306E8">
        <w:rPr>
          <w:rFonts w:asciiTheme="minorHAnsi" w:eastAsia="Calibri" w:hAnsiTheme="minorHAnsi" w:cs="Calibri"/>
          <w:color w:val="000000"/>
          <w:sz w:val="20"/>
          <w:lang w:eastAsia="en-GB"/>
        </w:rPr>
        <w:t>, oxidized and reduced ferredoxin; Ac, acetate; Ac-Pi, acetyl-phosphate; Ac-CoA, acetyl-CoA; Ech, ferredoxin-dependent hydrogenase; Frh, F</w:t>
      </w:r>
      <w:r w:rsidRPr="000306E8">
        <w:rPr>
          <w:rFonts w:asciiTheme="minorHAnsi" w:eastAsia="Calibri" w:hAnsiTheme="minorHAnsi" w:cs="Calibri"/>
          <w:color w:val="000000"/>
          <w:sz w:val="20"/>
          <w:vertAlign w:val="subscript"/>
          <w:lang w:eastAsia="en-GB"/>
        </w:rPr>
        <w:t>420</w:t>
      </w:r>
      <w:r w:rsidRPr="000306E8">
        <w:rPr>
          <w:rFonts w:asciiTheme="minorHAnsi" w:eastAsia="Calibri" w:hAnsiTheme="minorHAnsi" w:cs="Calibri"/>
          <w:color w:val="000000"/>
          <w:sz w:val="20"/>
          <w:lang w:eastAsia="en-GB"/>
        </w:rPr>
        <w:t>-dependent hydrogenase; Vho, methanophenazine-dependent hydrogenase; Fpo, F</w:t>
      </w:r>
      <w:r w:rsidRPr="000306E8">
        <w:rPr>
          <w:rFonts w:asciiTheme="minorHAnsi" w:eastAsia="Calibri" w:hAnsiTheme="minorHAnsi" w:cs="Calibri"/>
          <w:color w:val="000000"/>
          <w:sz w:val="20"/>
          <w:vertAlign w:val="subscript"/>
          <w:lang w:eastAsia="en-GB"/>
        </w:rPr>
        <w:t xml:space="preserve">420 </w:t>
      </w:r>
      <w:r w:rsidRPr="000306E8">
        <w:rPr>
          <w:rFonts w:asciiTheme="minorHAnsi" w:eastAsia="Calibri" w:hAnsiTheme="minorHAnsi" w:cs="Calibri"/>
          <w:color w:val="000000"/>
          <w:sz w:val="20"/>
          <w:lang w:eastAsia="en-GB"/>
        </w:rPr>
        <w:t>dehydrogenase</w:t>
      </w:r>
      <w:r w:rsidR="00FE1A56" w:rsidRPr="000306E8">
        <w:rPr>
          <w:rFonts w:asciiTheme="minorHAnsi" w:eastAsia="Calibri" w:hAnsiTheme="minorHAnsi" w:cs="Calibri"/>
          <w:color w:val="000000"/>
          <w:sz w:val="20"/>
          <w:lang w:eastAsia="en-GB"/>
        </w:rPr>
        <w:t>.</w:t>
      </w:r>
    </w:p>
    <w:p w14:paraId="0FAFA5F2" w14:textId="77777777" w:rsidR="002D6EBE" w:rsidRDefault="002D6EBE" w:rsidP="00436CD0">
      <w:pPr>
        <w:spacing w:line="360" w:lineRule="auto"/>
        <w:rPr>
          <w:rFonts w:asciiTheme="minorHAnsi" w:eastAsia="Calibri" w:hAnsiTheme="minorHAnsi" w:cs="Calibri"/>
          <w:color w:val="000000"/>
          <w:sz w:val="20"/>
          <w:lang w:eastAsia="en-GB"/>
        </w:rPr>
        <w:sectPr w:rsidR="002D6EBE" w:rsidSect="00DF337D">
          <w:pgSz w:w="11906" w:h="16838"/>
          <w:pgMar w:top="1418" w:right="1418" w:bottom="1418" w:left="2268" w:header="708" w:footer="708" w:gutter="0"/>
          <w:cols w:space="708"/>
          <w:docGrid w:linePitch="360"/>
        </w:sectPr>
      </w:pPr>
    </w:p>
    <w:p w14:paraId="1F446C05" w14:textId="1BD5EFED"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i/>
          <w:color w:val="000000"/>
          <w:sz w:val="22"/>
          <w:szCs w:val="22"/>
          <w:lang w:eastAsia="en-GB"/>
        </w:rPr>
        <w:lastRenderedPageBreak/>
        <w:t xml:space="preserve">Methanosaeta </w:t>
      </w:r>
      <w:r w:rsidRPr="00C44D8C">
        <w:rPr>
          <w:rFonts w:asciiTheme="minorHAnsi" w:eastAsia="Calibri" w:hAnsiTheme="minorHAnsi" w:cs="Calibri"/>
          <w:color w:val="000000"/>
          <w:sz w:val="22"/>
          <w:szCs w:val="22"/>
          <w:lang w:eastAsia="en-GB"/>
        </w:rPr>
        <w:t>is commonly detected in anaerobic sludge and is a strictly aceticlastic methanogen. As such, it is only capable of producing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by metabolising acetate</w:t>
      </w:r>
      <w:r w:rsidR="00A21A1B">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"abstract" : "In the methanogenic archaeon Methanosarcina barkeri Fusaro, the N 5 -methyl-tetrahydrosarcinapterin (CH3-H4SPT):coenzyme M (CoM) methyltransferase, encoded by the mtr operon, catalyzes the energy-conserving (sodium-pumping) methyl transfer from CH 3-H4SPT to CoM during growth on H2\u035eCO2 or acetate. However, in the disproportionation of C-1 compounds, such as methanol, to methane and carbon dioxide, it catalyzes the reverse, endergonic transfer from methyl-CoM to H 4SPT, which is driven by sodium uptake. It has been proposed that a bypass for this energy-consuming reaction may occur via a direct methyl transfer from methanol to H 4SPT. To test this, an mtr deletion mutant was constructed and characterized in M. barkeri Fusaro. The mutant is unable to grow on methanol, acetate or H 2\u035eCO2, but can grow on methanol with H 2\u035eCO2 and, surprisingly, methanol with acetate. 13 C labeling experiments show that growth on acetate with meth-anol involves a previously unknown methanogenic pathway, in which oxidation of acetate to a mixture of CO 2 and formic acid is coupled to methanol reduction. Interestingly, although the mutant is unable to grow on methanol alone, it remains capable of producing methane from this substrate. Thus, the proposed Mtr bypass does exist, but is unable to support growth of the organism.", "author" : [ { "dropping-particle" : "V", "family" : "Welander", "given" : "Paula", "non-dropping-particle" : "", "parse-names" : false, "suffix" : "" }, { "dropping-particle" : "", "family" : "Metcalf", "given" : "William W", "non-dropping-particle" : "", "parse-names" : false, "suffix" : "" } ], "container-title" : "PNAS", "id" : "ITEM-1", "issued" : { "date-parts" : [ [ "2005" ] ] }, "page" : "10664-10669", "title" : "Loss of the mtr operon in Methanosarcina blocks growth on methanol, but not methanogenesis, and reveals an unknown methanogenic pathway", "type" : "article-journal", "volume" : "102" }, "uris" : [ "http://www.mendeley.com/documents/?uuid=94445a89-ed42-3c89-b9f7-71107346914b" ] } ], "mendeley" : { "formattedCitation" : "[40]", "plainTextFormattedCitation" : "[40]", "previouslyFormattedCitation" : "[40]"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[40]</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Alternatively,</w:t>
      </w:r>
      <w:r w:rsidRPr="00C44D8C">
        <w:rPr>
          <w:rFonts w:asciiTheme="minorHAnsi" w:eastAsia="Calibri" w:hAnsiTheme="minorHAnsi" w:cs="Calibri"/>
          <w:i/>
          <w:color w:val="000000"/>
          <w:sz w:val="22"/>
          <w:szCs w:val="22"/>
          <w:lang w:eastAsia="en-GB"/>
        </w:rPr>
        <w:t xml:space="preserve"> Methanosarcina </w:t>
      </w:r>
      <w:r w:rsidRPr="00C44D8C">
        <w:rPr>
          <w:rFonts w:asciiTheme="minorHAnsi" w:eastAsia="Calibri" w:hAnsiTheme="minorHAnsi" w:cs="Calibri"/>
          <w:color w:val="000000"/>
          <w:sz w:val="22"/>
          <w:szCs w:val="22"/>
          <w:lang w:eastAsia="en-GB"/>
        </w:rPr>
        <w:t>is not restricted to a single specialised metabolic pathway for producing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and is the only methanogen known to produce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using the four different methanogenesis pathways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"id" : "ITEM-2", "itemData" : { "DOI" : "10.1128/JB.01424-07", "ISBN" : "0021-9193", "ISSN" : "00219193", "PMID" : "18178739", "abstract" : "A series of Methanosarcina barkeri mutants lacking the genes encoding the enzymes involved in the C1 oxidation/reduction pathway were constructed. Mutants lacking the methyl-tetrahydromethanopterin (H4MPT):coenzyme M (CoM) methyltransferase-encoding operon (delta mtr), the methylene-H4MPT reductase-encoding gene (delta mer), the methylene-H4MPT dehydrogenase-encoding gene (delta mtd), and the formyl-methanofuran:H4MPT formyl-transferase-encoding gene (delta ftr) all failed to grow using either methanol or H2/CO2 as a growth substrate, indicating that there is an absolute requirement for the C1 oxidation/reduction pathway for hydrogenotrophic and methylotrophic methanogenesis. The mutants also failed to grow on acetate, and we suggest that this was due to an inability to generate the reducing equivalents needed for biosynthetic reactions. Despite their lack of growth on methanol, the delta mtr and delta mer mutants were capable of producing methane from this substrate, whereas the delta mtd and delta ftr mutants were not. Thus, there is an Mtr/Mer bypass pathway that allows oxidation of methanol to the level of methylene-H4MPT in M. barkeri. The data further suggested that formaldehyde may be an intermediate in this bypass; however, no methanol dehydrogenase activity was found in delta mtr cell extracts, nor was there an obligate role for the formaldehyde-activating enzyme (Fae), which has been shown to catalyze the condensation of formaldehyde and H4MPT in vitro. Both the delta mer and delta mtr mutants were able to grow on a combination of methanol plus acetate, but they did so by metabolic pathways that are clearly distinct from each other and from previously characterized methanogenic pathways.", "author" : [ { "dropping-particle" : "V.", "family" : "Welander", "given" : "Paula", "non-dropping-particle" : "", "parse-names" : false, "suffix" : "" }, { "dropping-particle" : "", "family" : "Metcalf", "given" : "William W.", "non-dropping-particle" : "", "parse-names" : false, "suffix" : "" } ], "container-title" : "Journal of Bacteriology", "id" : "ITEM-2", "issued" : { "date-parts" : [ [ "2008" ] ] }, "page" : "1928-1936", "title" : "Mutagenesis of the C1 oxidation pathway in Methanosarcina barkeri: New insights into the Mtr/Mer bypass pathway", "type" : "article-journal", "volume" : "190" }, "uris" : [ "http://www.mendeley.com/documents/?uuid=a53acf39-0f97-3b08-8426-8eadf64811cf" ] } ], "mendeley" : { "formattedCitation" : "[18,19]", "plainTextFormattedCitation" : "[18,19]", "previouslyFormattedCitation" : "[18,19]"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[18,19]</w:t>
      </w:r>
      <w:r w:rsidR="00A21A1B">
        <w:rPr>
          <w:rFonts w:asciiTheme="minorHAnsi" w:eastAsia="Calibri" w:hAnsiTheme="minorHAnsi" w:cs="Calibri"/>
          <w:color w:val="000000"/>
          <w:sz w:val="22"/>
          <w:szCs w:val="22"/>
          <w:lang w:eastAsia="en-GB"/>
        </w:rPr>
        <w:fldChar w:fldCharType="end"/>
      </w:r>
      <w:r w:rsidR="00A21A1B">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 xml:space="preserve"> is therefore able to metabolise a wider range of methanogenic substrates, including acetate, methanol, methylamines, CO</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xml:space="preserve"> and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 xml:space="preserve">. This metabolically diverse nature makes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 xml:space="preserve"> a key member of the methanogenic consortium involved in AD</w:t>
      </w:r>
      <w:r w:rsidR="00A21A1B">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[19]</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1EF0B91C" w14:textId="65483CBB"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In contrast to the aceticlastic pathway, almost all methanogenic archaea are able to use the hydrogenotrophic pathway (Table 2.1), which is the precursor for 30% of the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produced in AD reactors. The hydrogenotrophic methanogens are important for maintaining low levels of H</w:t>
      </w:r>
      <w:r w:rsidRPr="00C44D8C">
        <w:rPr>
          <w:rFonts w:asciiTheme="minorHAnsi" w:eastAsia="Calibri" w:hAnsiTheme="minorHAnsi" w:cs="Calibri"/>
          <w:color w:val="000000"/>
          <w:sz w:val="22"/>
          <w:szCs w:val="22"/>
          <w:vertAlign w:val="subscript"/>
          <w:lang w:eastAsia="en-GB"/>
        </w:rPr>
        <w:t xml:space="preserve">2 </w:t>
      </w:r>
      <w:r w:rsidRPr="00C44D8C">
        <w:rPr>
          <w:rFonts w:asciiTheme="minorHAnsi" w:eastAsia="Calibri" w:hAnsiTheme="minorHAnsi" w:cs="Calibri"/>
          <w:color w:val="000000"/>
          <w:sz w:val="22"/>
          <w:szCs w:val="22"/>
          <w:lang w:eastAsia="en-GB"/>
        </w:rPr>
        <w:t>in the environment, which would otherwise inhibit the growth of the obligate H</w:t>
      </w:r>
      <w:r w:rsidRPr="00C44D8C">
        <w:rPr>
          <w:rFonts w:asciiTheme="minorHAnsi" w:eastAsia="Calibri" w:hAnsiTheme="minorHAnsi" w:cs="Calibri"/>
          <w:color w:val="000000"/>
          <w:sz w:val="22"/>
          <w:szCs w:val="22"/>
          <w:vertAlign w:val="subscript"/>
          <w:lang w:eastAsia="en-GB"/>
        </w:rPr>
        <w:t>2</w:t>
      </w:r>
      <w:r w:rsidRPr="00C44D8C">
        <w:rPr>
          <w:rFonts w:asciiTheme="minorHAnsi" w:eastAsia="Calibri" w:hAnsiTheme="minorHAnsi" w:cs="Calibri"/>
          <w:color w:val="000000"/>
          <w:sz w:val="22"/>
          <w:szCs w:val="22"/>
          <w:lang w:eastAsia="en-GB"/>
        </w:rPr>
        <w:t>-producing acetogenic bacteria and the other methanogenic archaea</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species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"10.1016/j.biortech.2005.05.015", "ISBN" : "0960-8524", "ISSN" : "09608524", "PMID" : "16055328", "abstract" : "This study presents a literature review on the treatment of domestic sewage in controlled environments having the anaerobic process and specifically the upflow anaerobic sludge blanket (UASB) concept as the core, under natural hot conditions. The UASB process application is however beset by the preponderance of suspended solids, and the paper looks at its optimization via pre- and post-treatments to curb the prevailing problems, in the light of possible discharge and re-use/recycling/resource recovery, leading to efficient environmental protection. Pre-treatment clarification could be done with ferric chloride/polyelectrolyte, so that phosphate precipitates during the process. The pre-treated liquid phase can be submitted to a high rate anaerobic process, using the simple and robust UASB technology. In a subsequent post-treatment step, ammonium can be removed by ion exchange using a zeolite column through which the wastewater percolates after leaving the anaerobic digester. The various stages can also eliminate a large fraction of the pathogens present in the raw wastewater, mainly through the pre-treatment sedimentation and the ion exchange filtration. The sludge produced in the precipitation stage can be stabilized in a conventional anaerobic digester. Integration of the different treatment steps provides a sustainable technology to treat domestic sewage under hot climate conditions. ?? 2005 Elsevier Ltd. All rights reserved.", "author" : [ { "dropping-particle" : "", "family" : "Aiyuk", "given" : "Sunny", "non-dropping-particle" : "", "parse-names" : false, "suffix" : "" }, { "dropping-particle" : "", "family" : "Forrez", "given" : "Ilse", "non-dropping-particle" : "", "parse-names" : false, "suffix" : "" }, { "dropping-particle" : "", "family" : "Lieven", "given" : "De Kempeneer", "non-dropping-particle" : "", "parse-names" : false, "suffix" : "" }, { "dropping-particle" : "", "family" : "Haandel", "given" : "Adrianus", "non-dropping-particle" : "van", "parse-names" : false, "suffix" : "" }, { "dropping-particle" : "", "family" : "Verstraete", "given" : "Willy", "non-dropping-particle" : "", "parse-names" : false, "suffix" : "" } ], "container-title" : "Bioresource Technology", "id" : "ITEM-1", "issue" : "17", "issued" : { "date-parts" : [ [ "2006" ] ] }, "page" : "2225-2241", "title" : "Anaerobic and complementary treatment of domestic sewage in regions with hot climates-A review", "type" : "article-journal", "volume" : "97" }, "uris" : [ "http://www.mendeley.com/documents/?uuid=3690e4ae-984a-4a5c-a82b-0abcbb4d09e6" ] } ], "mendeley" : { "formattedCitation" : "[2]", "plainTextFormattedCitation" : "[2]", "previouslyFormattedCitation" : "[2]"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[2]</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13FA30FB" w14:textId="76CF9768"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Compared to the other members of the AD microbial consortium, the methanogenic archaea are the most sensitive to environmental and operational fluctuations</w:t>
      </w:r>
      <w:r w:rsidR="00A21A1B">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With the methanogens playing an essential step in the process of AD, their vulnerability to environmental fluctuations is a major cause for system failure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"10.1016/j.biortech.2007.01.057", "ISBN" : "0960-8524 (Print)\\n0960-8524 (Linking)", "ISSN" : "09608524", "PMID" : "17399981", "abstract" : "Anaerobic digestion is an attractive waste treatment practice in which both pollution control and energy recovery can be achieved. Many agricultural and industrial wastes are ideal candidates for anaerobic digestion because they contain high levels of easily biodegradable materials. Problems such as low methane yield and process instability are often encountered in anaerobic digestion, preventing this technique from being widely applied. A wide variety of inhibitory substances are the primary cause of anaerobic digester upset or failure since they are present in substantial concentrations in wastes. Considerable research efforts have been made to identify the mechanism and the controlling factors of inhibition. This review provides a detailed summary of the research conducted on the inhibition of anaerobic processes. The inhibitors commonly present in anaerobic digesters include ammonia, sulfide, light metal ions, heavy metals, and organics. Due to the difference in anaerobic inocula, waste composition, and experimental methods and conditions, literature results on inhibition caused by specific toxicants vary widely. Co-digestion with other waste, adaptation of microorganisms to inhibitory substances, and incorporation of methods to remove or counteract toxicants before anaerobic digestion can significantly improve the waste treatment efficiency. \u00a9 2007 Elsevier Ltd. All rights reserved.", "author" : [ { "dropping-particle" : "", "family" : "Chen", "given" : "Ye", "non-dropping-particle" : "", "parse-names" : false, "suffix" : "" }, { "dropping-particle" : "", "family" : "Cheng", "given" : "Jay J.", "non-dropping-particle" : "", "parse-names" : false, "suffix" : "" }, { "dropping-particle" : "", "family" : "Creamer", "given" : "Kurt S.", "non-dropping-particle" : "", "parse-names" : false, "suffix" : "" } ], "container-title" : "Bioresource Technology", "id" : "ITEM-1", "issue" : "10", "issued" : { "date-parts" : [ [ "2008" ] ] }, "page" : "4044-4064", "title" : "Inhibition of anaerobic digestion process: A review", "type" : "article-journal", "volume" : "99" }, "uris" : [ "http://www.mendeley.com/documents/?uuid=a2ede15b-da90-4fff-a4cc-8323031fbf85" ] }, { "id" : "ITEM-2",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"ITEM-2",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"[15,19]", "plainTextFormattedCitation" : "[15,19]", "previouslyFormattedCitation" : "[15,19]"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[15,19]</w:t>
      </w:r>
      <w:r w:rsidR="00A21A1B">
        <w:rPr>
          <w:rFonts w:asciiTheme="minorHAnsi" w:eastAsia="Calibri" w:hAnsiTheme="minorHAnsi" w:cs="Calibri"/>
          <w:color w:val="000000"/>
          <w:sz w:val="22"/>
          <w:szCs w:val="22"/>
          <w:lang w:eastAsia="en-GB"/>
        </w:rPr>
        <w:fldChar w:fldCharType="end"/>
      </w:r>
      <w:r w:rsidR="00A21A1B">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highlighting the sensitivity and complexity of the methanogenesis process. This issue is exacerbated by imbalances in the dynamics of the AD microbial community, which can be caused by overloading AD reactors with organic feedstock. This consequently promotes the hydrolysis stage and causes the acidogenic and acetogenic bacteria to more rapidly produce VFAs. This can produce a sharp drop in the pH to levels outside of the optimal growing range for methanogens, which is typically between 6.8 and 7.5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"10.1016/j.pecs.2008.06.002", "ISBN" : "0360-1285", "ISSN" : "03601285", "abstract" : "When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slu\u2026", "author" : [ { "dropping-particle" : "", "family" : "Appels", "given" : "Lise", "non-dropping-particle" : "", "parse-names" : false, "suffix" : "" }, { "dropping-particle" : "", "family" : "Baeyens", "given" : "Jan", "non-dropping-particle" : "", "parse-names" : false, "suffix" : "" }, { "dropping-particle" : "", "family" : "Degr\u00e8ve", "given" : "Jan", "non-dropping-particle" : "", "parse-names" : false, "suffix" : "" }, { "dropping-particle" : "", "family" : "Dewil", "given" : "Raf", "non-dropping-particle" : "", "parse-names" : false, "suffix" : "" } ], "container-title" : "Progress in Energy and Combustion Science", "id" : "ITEM-1", "issue" : "6", "issued" : { "date-parts" : [ [ "2008" ] ] }, "page" : "755-781", "title" : "Principles and potential of the anaerobic digestion of waste-activated sludge", "type" : "article-journal", "volume" : "34" }, "uris" : [ "http://www.mendeley.com/documents/?uuid=283bd049-1ba3-4cbd-8f8b-c5afb230dd42" ] }, { "id" : "ITEM-2",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"ITEM-2",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"[12,19]", "plainTextFormattedCitation" : "[12,19]", "previouslyFormattedCitation" : "[12,19]"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[12,19]</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 elevated presence of VFAs within AD reactors is inhibitive to methanogen growth</w:t>
      </w:r>
      <w:r w:rsidR="006314F7">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and therefore, the production of CH</w:t>
      </w:r>
      <w:r w:rsidRPr="00C44D8C">
        <w:rPr>
          <w:rFonts w:asciiTheme="minorHAnsi" w:eastAsia="Calibri" w:hAnsiTheme="minorHAnsi" w:cs="Calibri"/>
          <w:color w:val="000000"/>
          <w:sz w:val="22"/>
          <w:szCs w:val="22"/>
          <w:vertAlign w:val="subscript"/>
          <w:lang w:eastAsia="en-GB"/>
        </w:rPr>
        <w:t>4</w:t>
      </w:r>
      <w:r w:rsidR="00A21A1B">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"10.1016/j.biortech.2007.01.057", "ISBN" : "0960-8524 (Print)\\n0960-8524 (Linking)", "ISSN" : "09608524", "PMID" : "17399981", "abstract" : "Anaerobic digestion is an attractive waste treatment practice in which both pollution control and energy recovery can be achieved. Many agricultural and industrial wastes are ideal candidates for anaerobic digestion because they contain high levels of easily biodegradable materials. Problems such as low methane yield and process instability are often encountered in anaerobic digestion, preventing this technique from being widely applied. A wide variety of inhibitory substances are the primary cause of anaerobic digester upset or failure since they are present in substantial concentrations in wastes. Considerable research efforts have been made to identify the mechanism and the controlling factors of inhibition. This review provides a detailed summary of the research conducted on the inhibition of anaerobic processes. The inhibitors commonly present in anaerobic digesters include ammonia, sulfide, light metal ions, heavy metals, and organics. Due to the difference in anaerobic inocula, waste composition, and experimental methods and conditions, literature results on inhibition caused by specific toxicants vary widely. Co-digestion with other waste, adaptation of microorganisms to inhibitory substances, and incorporation of methods to remove or counteract toxicants before anaerobic digestion can significantly improve the waste treatment efficiency. \u00a9 2007 Elsevier Ltd. All rights reserved.", "author" : [ { "dropping-particle" : "", "family" : "Chen", "given" : "Ye", "non-dropping-particle" : "", "parse-names" : false, "suffix" : "" }, { "dropping-particle" : "", "family" : "Cheng", "given" : "Jay J.", "non-dropping-particle" : "", "parse-names" : false, "suffix" : "" }, { "dropping-particle" : "", "family" : "Creamer", "given" : "Kurt S.", "non-dropping-particle" : "", "parse-names" : false, "suffix" : "" } ], "container-title" : "Bioresource Technology", "id" : "ITEM-1", "issue" : "10", "issued" : { "date-parts" : [ [ "2008" ] ] }, "page" : "4044-4064", "title" : "Inhibition of anaerobic digestion process: A review", "type" : "article-journal", "volume" : "99" }, "uris" : [ "http://www.mendeley.com/documents/?uuid=a2ede15b-da90-4fff-a4cc-8323031fbf85" ] } ], "mendeley" : { "formattedCitation" : "[15]", "plainTextFormattedCitation" : "[15]", "previouslyFormattedCitation" : "[15]"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[15]</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6F39A83B" w14:textId="77777777" w:rsidR="00A9324D" w:rsidRDefault="00436CD0" w:rsidP="00436CD0">
      <w:pPr>
        <w:spacing w:line="360" w:lineRule="auto"/>
        <w:ind w:firstLine="720"/>
        <w:rPr>
          <w:rFonts w:asciiTheme="minorHAnsi" w:eastAsia="Calibri" w:hAnsiTheme="minorHAnsi" w:cs="Calibri"/>
          <w:color w:val="000000"/>
          <w:sz w:val="22"/>
          <w:szCs w:val="22"/>
          <w:lang w:eastAsia="en-GB"/>
        </w:rPr>
        <w:sectPr w:rsidR="00A9324D"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en-GB"/>
        </w:rPr>
        <w:t xml:space="preserve">Other inhibitory substances include high levels of ammonia in AD reactors, to which the methanogens are the most sensitive compared to the rest of the AD community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[19]</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Methanogenic activity has been reported to be particularly inhibited by free ammonia (NH</w:t>
      </w:r>
      <w:r w:rsidRPr="00C44D8C">
        <w:rPr>
          <w:rFonts w:asciiTheme="minorHAnsi" w:eastAsia="Calibri" w:hAnsiTheme="minorHAnsi" w:cs="Calibri"/>
          <w:color w:val="000000"/>
          <w:sz w:val="22"/>
          <w:szCs w:val="22"/>
          <w:vertAlign w:val="subscript"/>
          <w:lang w:eastAsia="en-GB"/>
        </w:rPr>
        <w:t>3</w:t>
      </w:r>
      <w:r w:rsidRPr="00C44D8C">
        <w:rPr>
          <w:rFonts w:asciiTheme="minorHAnsi" w:eastAsia="Calibri" w:hAnsiTheme="minorHAnsi" w:cs="Calibri"/>
          <w:color w:val="000000"/>
          <w:sz w:val="22"/>
          <w:szCs w:val="22"/>
          <w:lang w:eastAsia="en-GB"/>
        </w:rPr>
        <w:t>) due to its membrane-permeable nature, which can cause changes in intracellular pH and inhibit enzyme activity</w:t>
      </w:r>
      <w:r w:rsidR="00A21A1B">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"10.1016/j.biortech.2007.01.057", "ISBN" : "0960-8524 (Print)\\n0960-8524 (Linking)", "ISSN" : "09608524", "PMID" : "17399981", "abstract" : "Anaerobic digestion is an attractive waste treatment practice in which both pollution control and energy recovery can be achieved. Many agricultural and industrial wastes are ideal candidates for anaerobic digestion because they contain high levels of easily biodegradable materials. Problems such as low methane yield and process instability are often encountered in anaerobic digestion, preventing this technique from being widely applied. A wide variety of inhibitory substances are the primary cause of anaerobic digester upset or failure since they are present in substantial concentrations in wastes. Considerable research efforts have been made to identify the mechanism and the controlling factors of inhibition. This review provides a detailed summary of the research conducted on the inhibition of anaerobic processes. The inhibitors commonly present in anaerobic digesters include ammonia, sulfide, light metal ions, heavy metals, and organics. Due to the difference in anaerobic inocula, waste composition, and experimental methods and conditions, literature results on inhibition caused by specific toxicants vary widely. Co-digestion with other waste, adaptation of microorganisms to inhibitory substances, and incorporation of methods to remove or counteract toxicants before anaerobic digestion can significantly improve the waste treatment efficiency. \u00a9 2007 Elsevier Ltd. All rights reserved.", "author" : [ { "dropping-particle" : "", "family" : "Chen", "given" : "Ye", "non-dropping-particle" : "", "parse-names" : false, "suffix" : "" }, { "dropping-particle" : "", "family" : "Cheng", "given" : "Jay J.", "non-dropping-particle" : "", "parse-names" : false, "suffix" : "" }, { "dropping-particle" : "", "family" : "Creamer", "given" : "Kurt S.", "non-dropping-particle" : "", "parse-names" : false, "suffix" : "" } ], "container-title" : "Bioresource Technology", "id" : "ITEM-1", "issue" : "10", "issued" : { "date-parts" : [ [ "2008" ] ] }, "page" : "4044-4064", "title" : "Inhibition of anaerobic digestion process: A review", "type" : "article-journal", "volume" : "99" }, "uris" : [ "http://www.mendeley.com/documents/?uuid=a2ede15b-da90-4fff-a4cc-8323031fbf85" ] }, { "id" : "ITEM-2",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"ITEM-2",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"[15,19]", "plainTextFormattedCitation" : "[15,19]", "previouslyFormattedCitation" : "[15,19]"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[15,19]</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High levels of total ammonia nitrogen (TAN) exceeding 3000-4000 mg TAN L</w:t>
      </w:r>
      <w:r w:rsidRPr="00C44D8C">
        <w:rPr>
          <w:rFonts w:asciiTheme="minorHAnsi" w:eastAsia="Calibri" w:hAnsiTheme="minorHAnsi" w:cs="Calibri"/>
          <w:color w:val="000000"/>
          <w:sz w:val="22"/>
          <w:szCs w:val="22"/>
          <w:vertAlign w:val="superscript"/>
          <w:lang w:eastAsia="en-GB"/>
        </w:rPr>
        <w:t xml:space="preserve">-1 </w:t>
      </w:r>
      <w:r w:rsidRPr="00C44D8C">
        <w:rPr>
          <w:rFonts w:asciiTheme="minorHAnsi" w:eastAsia="Calibri" w:hAnsiTheme="minorHAnsi" w:cs="Calibri"/>
          <w:color w:val="000000"/>
          <w:sz w:val="22"/>
          <w:szCs w:val="22"/>
          <w:lang w:eastAsia="en-GB"/>
        </w:rPr>
        <w:t>have been reported to suppress the activity of the methanogens within AD reactors</w:t>
      </w:r>
      <w:r w:rsidR="00A21A1B">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[19]</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Additionally, methanogen activity can also be hindered by sudden fluctuations in temperature and salinity levels exceeding 8000 mg of sodium ions within AD reactors</w:t>
      </w:r>
      <w:r w:rsidR="00A21A1B">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"10.1016/j.biortech.2007.01.057", "ISBN" : "0960-8524 (Print)\\n0960-8524 (Linking)", "ISSN" : "09608524", "PMID" : "17399981", "abstract" : "Anaerobic digestion is an attractive waste treatment practice in which both pollution control and energy recovery can be achieved. Many agricultural and industrial wastes are ideal candidates for anaerobic digestion because they contain high levels of easily biodegradable materials. Problems such as low methane yield and process instability are often encountered in anaerobic digestion, preventing this technique from being widely applied. A wide variety of inhibitory substances are the primary cause of anaerobic digester upset or failure since they are present in substantial concentrations in wastes. Considerable research efforts have been made to identify the mechanism and the controlling factors of inhibition. This review provides a detailed summary of the research conducted on the inhibition of anaerobic processes. The inhibitors commonly present in anaerobic digesters include ammonia, sulfide, light metal ions, heavy metals, and organics. Due to the difference in anaerobic inocula, waste composition, and experimental methods and conditions, literature results on inhibition caused by specific toxicants vary widely. Co-digestion with other waste, adaptation of microorganisms to inhibitory substances, and incorporation of methods to remove or counteract toxicants before anaerobic digestion can significantly improve the waste treatment efficiency. \u00a9 2007 Elsevier Ltd. All rights reserved.", "author" : [ { "dropping-particle" : "", "family" : "Chen", "given" : "Ye", "non-dropping-particle" : "", "parse-names" : false, "suffix" : "" }, { "dropping-particle" : "", "family" : "Cheng", "given" : "Jay J.", "non-dropping-particle" : "", "parse-names" : false, "suffix" : "" }, { "dropping-particle" : "", "family" : "Creamer", "given" : "Kurt S.", "non-dropping-particle" : "", "parse-names" : false, "suffix" : "" } ], "container-title" : "Bioresource Technology", "id" : "ITEM-1", "issue" : "10", "issued" : { "date-parts" : [ [ "2008" ] ] }, "page" : "4044-4064", "title" : "Inhibition of anaerobic digestion process: A review", "type" : "article-journal", "volume" : "99" }, "uris" : [ "http://www.mendeley.com/documents/?uuid=a2ede15b-da90-4fff-a4cc-8323031fbf85" ] }, { "id" : "ITEM-2", "itemData" : { "DOI" : "10.1016/j.pecs.2008.06.002", "ISBN" : "0360-1285", "ISSN" : "03601285", "abstract" : "When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slu\u2026", "author" : [ { "dropping-particle" : "", "family" : "Appels", "given" : "Lise", "non-dropping-particle" : "", "parse-names" : false, "suffix" : "" }, { "dropping-particle" : "", "family" : "Baeyens", "given" : "Jan", "non-dropping-particle" : "", "parse-names" : false, "suffix" : "" }, { "dropping-particle" : "", "family" : "Degr\u00e8ve", "given" : "Jan", "non-dropping-particle" : "", "parse-names" : false, "suffix" : "" }, { "dropping-particle" : "", "family" : "Dewil", "given" : "Raf", "non-dropping-particle" : "", "parse-names" : false, "suffix" : "" } ], "container-title" : "Progress in Energy and Combustion Science", "id" : "ITEM-2", "issue" : "6", "issued" : { "date-parts" : [ [ "2008" ] ] }, "page" : "755-781", "title" : "Principles and potential of the anaerobic digestion of waste-activated sludge", "type" : "article-journal", "volume" : "34" }, "uris" : [ "http://www.mendeley.com/documents/?uuid=283bd049-1ba3-4cbd-8f8b-c5afb230dd42" ] } ], "mendeley" : { "formattedCitation" : "[12,15]", "plainTextFormattedCitation" : "[12,15]", "previouslyFormattedCitation" : "[12,15]"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[12,15]</w:t>
      </w:r>
      <w:r w:rsidR="00A21A1B">
        <w:rPr>
          <w:rFonts w:asciiTheme="minorHAnsi" w:eastAsia="Calibri" w:hAnsiTheme="minorHAnsi" w:cs="Calibri"/>
          <w:color w:val="000000"/>
          <w:sz w:val="22"/>
          <w:szCs w:val="22"/>
          <w:lang w:eastAsia="en-GB"/>
        </w:rPr>
        <w:fldChar w:fldCharType="end"/>
      </w:r>
      <w:r w:rsidR="00A21A1B">
        <w:rPr>
          <w:rFonts w:asciiTheme="minorHAnsi" w:eastAsia="Calibri" w:hAnsiTheme="minorHAnsi" w:cs="Calibri"/>
          <w:color w:val="000000"/>
          <w:sz w:val="22"/>
          <w:szCs w:val="22"/>
          <w:lang w:eastAsia="en-GB"/>
        </w:rPr>
        <w:t>.</w:t>
      </w:r>
    </w:p>
    <w:p w14:paraId="28B14AA1" w14:textId="16D5ECEB"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lastRenderedPageBreak/>
        <w:t xml:space="preserve">The slow growth rates of the methanogens is another issue for the AD process. The methanogens possess typical doubling rates that are 5-15 times slower than that of the other members of their AD consortium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"author" : [ { "dropping-particle" : "", "family" : "Haandel, A.C., van der Lubbe", "given" : "J.", "non-dropping-particle" : "van", "parse-names" : false, "suffix" : "" } ], "id" : "ITEM-1", "issued" : { "date-parts" : [ [ "2012" ] ] }, "number-of-pages" : "377-380", "title" : "Handbook of biological wastewater treatment: Design and optimisation of activated sludge systems. 2nd revised edition.", "type" : "book" }, "uris" : [ "http://www.mendeley.com/documents/?uuid=0f05ed56-8ce5-49af-91d1-0029afddcc57" ] } ], "mendeley" : { "formattedCitation" : "[41]", "plainTextFormattedCitation" : "[41]", "previouslyFormattedCitation" : "[41]"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[41]</w:t>
      </w:r>
      <w:r w:rsidR="00A21A1B">
        <w:rPr>
          <w:rFonts w:asciiTheme="minorHAnsi" w:eastAsia="Calibri" w:hAnsiTheme="minorHAnsi" w:cs="Calibri"/>
          <w:color w:val="000000"/>
          <w:sz w:val="22"/>
          <w:szCs w:val="22"/>
          <w:lang w:eastAsia="en-GB"/>
        </w:rPr>
        <w:fldChar w:fldCharType="end"/>
      </w:r>
      <w:r w:rsidR="00A21A1B">
        <w:rPr>
          <w:rFonts w:asciiTheme="minorHAnsi" w:eastAsia="Calibri" w:hAnsiTheme="minorHAnsi" w:cs="Calibri"/>
          <w:color w:val="000000"/>
          <w:sz w:val="22"/>
          <w:szCs w:val="22"/>
          <w:lang w:eastAsia="en-GB"/>
        </w:rPr>
        <w:t>.</w:t>
      </w:r>
      <w:r w:rsidRPr="00C44D8C">
        <w:rPr>
          <w:rFonts w:asciiTheme="minorHAnsi" w:eastAsia="Calibri" w:hAnsiTheme="minorHAnsi" w:cs="Calibri"/>
          <w:color w:val="FF0000"/>
          <w:sz w:val="22"/>
          <w:szCs w:val="22"/>
          <w:lang w:eastAsia="en-GB"/>
        </w:rPr>
        <w:t xml:space="preserve"> </w:t>
      </w:r>
      <w:r w:rsidRPr="00C44D8C">
        <w:rPr>
          <w:rFonts w:asciiTheme="minorHAnsi" w:eastAsia="Calibri" w:hAnsiTheme="minorHAnsi" w:cs="Calibri"/>
          <w:color w:val="000000"/>
          <w:sz w:val="22"/>
          <w:szCs w:val="22"/>
          <w:lang w:eastAsia="en-GB"/>
        </w:rPr>
        <w:t xml:space="preserve">These slow growth rates result in the frequent wash-out of the methanogens in the effluent of AD reactors before they have had chance to establish themselves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"id" : "ITEM-2", "itemData" : { "ISSN" : "0168-1656", "PMID" : "10862983", "abstract" : "The review presented in this paper focuses on applications of particulate biofilm reactors (e.g. Upflow Sludge Blanket, Biofilm Fluidized Bed, Expanded Granular Sludge Blanket, Biofilm Airlift Suspension, Internal Circulation reactors). Several full-scale applications for municipal and industrial wastewater treatment are presented and illustrated, and their most important design and operation aspects (e.g. biofilm formation, hydrodynamics, mass transfer, mixing) are analysed and discussed. It is clear from the review that this technology can be considered a grown up technology for which good design and scale-up guidelines are available.", "author" : [ { "dropping-particle" : "", "family" : "Nicolella", "given" : "C", "non-dropping-particle" : "", "parse-names" : false, "suffix" : "" }, { "dropping-particle" : "", "family" : "Loosdrecht", "given" : "M C", "non-dropping-particle" : "van", "parse-names" : false, "suffix" : "" }, { "dropping-particle" : "", "family" : "Heijnen", "given" : "J J", "non-dropping-particle" : "", "parse-names" : false, "suffix" : "" } ], "container-title" : "Journal of biotechnology", "id" : "ITEM-2", "issue" : "1", "issued" : { "date-parts" : [ [ "2000", "7", "9" ] ] }, "page" : "1-33", "title" : "Wastewater treatment with particulate biofilm reactors.", "type" : "article-journal", "volume" : "80" }, "uris" : [ "http://www.mendeley.com/documents/?uuid=201abfa7-4432-4f1a-ac38-e723ba2b9cb3" ] } ], "mendeley" : { "formattedCitation" : "[16,17]", "plainTextFormattedCitation" : "[16,17]", "previouslyFormattedCitation" : "[16,17]"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[16,17]</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 combined effect of the accumulation of inhibitory substances within AD reactors, the sensitivity of the methanogens towards various operational and environmental fluctuations and their slow growth rates can cause inefficient </w:t>
      </w:r>
      <w:r w:rsidR="006314F7">
        <w:rPr>
          <w:rFonts w:asciiTheme="minorHAnsi" w:eastAsia="Calibri" w:hAnsiTheme="minorHAnsi" w:cs="Calibri"/>
          <w:color w:val="000000"/>
          <w:sz w:val="22"/>
          <w:szCs w:val="22"/>
          <w:lang w:eastAsia="en-GB"/>
        </w:rPr>
        <w:t>biogas production</w:t>
      </w:r>
      <w:r w:rsidRPr="00C44D8C">
        <w:rPr>
          <w:rFonts w:asciiTheme="minorHAnsi" w:eastAsia="Calibri" w:hAnsiTheme="minorHAnsi" w:cs="Calibri"/>
          <w:color w:val="000000"/>
          <w:sz w:val="22"/>
          <w:szCs w:val="22"/>
          <w:lang w:eastAsia="en-GB"/>
        </w:rPr>
        <w:t xml:space="preserve"> and poor AD performance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"10.1016/j.energy.2011.03.068", "ISSN" : "03605442", "author" : [ { "dropping-particle" : "", "family" : "Gong", "given" : "Wei-jia", "non-dropping-particle" : "", "parse-names" : false, "suffix" : "" }, { "dropping-particle" : "", "family" : "Liang", "given" : "Heng", "non-dropping-particle" : "", "parse-names" : false, "suffix" : "" }, { "dropping-particle" : "", "family" : "Li", "given" : "Wen-zhe", "non-dropping-particle" : "", "parse-names" : false, "suffix" : "" }, { "dropping-particle" : "", "family" : "Wang", "given" : "Zhen-zhen", "non-dropping-particle" : "", "parse-names" : false, "suffix" : "" } ], "container-title" : "Energy", "id" : "ITEM-1", "issue" : "5", "issued" : { "date-parts" : [ [ "2011", "5" ] ] }, "page" : "3572-3578", "publisher" : "Elsevier Ltd", "title" : "Selection and evaluation of biofilm carrier in anaerobic digestion treatment of cattle manure", "type" : "article-journal", "volume" : "36" }, "uris" : [ "http://www.mendeley.com/documents/?uuid=b9fcefda-449d-47c6-b11b-37a0d0560b03" ] }, { "id" : "ITEM-2", "itemData" : { "DOI" : "10.1016/j.biortech.2004.02.010", "ISSN" : "0960-8524", "PMID" : "15207286", "abstract" : "Biogas, a clean and renewable form of energy could very well substitute (especially in the rural sector) for conventional sources of energy (fossil fuels, oil, etc.) which are causing ecological-environmental problems and at the same time depleting at a faster rate. Despite its numerous advantages, the potential of biogas technology could not be fully harnessed or tapped as certain constraints are also associated with it. Most common among these are: the large hydraulic retention time of 30-50 days, low gas production in winter, etc. Therefore, efforts are needed to remove its various limitations so as to popularize this technology in the rural areas. Researchers have tried different techniques to enhance gas production. This paper reviews the various techniques, which could be used to enhance the gas production rate from solid substrates.", "author" : [ { "dropping-particle" : "", "family" : "Yadvika, S., Sreekrishnan", "given" : "T R", "non-dropping-particle" : "", "parse-names" : false, "suffix" : "" }, { "dropping-particle" : "", "family" : "Kohli", "given" : "Sangeeta", "non-dropping-particle" : "", "parse-names" : false, "suffix" : "" }, { "dropping-particle" : "", "family" : "Rana", "given" : "Vineet", "non-dropping-particle" : "", "parse-names" : false, "suffix" : "" } ], "container-title" : "Bioresource technology", "id" : "ITEM-2", "issue" : "1", "issued" : { "date-parts" : [ [ "2004", "10" ] ] }, "page" : "1-10", "title" : "Enhancement of biogas production from solid substrates using different techniques--a review.", "type" : "article-journal", "volume" : "95" }, "uris" : [ "http://www.mendeley.com/documents/?uuid=33d8905d-133f-4da0-88fe-a85655f5e336" ] }, { "id" : "ITEM-3", "itemData" : { "DOI" : "10.1139/A10-011", "ISBN" : "1181-8700", "ISSN" : "1208-6053", "abstract" : "Anaerobic digestion (AD) is intrinsically a sequential complex chemical and biochemical process, and many factors (microbiological, operational, and chemical) can affect its performance. The great complexity of AD may lead to many serious problems (such as instability, long retention times, low efficiency, and high polluted supernatant) that pre- vent this technique from being widely used and commercialized. The aim of this paper is to review the present knowledge of the AD process in view of its microbiological, operational, and chemical aspects. Different groups of anaerobic micro- organisms with specific growth conditions, physiological properties, and metabolic activities are involved in the AD proc- ess. Interactions of anaerobic microorganisms are incredibly complicated, and the effective performance of AD strongly depends on the balance of these relationships. The syntrophic interaction of acetogens and methanogens is the most impor- tant relationship in AD because acetogenesis and methanogenesis reactions under thermodynamic standard conditions are endergonic and naturally do not occur. Moreover, operational and chemical factors affect the anaerobes in certain ways. It is believed that there are many ambiguous points in AD that are not yet known. Therefore, by controlling and monitoring each of the microbiological, operational, and chemical parameters, AD performance may be enhanced.", "author" : [ { "dropping-particle" : "", "family" : "Amani", "given" : "T.", "non-dropping-particle" : "", "parse-names" : false, "suffix" : "" }, { "dropping-particle" : "", "family" : "Nosrati", "given" : "M.", "non-dropping-particle" : "", "parse-names" : false, "suffix" : "" }, { "dropping-particle" : "", "family" : "Sreekrishnan", "given" : "T.R.", "non-dropping-particle" : "", "parse-names" : false, "suffix" : "" } ], "container-title" : "Environmental Reviews", "id" : "ITEM-3", "issued" : { "date-parts" : [ [ "2010" ] ] }, "page" : "255-278", "title" : "Anaerobic digestion from the viewpoint of microbiological, chemical, and operational aspects \u2014 a review", "type" : "article-journal", "volume" : "18" }, "uris" : [ "http://www.mendeley.com/documents/?uuid=22e551c0-44ac-410f-b6ec-0d144e949a21" ] }, { "id" : "ITEM-4", "itemData" : { "DOI" : "10.1111/1751-7915.12115", "ISSN" : "1751-7915", "PMID" : "24612643", "abstract" : "To evaluate the impact of the nature of the support material on its colonization by a methanogenic consortium, four substrata made of different materials: polyvinyl chloride, 2 polyethylene and polypropylene were tested during the start-up of lab-scale fixed-film reactors. The reactor performances were evaluated and compared together with the analysis of the biofilms. Biofilm growth was quantified and the structure of bacterial and archaeal communities were characterized by molecular fingerprinting profiles (capillary electrophoresis-single strand conformation polymorphism). The composition of the inoculum was shown to have a major impact on the bacterial composition of the biofilm, whatever the nature of the support material or the organic loading rate applied to the reactors during the start-up period. In contrast, the biofilm archaeal populations were independent of the inoculum used but highly dependent on the support material. Supports favouring Archaea colonization, the limiting factor in the overall process, should be preferred.", "author" : [ { "dropping-particle" : "", "family" : "Habouzit", "given" : "Fr\u00e9d\u00e9ric", "non-dropping-particle" : "", "parse-names" : false, "suffix" : "" }, { "dropping-particle" : "", "family" : "Hamelin", "given" : "J\u00e9r\u00f4me", "non-dropping-particle" : "", "parse-names" : false, "suffix" : "" }, { "dropping-particle" : "", "family" : "Santa-Catalina", "given" : "Ga\u00eblle", "non-dropping-particle" : "", "parse-names" : false, "suffix" : "" }, { "dropping-particle" : "", "family" : "Steyer", "given" : "Jean-P", "non-dropping-particle" : "", "parse-names" : false, "suffix" : "" }, { "dropping-particle" : "", "family" : "Bernet", "given" : "Nicolas", "non-dropping-particle" : "", "parse-names" : false, "suffix" : "" } ], "container-title" : "Microbial biotechnology", "id" : "ITEM-4", "issue" : "3", "issued" : { "date-parts" : [ [ "2014", "5" ] ] }, "page" : "257-64", "title" : "Biofilm development during the start-up period of anaerobic biofilm reactors: the biofilm Archaea community is highly dependent on the support material.", "type" : "article-journal", "volume" : "7" }, "uris" : [ "http://www.mendeley.com/documents/?uuid=5b3a22a0-d45a-4db7-9716-88119ba1ceb8" ] } ], "mendeley" : { "formattedCitation" : "[42\u201345]", "plainTextFormattedCitation" : "[42\u201345]", "previouslyFormattedCitation" : "[42\u201345]"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[42–45]</w:t>
      </w:r>
      <w:r w:rsidR="00A21A1B">
        <w:rPr>
          <w:rFonts w:asciiTheme="minorHAnsi" w:eastAsia="Calibri" w:hAnsiTheme="minorHAnsi" w:cs="Calibri"/>
          <w:color w:val="000000"/>
          <w:sz w:val="22"/>
          <w:szCs w:val="22"/>
          <w:lang w:eastAsia="en-GB"/>
        </w:rPr>
        <w:fldChar w:fldCharType="end"/>
      </w:r>
      <w:r w:rsidR="00A21A1B">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As such, the vulnerability of the methanogenic consortium is one of the key li</w:t>
      </w:r>
      <w:r w:rsidR="00A21A1B">
        <w:rPr>
          <w:rFonts w:asciiTheme="minorHAnsi" w:eastAsia="Calibri" w:hAnsiTheme="minorHAnsi" w:cs="Calibri"/>
          <w:color w:val="000000"/>
          <w:sz w:val="22"/>
          <w:szCs w:val="22"/>
          <w:lang w:eastAsia="en-GB"/>
        </w:rPr>
        <w:t xml:space="preserve">mitations in the AD process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[19]</w:t>
      </w:r>
      <w:r w:rsidR="00A21A1B">
        <w:rPr>
          <w:rFonts w:asciiTheme="minorHAnsi" w:eastAsia="Calibri" w:hAnsiTheme="minorHAnsi" w:cs="Calibri"/>
          <w:color w:val="000000"/>
          <w:sz w:val="22"/>
          <w:szCs w:val="22"/>
          <w:lang w:eastAsia="en-GB"/>
        </w:rPr>
        <w:fldChar w:fldCharType="end"/>
      </w:r>
      <w:r w:rsidR="00A21A1B">
        <w:rPr>
          <w:rFonts w:asciiTheme="minorHAnsi" w:eastAsia="Calibri" w:hAnsiTheme="minorHAnsi" w:cs="Calibri"/>
          <w:color w:val="000000"/>
          <w:sz w:val="22"/>
          <w:szCs w:val="22"/>
          <w:lang w:eastAsia="en-GB"/>
        </w:rPr>
        <w:t>.</w:t>
      </w:r>
    </w:p>
    <w:p w14:paraId="3488CD45" w14:textId="76575C31"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Efforts to facilitate heavy duty biomethanation for future biotechnological applications should take into account this microbial limitation to AD process stability. Current decentralised and centralised AD reactors are regulated by operational controls, such as measuring the effluent pH, temperature, levels of VFAs and trace metals in the reactor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"id" : "ITEM-2", "itemData" : { "DOI" : "10.1016/j.copbio.2015.01.008", "ISSN" : "09581669", "author" : [ { "dropping-particle" : "", "family" : "Carballa", "given" : "Marta", "non-dropping-particle" : "", "parse-names" : false, "suffix" : "" }, { "dropping-particle" : "", "family" : "Regueiro", "given" : "Leticia", "non-dropping-particle" : "", "parse-names" : false, "suffix" : "" }, { "dropping-particle" : "", "family" : "Lema", "given" : "Juan M", "non-dropping-particle" : "", "parse-names" : false, "suffix" : "" } ], "container-title" : "Current Opinion in Biotechnology", "id" : "ITEM-2", "issued" : { "date-parts" : [ [ "2015" ] ] }, "page" : "103-111", "publisher" : "Elsevier Ltd", "title" : "Microbial management of anaerobic digestion: exploiting the microbiome-functionality nexus", "type" : "article-journal", "volume" : "33" }, "uris" : [ "http://www.mendeley.com/documents/?uuid=74da6935-fc78-4d0f-b0cf-ff616e5e90eb" ] } ], "mendeley" : { "formattedCitation" : "[19,46]", "plainTextFormattedCitation" : "[19,46]", "previouslyFormattedCitation" : "[19,46]"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[19,46]</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137E51FA" w14:textId="31FCA8C8" w:rsidR="00FE1A56" w:rsidRDefault="00436CD0" w:rsidP="00A9324D">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However, it is clear that in order to optimise the AD process to enhance biogas production and process stability, an understanding of the microbial community is</w:t>
      </w:r>
      <w:r w:rsidR="006314F7">
        <w:rPr>
          <w:rFonts w:asciiTheme="minorHAnsi" w:eastAsia="Calibri" w:hAnsiTheme="minorHAnsi" w:cs="Calibri"/>
          <w:color w:val="000000"/>
          <w:sz w:val="22"/>
          <w:szCs w:val="22"/>
          <w:lang w:eastAsia="en-GB"/>
        </w:rPr>
        <w:t xml:space="preserve"> also</w:t>
      </w:r>
      <w:r w:rsidRPr="00C44D8C">
        <w:rPr>
          <w:rFonts w:asciiTheme="minorHAnsi" w:eastAsia="Calibri" w:hAnsiTheme="minorHAnsi" w:cs="Calibri"/>
          <w:color w:val="000000"/>
          <w:sz w:val="22"/>
          <w:szCs w:val="22"/>
          <w:lang w:eastAsia="en-GB"/>
        </w:rPr>
        <w:t xml:space="preserve"> required. Yet, a microbial-based strategy is distinctly lacking in the AD sector, and is greatly needed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"10.1016/j.copbio.2015.01.008", "ISSN" : "09581669", "author" : [ { "dropping-particle" : "", "family" : "Carballa", "given" : "Marta", "non-dropping-particle" : "", "parse-names" : false, "suffix" : "" }, { "dropping-particle" : "", "family" : "Regueiro", "given" : "Leticia", "non-dropping-particle" : "", "parse-names" : false, "suffix" : "" }, { "dropping-particle" : "", "family" : "Lema", "given" : "Juan M", "non-dropping-particle" : "", "parse-names" : false, "suffix" : "" } ], "container-title" : "Current Opinion in Biotechnology", "id" : "ITEM-1", "issued" : { "date-parts" : [ [ "2015" ] ] }, "page" : "103-111", "publisher" : "Elsevier Ltd", "title" : "Microbial management of anaerobic digestion: exploiting the microbiome-functionality nexus", "type" : "article-journal", "volume" : "33" }, "uris" : [ "http://www.mendeley.com/documents/?uuid=74da6935-fc78-4d0f-b0cf-ff616e5e90eb" ] } ], "mendeley" : { "formattedCitation" : "[46]", "plainTextFormattedCitation" : "[46]", "previouslyFormattedCitation" : "[46]"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[46]</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Finding resilient and adaptive microorganisms to strengthen the AD microbial community against future reactor changes is one pot</w:t>
      </w:r>
      <w:r w:rsidR="00A21A1B">
        <w:rPr>
          <w:rFonts w:asciiTheme="minorHAnsi" w:eastAsia="Calibri" w:hAnsiTheme="minorHAnsi" w:cs="Calibri"/>
          <w:color w:val="000000"/>
          <w:sz w:val="22"/>
          <w:szCs w:val="22"/>
          <w:lang w:eastAsia="en-GB"/>
        </w:rPr>
        <w:t xml:space="preserve">ential microbial-based strategy. </w:t>
      </w:r>
      <w:r w:rsidRPr="00C44D8C">
        <w:rPr>
          <w:rFonts w:asciiTheme="minorHAnsi" w:eastAsia="Calibri" w:hAnsiTheme="minorHAnsi" w:cs="Calibri"/>
          <w:color w:val="000000"/>
          <w:sz w:val="22"/>
          <w:szCs w:val="22"/>
          <w:lang w:eastAsia="en-GB"/>
        </w:rPr>
        <w:t xml:space="preserve">The immobilisation of such resilient and adaptive microorganisms within AD reactors is promising for the high rate degradation of domestic wastewater. An extremely promising candidate is the metabolically versatile and robust methanogenic genus, </w:t>
      </w:r>
      <w:r w:rsidRPr="00C44D8C">
        <w:rPr>
          <w:rFonts w:asciiTheme="minorHAnsi" w:eastAsia="Calibri" w:hAnsiTheme="minorHAnsi" w:cs="Calibri"/>
          <w:i/>
          <w:color w:val="000000"/>
          <w:sz w:val="22"/>
          <w:szCs w:val="22"/>
          <w:lang w:eastAsia="en-GB"/>
        </w:rPr>
        <w:t>Methanosarcina</w:t>
      </w:r>
      <w:r w:rsidR="00A21A1B">
        <w:rPr>
          <w:rFonts w:asciiTheme="minorHAnsi" w:eastAsia="Calibri" w:hAnsiTheme="minorHAnsi" w:cs="Calibri"/>
          <w:i/>
          <w:color w:val="000000"/>
          <w:sz w:val="22"/>
          <w:szCs w:val="22"/>
          <w:lang w:eastAsia="en-GB"/>
        </w:rPr>
        <w:t xml:space="preserve"> </w:t>
      </w:r>
      <w:r w:rsidR="00A21A1B">
        <w:rPr>
          <w:rFonts w:asciiTheme="minorHAnsi" w:eastAsia="Calibri" w:hAnsiTheme="minorHAnsi" w:cs="Calibri"/>
          <w:i/>
          <w:color w:val="000000"/>
          <w:sz w:val="22"/>
          <w:szCs w:val="22"/>
          <w:lang w:eastAsia="en-GB"/>
        </w:rPr>
        <w:fldChar w:fldCharType="begin" w:fldLock="1"/>
      </w:r>
      <w:r w:rsidR="00A21A1B">
        <w:rPr>
          <w:rFonts w:asciiTheme="minorHAnsi" w:eastAsia="Calibri" w:hAnsiTheme="minorHAnsi" w:cs="Calibri"/>
          <w: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A21A1B">
        <w:rPr>
          <w:rFonts w:asciiTheme="minorHAnsi" w:eastAsia="Calibri" w:hAnsiTheme="minorHAnsi" w:cs="Calibri"/>
          <w: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[19]</w:t>
      </w:r>
      <w:r w:rsidR="00A21A1B">
        <w:rPr>
          <w:rFonts w:asciiTheme="minorHAnsi" w:eastAsia="Calibri" w:hAnsiTheme="minorHAnsi" w:cs="Calibri"/>
          <w:i/>
          <w:color w:val="000000"/>
          <w:sz w:val="22"/>
          <w:szCs w:val="22"/>
          <w:lang w:eastAsia="en-GB"/>
        </w:rPr>
        <w:fldChar w:fldCharType="end"/>
      </w:r>
      <w:r w:rsidR="00A21A1B">
        <w:rPr>
          <w:rFonts w:asciiTheme="minorHAnsi" w:eastAsia="Calibri" w:hAnsiTheme="minorHAnsi" w:cs="Calibri"/>
          <w:color w:val="000000"/>
          <w:sz w:val="22"/>
          <w:szCs w:val="22"/>
          <w:lang w:eastAsia="en-GB"/>
        </w:rPr>
        <w:t>.</w:t>
      </w:r>
    </w:p>
    <w:p w14:paraId="6D3CE2AE" w14:textId="77777777" w:rsidR="00A9324D" w:rsidRPr="00A9324D" w:rsidRDefault="00A9324D" w:rsidP="00A9324D">
      <w:pPr>
        <w:spacing w:line="360" w:lineRule="auto"/>
        <w:ind w:firstLine="720"/>
        <w:rPr>
          <w:rFonts w:asciiTheme="minorHAnsi" w:eastAsia="Calibri" w:hAnsiTheme="minorHAnsi" w:cs="Calibri"/>
          <w:color w:val="000000"/>
          <w:sz w:val="22"/>
          <w:szCs w:val="22"/>
          <w:lang w:eastAsia="en-GB"/>
        </w:rPr>
      </w:pPr>
    </w:p>
    <w:p w14:paraId="701B9B7D" w14:textId="77777777" w:rsidR="00436CD0" w:rsidRPr="00C44D8C" w:rsidRDefault="00436CD0" w:rsidP="00DF337D">
      <w:pPr>
        <w:pStyle w:val="Heading6"/>
        <w:rPr>
          <w:rFonts w:eastAsia="Arial" w:cs="Arial"/>
          <w:lang w:eastAsia="en-GB"/>
        </w:rPr>
      </w:pPr>
      <w:bookmarkStart w:id="44" w:name="_Toc462575262"/>
      <w:r w:rsidRPr="00C44D8C">
        <w:rPr>
          <w:rFonts w:eastAsia="Arial" w:cs="Arial"/>
          <w:lang w:eastAsia="en-GB"/>
        </w:rPr>
        <w:t xml:space="preserve">2.2.1. </w:t>
      </w:r>
      <w:r w:rsidRPr="00C44D8C">
        <w:rPr>
          <w:rFonts w:eastAsia="Calibri"/>
          <w:i/>
          <w:lang w:eastAsia="en-GB"/>
        </w:rPr>
        <w:t>Methanosarcina</w:t>
      </w:r>
      <w:r w:rsidRPr="00C44D8C">
        <w:rPr>
          <w:rFonts w:eastAsia="Calibri"/>
          <w:lang w:eastAsia="en-GB"/>
        </w:rPr>
        <w:t>: a key methanogen in anaerobic digestion</w:t>
      </w:r>
      <w:bookmarkEnd w:id="44"/>
    </w:p>
    <w:p w14:paraId="1A2434B4" w14:textId="29E5A442" w:rsidR="00A9324D" w:rsidRDefault="00436CD0" w:rsidP="00436CD0">
      <w:pPr>
        <w:spacing w:line="360" w:lineRule="auto"/>
        <w:rPr>
          <w:rFonts w:asciiTheme="minorHAnsi" w:eastAsia="Calibri" w:hAnsiTheme="minorHAnsi" w:cs="Calibri"/>
          <w:i/>
          <w:color w:val="000000"/>
          <w:sz w:val="22"/>
          <w:szCs w:val="22"/>
          <w:lang w:eastAsia="en-GB"/>
        </w:rPr>
        <w:sectPr w:rsidR="00A9324D" w:rsidSect="00DF337D">
          <w:pgSz w:w="11906" w:h="16838"/>
          <w:pgMar w:top="1418" w:right="1418" w:bottom="1418" w:left="2268" w:header="708" w:footer="708" w:gutter="0"/>
          <w:cols w:space="708"/>
          <w:docGrid w:linePitch="360"/>
        </w:sectPr>
      </w:pPr>
      <w:bookmarkStart w:id="45" w:name="h.gjdgxs" w:colFirst="0" w:colLast="0"/>
      <w:bookmarkEnd w:id="45"/>
      <w:r w:rsidRPr="00C44D8C">
        <w:rPr>
          <w:rFonts w:asciiTheme="minorHAnsi" w:eastAsia="Calibri" w:hAnsiTheme="minorHAnsi" w:cs="Calibri"/>
          <w:color w:val="000000"/>
          <w:sz w:val="22"/>
          <w:szCs w:val="22"/>
          <w:lang w:eastAsia="en-GB"/>
        </w:rPr>
        <w:t xml:space="preserve">It is widely recognised that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is one of the more robust methanogens of the methanogenic consortium in AD</w:t>
      </w:r>
      <w:r w:rsidR="00A21A1B">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[19]</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Compared to the other methanogenic archaea,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 xml:space="preserve"> are able to tolerate various environmental and operational stressors. Previous studies have reported a shift in the microbial community to mainly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species in AD reactors with high levels of ammonium of up to 7000 mg TAN L</w:t>
      </w:r>
      <w:r w:rsidRPr="00C44D8C">
        <w:rPr>
          <w:rFonts w:asciiTheme="minorHAnsi" w:eastAsia="Calibri" w:hAnsiTheme="minorHAnsi" w:cs="Calibri"/>
          <w:color w:val="000000"/>
          <w:sz w:val="22"/>
          <w:szCs w:val="22"/>
          <w:vertAlign w:val="superscript"/>
          <w:lang w:eastAsia="en-GB"/>
        </w:rPr>
        <w:t>-1</w:t>
      </w:r>
      <w:r w:rsidRPr="00C44D8C">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"author" : [ { "dropping-particle" : "", "family" : "Calli, B., Mertoglu, B., Inanc, B., Yenigun", "given" : "O.", "non-dropping-particle" : "", "parse-names" : false, "suffix" : "" } ], "container-title" : "Environmental technology", "id" : "ITEM-1", "issued" : { "date-parts" : [ [ "2005" ] ] }, "page" : "85-91", "title" : "COMMUNITY CHANGES DURING START-UP IN METHANOGENIC BIOREACTORS EXPOSED TO INCREASING LEVELS OF AMMONIA", "type" : "article-journal", "volume" : "26" }, "uris" : [ "http://www.mendeley.com/documents/?uuid=fa6f775f-deb4-48c2-b3c2-fff519270496" ] } ], "mendeley" : { "formattedCitation" : "[47]", "plainTextFormattedCitation" : "[47]", "previouslyFormattedCitation" : "[47]"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[47]</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high organic loading rates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"10.1007/s00248-006-9161-6", "ISSN" : "0095-3628", "PMID" : "17186142", "abstract" : "This study characterized the microbial community and population dynamics in an anaerobic hybrid reactor (AHR) treating cassava starch wastewater. Methanogens and nonmethanogens were followed during the start-up and operation of the reactor, and linked to operational and performance data. Biomass samples taken from the sludge bed and packed bed zones of the AHR at intervals throughout the operational period were examined by 16S rRNA fluorescence in situ hybridization (FISH). The start-up seed and the reactor biomass were sampled during the feeding of the wastewater with a chemical oxygen demand (COD) value of 8 g L(-1) and a hydraulic retention time (HRT) of 8 days. These samples were characterized by the predominance of cells with long-rod morphology similar to Methanosaeta spp. Following a sharp operational change, accomplished by increasing the COD concentration of the organic influent from 8 to 10 g L(-1) and reducing the HRT from 8 to 5 days, there was a doubling of the organic loading rate, a reduction of the COD removal efficiency, as well as decreased methane content in the biogas and an accumulation of total volatile acids in the reactor. Moreover, this operational change resulted in a significant population shift from long-rod Methanosaeta-like cells to tetrad-forming Methanosarcina-like cells. The distributions of microbial populations involved in different zones of the AHR were determined. The results showed that nonmethanogens became the predominant population in both sludge and the packed bed zone. However, the percentage of methanogens in the packed bed zone was higher than that in the sludge bed zone. This higher percentage of methanogens was likely caused by the fact that the packed bed zone provided a suitable environmental condition with an appropriate nutrient availability for methanogen growth.", "author" : [ { "dropping-particle" : "", "family" : "Boonapatcharoen", "given" : "Nimaradee", "non-dropping-particle" : "", "parse-names" : false, "suffix" : "" }, { "dropping-particle" : "", "family" : "Meepian", "given" : "Kulyanee", "non-dropping-particle" : "", "parse-names" : false, "suffix" : "" }, { "dropping-particle" : "", "family" : "Chaiprasert", "given" : "Pawinee", "non-dropping-particle" : "", "parse-names" : false, "suffix" : "" }, { "dropping-particle" : "", "family" : "Techkarnjanaruk", "given" : "Somkiet", "non-dropping-particle" : "", "parse-names" : false, "suffix" : "" } ], "container-title" : "Microbial ecology", "id" : "ITEM-1", "issue" : "1", "issued" : { "date-parts" : [ [ "2007", "7" ] ] }, "page" : "21-30", "title" : "Molecular monitoring of microbial population dynamics during operational periods of anaerobic hybrid reactor treating cassava starch wastewater.", "type" : "article-journal", "volume" : "54" }, "uris" : [ "http://www.mendeley.com/documents/?uuid=ad6e9f7f-5977-4896-b94b-2541fd3bce62" ] } ], "mendeley" : { "formattedCitation" : "[48]", "plainTextFormattedCitation" : "[48]", "previouslyFormattedCitation" : "[48]"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[48]</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sudden changes in pH of 0.8 to 1 units</w:t>
      </w:r>
      <w:r w:rsidR="00A21A1B">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"10.1128/AEM.02349-10", "ISBN" : "0099-2240", "ISSN" : "00992240", "PMID" : "21296940", "abstract" : "The initiation of methanogenesis in refuse occurs under high volatile fatty acid (VFA) concentration and low pH (5.5 to 6.25), which generally are reported to inhibit methanogenic Archaea. One hypothesized mechanism for the initiation of methanogenesis in refuse decomposition is the presence of pH-neutral niches within the refuse that act as methanogenesis initiation centers. To provide experimental support for this mechanism, laboratory-scale landfill reactors were operated and destructively sampled when methanogenesis initiation was observed. The active bacterial and archaeal populations were evaluated using RNA clone libraries, RNA terminal restriction fragment length polymorphism (T-RFLP), and reverse transcription-quantitative PCR (RT-qPCR). Measurements from 81 core samples from vertical and horizontal sections of each reactor showed large spatial differences in refuse pH, moisture content, and VFA concentrations. No pH-neutral niches were observed prior to methanogenesis. RNA clone library results showed that active bacterial populations belonged mostly to Clostridiales, and that methanogenic Archaea activity at low pH was attributable to Methanosarcina barkeri. After methanogenesis began, pH-neutral conditions developed in high-moisture-content areas containing substantial populations of M. barkeri. These areas expanded with increasing methane production, forming a reaction front that advanced to low-pH areas. Despite low-pH conditions in &gt;50% of the samples within the reactors, the leachate pH was neutral, indicating that it is not an accurate indicator of landfill microbial conditions. In the absence of pH-neutral niches, this study suggests that methanogens tolerant to low pH, such as M. barkeri, are required to overcome the low-pH, high-VFA conditions present during the anaerobic acid phase of refuse decomposition.", "author" : [ { "dropping-particle" : "", "family" : "Staley", "given" : "Bryan F.", "non-dropping-particle" : "", "parse-names" : false, "suffix" : "" }, { "dropping-particle" : "", "family" : "los Reyes", "given" : "Francis L.", "non-dropping-particle" : "de", "parse-names" : false, "suffix" : "" }, { "dropping-particle" : "", "family" : "Barlaz", "given" : "Morton A.", "non-dropping-particle" : "", "parse-names" : false, "suffix" : "" } ], "container-title" : "Applied and Environmental Microbiology", "id" : "ITEM-1", "issued" : { "date-parts" : [ [ "2011" ] ] }, "title" : "Effect of spatial differences in microbial activity, pH, and substrate levels on methanogenesis initiation in refuse", "type" : "article-journal" }, "uris" : [ "http://www.mendeley.com/documents/?uuid=20a4be84-9182-3a21-80d1-6cecf46ea1b7" ] } ], "mendeley" : { "formattedCitation" : "[49]", "plainTextFormattedCitation" : "[49]", "previouslyFormattedCitation" : "[49]"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[49]</w:t>
      </w:r>
      <w:r w:rsidR="00A21A1B">
        <w:rPr>
          <w:rFonts w:asciiTheme="minorHAnsi" w:eastAsia="Calibri" w:hAnsiTheme="minorHAnsi" w:cs="Calibri"/>
          <w:color w:val="000000"/>
          <w:sz w:val="22"/>
          <w:szCs w:val="22"/>
          <w:lang w:eastAsia="en-GB"/>
        </w:rPr>
        <w:fldChar w:fldCharType="end"/>
      </w:r>
      <w:r w:rsidR="00A21A1B">
        <w:rPr>
          <w:rFonts w:asciiTheme="minorHAnsi" w:eastAsia="Calibri" w:hAnsiTheme="minorHAnsi" w:cs="Calibri"/>
          <w:color w:val="000000"/>
          <w:sz w:val="22"/>
          <w:szCs w:val="22"/>
          <w:lang w:eastAsia="en-GB"/>
        </w:rPr>
        <w:t>, a</w:t>
      </w:r>
      <w:r w:rsidRPr="00C44D8C">
        <w:rPr>
          <w:rFonts w:asciiTheme="minorHAnsi" w:eastAsia="Calibri" w:hAnsiTheme="minorHAnsi" w:cs="Calibri"/>
          <w:color w:val="000000"/>
          <w:sz w:val="22"/>
          <w:szCs w:val="22"/>
          <w:lang w:eastAsia="en-GB"/>
        </w:rPr>
        <w:t xml:space="preserve">s well as in AD reactors treating recalcitrant high-solid waste substrates with a total solids content greater than 10%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"10.1016/j.biortech.2013.01.121", "ISSN" : "1873-2976", "PMID" : "23428823", "abstract" : "In this study, changes in bacterial and archaeal communities involved in anaerobic digestion processes operated with high solid contents were investigated. Batch tests were performed within a range of total solids (TS) of 10-35%. Between 10% and 25% TS, high methanogenic activity was observed and no overall specific structure of active bacterial communities was found. At 30% and 35%, methanogenesis was inhibited as a consequence of volatile fatty acids accumulation. Here, a specific bacterial signature was observed with three main dominant bacteria related to Clostridium sp., known for their ability to grow at low pH. Additionally, archaeal community was gradually impacted by TS content. Three archaeal community structures were observed with a gradual shift from Methanobacterium sp. to Methanosarcina sp., according to the TS content. Overall, several species were identified as biomarkers of methanogenesis inhibition, since bacterial and archaeal communities were highly specific at high TS contents.", "author" : [ { "dropping-particle" : "", "family" : "Abbassi-Guendouz", "given" : "Amel", "non-dropping-particle" : "", "parse-names" : false, "suffix" : "" }, { "dropping-particle" : "", "family" : "Trably", "given" : "Eric", "non-dropping-particle" : "", "parse-names" : false, "suffix" : "" }, { "dropping-particle" : "", "family" : "Hamelin", "given" : "J\u00e9r\u00f4me", "non-dropping-particle" : "", "parse-names" : false, "suffix" : "" }, { "dropping-particle" : "", "family" : "Dumas", "given" : "Claire", "non-dropping-particle" : "", "parse-names" : false, "suffix" : "" }, { "dropping-particle" : "", "family" : "Steyer", "given" : "Jean Philippe", "non-dropping-particle" : "", "parse-names" : false, "suffix" : "" }, { "dropping-particle" : "", "family" : "Delgen\u00e8s", "given" : "Jean-Philippe", "non-dropping-particle" : "", "parse-names" : false, "suffix" : "" }, { "dropping-particle" : "", "family" : "Escudi\u00e9", "given" : "Renaud", "non-dropping-particle" : "", "parse-names" : false, "suffix" : "" } ], "container-title" : "Bioresource technology", "id" : "ITEM-1", "issued" : { "date-parts" : [ [ "2013", "4" ] ] }, "page" : "256-62", "publisher" : "Elsevier Ltd", "title" : "Microbial community signature of high-solid content methanogenic ecosystems.", "type" : "article-journal", "volume" : "133" }, "uris" : [ "http://www.mendeley.com/documents/?uuid=2cfb87bd-6178-4f2c-962c-560f61866480" ] } ], "mendeley" : { "formattedCitation" : "[50]", "plainTextFormattedCitation" : "[50]", "previouslyFormattedCitation" : "[50]"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[50]</w:t>
      </w:r>
      <w:r w:rsidR="00A21A1B">
        <w:rPr>
          <w:rFonts w:asciiTheme="minorHAnsi" w:eastAsia="Calibri" w:hAnsiTheme="minorHAnsi" w:cs="Calibri"/>
          <w:color w:val="000000"/>
          <w:sz w:val="22"/>
          <w:szCs w:val="22"/>
          <w:lang w:eastAsia="en-GB"/>
        </w:rPr>
        <w:fldChar w:fldCharType="end"/>
      </w:r>
      <w:r w:rsidR="00A21A1B">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and across a wide temperature range of 15 to 70°C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"10.1111/1751-7915.12025", "ISBN" : "1751-7907", "ISSN" : "17517907", "PMID" : "23302421", "abstract" : "Anaerobic digestion is an environmental key technology in the future bio-based economy. To achieve functional stability, a minimal microbial community diversity is required. This microbial community should also have a certain 'elasticity', i.e. the ability to rapidly adapt to suboptimal conditions or stress. In this study it was evaluated whether a higher degree of functional stability could be achieved by changing the feeding pattern, which can change the evenness, dynamics and richness of the bacterial community. The first reactor (CSTR stable ) was fed on daily basis, whereas the second reactor (CSTR dynamic ) was fed every 2 days. Average biogas production was 0.30 l CH4 l(-1) day(-1) in both reactors, although daily variation was up to four times higher in the CSTR dynamic compared with the CSTR stable during the first 50 days. Bacterial analysis revealed that this CSTR dynamic had a two times higher degree of bacterial community dynamics. The CSTR dynamic also appeared to be more tolerant to an organic shock load of 8 g COD l(-1) and ammonium levels up to 8000 mg TAN l(-1). These results suggest that the regular application of a limited pulse of organic material and/or a variation in the substrate composition might promote higher functional stability in anaerobic digestion.", "author" : [ { "dropping-particle" : "", "family" : "Vrieze", "given" : "Jo", "non-dropping-particle" : "De", "parse-names" : false, "suffix" : "" }, { "dropping-particle" : "", "family" : "Verstraete", "given" : "Willy", "non-dropping-particle" : "", "parse-names" : false, "suffix" : "" }, { "dropping-particle" : "", "family" : "Boon", "given" : "Nico", "non-dropping-particle" : "", "parse-names" : false, "suffix" : "" } ], "container-title" : "Microbial Biotechnology", "id" : "ITEM-1", "issue" : "4", "issued" : { "date-parts" : [ [ "2013" ] ] }, "page" : "414-424", "title" : "Repeated pulse feeding induces functional stability in anaerobic digestion", "type" : "article-journal", "volume" : "6" }, "uris" : [ "http://www.mendeley.com/documents/?uuid=bda03641-3ccf-4dfd-a5e0-a152af6b1cbb" ] }, { "id" : "ITEM-2", "itemData" : { "DOI" : "10.1128/AEM.00961-10", "ISBN" : "0099-2240", "PMID" : "20675446", "abstract" : "The acclimatization of methanogens to two-phase olive mill wastes (TPOMW) was investigated in pilot fermenters started up with cattle excreta (37\u00b0C) and after changing their feed to excreta plus TPOMW (37\u00b0C or 55\u00b0C) or TPOMW alone (37\u00b0C) until a steady state was reached (28 days). Methanogenic diversity was screened using a phylogenetic microarray (AnaeroChip), and positive targets were quantified by real-time PCR. Results revealed high phylogenetic richness, with representatives of three out of the four taxonomic orders found in digesters. Methanosarcina dominated in the starting excreta (&gt;96% of total 16S rRNA gene copies; over 45 times more abundant than any other methanogen) at high acetate (0.21 g liter(-1)) and ammonia N concentrations (1.3 g liter(-1)). Codigestion at 37\u00b0C induced a 6-fold increase of Methanosarcina numbers, correlated with CH(4) production (r(Pearson) = 0.94; P = 0.02). At 55\u00b0C, the rise in temperature and H(2) partial pressure induced a burst of Methanobacterium, Methanoculleus, Methanothermobacter, and a group of uncultured archaea. The digestion of excreta alone resulted in low but constant biogas production despite certain oscillations in the methanogenic biomass. Unsuccessful digestion of TPOMW alone was attributed to high Cu levels inducing inhibition of methanogenic activity. In conclusion, the versatile Methanosarcina immediately adapted to the shift from excreta to excreta plus TPOMW and was responsible for the stimulated CH(4) production at 37\u00b0C. Higher temperatures (55\u00b0C) fostered methanogenic diversity by promoting some H(2) scavengers while yielding the highest CH(4) production. Further testing is needed to find out whether there is a link between increased methanogenic diversity and reactor productivity.", "author" : [ { "dropping-particle" : "", "family" : "Goberna", "given" : "Marta", "non-dropping-particle" : "", "parse-names" : false, "suffix" : "" }, { "dropping-particle" : "", "family" : "Gadermaier", "given" : "Maria", "non-dropping-particle" : "", "parse-names" : false, "suffix" : "" }, { "dropping-particle" : "", "family" : "GarcIa", "given" : "Carlos", "non-dropping-particle" : "", "parse-names" : false, "suffix" : "" }, { "dropping-particle" : "", "family" : "Wett", "given" : "Bernhard", "non-dropping-particle" : "", "parse-names" : false, "suffix" : "" }, { "dropping-particle" : "", "family" : "Insam", "given" : "Heribert", "non-dropping-particle" : "", "parse-names" : false, "suffix" : "" } ], "container-title" : "Applied and Environmental Microbiology", "id" : "ITEM-2", "issued" : { "date-parts" : [ [ "2010" ] ] }, "title" : "Adaptation of methanogenic communities to the cofermentation of cattle excreta and olive mill wastes at 37C and 55C", "type" : "article-journal" }, "uris" : [ "http://www.mendeley.com/documents/?uuid=78412159-7845-3b7e-82ec-7fd5061b6e8f" ] } ], "mendeley" : { "formattedCitation" : "[51,52]", "plainTextFormattedCitation" : "[51,52]", "previouslyFormattedCitation" : "[51,52]"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[51,52]</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r w:rsidRPr="00C44D8C">
        <w:rPr>
          <w:rFonts w:asciiTheme="minorHAnsi" w:eastAsia="Calibri" w:hAnsiTheme="minorHAnsi" w:cs="Calibri"/>
          <w:i/>
          <w:color w:val="000000"/>
          <w:sz w:val="22"/>
          <w:szCs w:val="22"/>
          <w:lang w:eastAsia="en-GB"/>
        </w:rPr>
        <w:t xml:space="preserve"> </w:t>
      </w:r>
    </w:p>
    <w:p w14:paraId="374C9D93" w14:textId="19FB275C"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lastRenderedPageBreak/>
        <w:t xml:space="preserve">These environmental fluctuations are typical inhibitors to methanogen growth and activity, as described previously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"10.1016/j.biortech.2007.01.057", "ISBN" : "0960-8524 (Print)\\n0960-8524 (Linking)", "ISSN" : "09608524", "PMID" : "17399981", "abstract" : "Anaerobic digestion is an attractive waste treatment practice in which both pollution control and energy recovery can be achieved. Many agricultural and industrial wastes are ideal candidates for anaerobic digestion because they contain high levels of easily biodegradable materials. Problems such as low methane yield and process instability are often encountered in anaerobic digestion, preventing this technique from being widely applied. A wide variety of inhibitory substances are the primary cause of anaerobic digester upset or failure since they are present in substantial concentrations in wastes. Considerable research efforts have been made to identify the mechanism and the controlling factors of inhibition. This review provides a detailed summary of the research conducted on the inhibition of anaerobic processes. The inhibitors commonly present in anaerobic digesters include ammonia, sulfide, light metal ions, heavy metals, and organics. Due to the difference in anaerobic inocula, waste composition, and experimental methods and conditions, literature results on inhibition caused by specific toxicants vary widely. Co-digestion with other waste, adaptation of microorganisms to inhibitory substances, and incorporation of methods to remove or counteract toxicants before anaerobic digestion can significantly improve the waste treatment efficiency. \u00a9 2007 Elsevier Ltd. All rights reserved.", "author" : [ { "dropping-particle" : "", "family" : "Chen", "given" : "Ye", "non-dropping-particle" : "", "parse-names" : false, "suffix" : "" }, { "dropping-particle" : "", "family" : "Cheng", "given" : "Jay J.", "non-dropping-particle" : "", "parse-names" : false, "suffix" : "" }, { "dropping-particle" : "", "family" : "Creamer", "given" : "Kurt S.", "non-dropping-particle" : "", "parse-names" : false, "suffix" : "" } ], "container-title" : "Bioresource Technology", "id" : "ITEM-1", "issue" : "10", "issued" : { "date-parts" : [ [ "2008" ] ] }, "page" : "4044-4064", "title" : "Inhibition of anaerobic digestion process: A review", "type" : "article-journal", "volume" : "99" }, "uris" : [ "http://www.mendeley.com/documents/?uuid=a2ede15b-da90-4fff-a4cc-8323031fbf85" ] } ], "mendeley" : { "formattedCitation" : "[15]", "plainTextFormattedCitation" : "[15]", "previouslyFormattedCitation" : "[15]"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[15]</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However, the heightened tolerance of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 xml:space="preserve"> to such common inhibitory parameters is desirable for high-rate AD reactors, and their retention within such reactors has the potential to increase process stability and AD performance</w:t>
      </w:r>
      <w:r w:rsidR="00A21A1B">
        <w:rPr>
          <w:rFonts w:asciiTheme="minorHAnsi" w:eastAsia="Calibri" w:hAnsiTheme="minorHAnsi" w:cs="Calibri"/>
          <w:color w:val="000000"/>
          <w:sz w:val="22"/>
          <w:szCs w:val="22"/>
          <w:lang w:eastAsia="en-GB"/>
        </w:rPr>
        <w:t xml:space="preserve">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"10.2175/106143006X95393", "ISSN" : "10614303", "author" : [ { "dropping-particle" : "", "family" : "Conklin", "given" : "Anne", "non-dropping-particle" : "", "parse-names" : false, "suffix" : "" }, { "dropping-particle" : "", "family" : "Stensel", "given" : "H. David", "non-dropping-particle" : "", "parse-names" : false, "suffix" : "" }, { "dropping-particle" : "", "family" : "Ferguson", "given" : "John", "non-dropping-particle" : "", "parse-names" : false, "suffix" : "" } ], "container-title" : "Water Environment Research", "id" : "ITEM-1", "issue" : "5", "issued" : { "date-parts" : [ [ "2006", "5", "1" ] ] }, "page" : "486-496", "title" : "Growth Kinetics and Competition Between Methanosarcina and Methanosaeta in Mesophilic Anaerobic Digestion", "type" : "article-journal", "volume" : "78" }, "uris" : [ "http://www.mendeley.com/documents/?uuid=abbf951e-cff5-402d-a54d-fb7d7ce12bf9" ] } ], "mendeley" : { "formattedCitation" : "[39]", "plainTextFormattedCitation" : "[39]", "previouslyFormattedCitation" : "[39]"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[39]</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An AD reactor based on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 xml:space="preserve">has been proposed to reduce the typical solids retention time (SRT), or the average amount of time that solids remain in an AD reactor </w:t>
      </w:r>
      <w:r w:rsidR="00A21A1B">
        <w:rPr>
          <w:rFonts w:asciiTheme="minorHAnsi" w:eastAsia="Calibri" w:hAnsiTheme="minorHAnsi" w:cs="Calibri"/>
          <w:color w:val="000000"/>
          <w:sz w:val="22"/>
          <w:szCs w:val="22"/>
          <w:lang w:eastAsia="en-GB"/>
        </w:rPr>
        <w:fldChar w:fldCharType="begin" w:fldLock="1"/>
      </w:r>
      <w:r w:rsidR="00A21A1B">
        <w:rPr>
          <w:rFonts w:asciiTheme="minorHAnsi" w:eastAsia="Calibri" w:hAnsiTheme="minorHAnsi" w:cs="Calibri"/>
          <w:color w:val="000000"/>
          <w:sz w:val="22"/>
          <w:szCs w:val="22"/>
          <w:lang w:eastAsia="en-GB"/>
        </w:rPr>
        <w:instrText>ADDIN CSL_CITATION { "citationItems" : [ { "id" : "ITEM-1", "itemData" : { "DOI" : "10.1016/j.pecs.2008.06.002", "ISBN" : "0360-1285", "ISSN" : "03601285", "abstract" : "When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slu\u2026", "author" : [ { "dropping-particle" : "", "family" : "Appels", "given" : "Lise", "non-dropping-particle" : "", "parse-names" : false, "suffix" : "" }, { "dropping-particle" : "", "family" : "Baeyens", "given" : "Jan", "non-dropping-particle" : "", "parse-names" : false, "suffix" : "" }, { "dropping-particle" : "", "family" : "Degr\u00e8ve", "given" : "Jan", "non-dropping-particle" : "", "parse-names" : false, "suffix" : "" }, { "dropping-particle" : "", "family" : "Dewil", "given" : "Raf", "non-dropping-particle" : "", "parse-names" : false, "suffix" : "" } ], "container-title" : "Progress in Energy and Combustion Science", "id" : "ITEM-1", "issue" : "6", "issued" : { "date-parts" : [ [ "2008" ] ] }, "page" : "755-781", "title" : "Principles and potential of the anaerobic digestion of waste-activated sludge", "type" : "article-journal", "volume" : "34" }, "uris" : [ "http://www.mendeley.com/documents/?uuid=283bd049-1ba3-4cbd-8f8b-c5afb230dd42" ] } ], "mendeley" : { "formattedCitation" : "[12]", "plainTextFormattedCitation" : "[12]", "previouslyFormattedCitation" : "[12]"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A21A1B" w:rsidRPr="00A21A1B">
        <w:rPr>
          <w:rFonts w:asciiTheme="minorHAnsi" w:eastAsia="Calibri" w:hAnsiTheme="minorHAnsi" w:cs="Calibri"/>
          <w:noProof/>
          <w:color w:val="000000"/>
          <w:sz w:val="22"/>
          <w:szCs w:val="22"/>
          <w:lang w:eastAsia="en-GB"/>
        </w:rPr>
        <w:t>[12]</w:t>
      </w:r>
      <w:r w:rsidR="00A21A1B">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from 20-40 days in conventional AD reactors to 3-5 days, as well as being able to tolerate higher organic loading rates </w:t>
      </w:r>
      <w:r w:rsidR="00A21A1B">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"10.1128/AEM.02349-10", "ISBN" : "0099-2240", "ISSN" : "00992240", "PMID" : "21296940", "abstract" : "The initiation of methanogenesis in refuse occurs under high volatile fatty acid (VFA) concentration and low pH (5.5 to 6.25), which generally are reported to inhibit methanogenic Archaea. One hypothesized mechanism for the initiation of methanogenesis in refuse decomposition is the presence of pH-neutral niches within the refuse that act as methanogenesis initiation centers. To provide experimental support for this mechanism, laboratory-scale landfill reactors were operated and destructively sampled when methanogenesis initiation was observed. The active bacterial and archaeal populations were evaluated using RNA clone libraries, RNA terminal restriction fragment length polymorphism (T-RFLP), and reverse transcription-quantitative PCR (RT-qPCR). Measurements from 81 core samples from vertical and horizontal sections of each reactor showed large spatial differences in refuse pH, moisture content, and VFA concentrations. No pH-neutral niches were observed prior to methanogenesis. RNA clone library results showed that active bacterial populations belonged mostly to Clostridiales, and that methanogenic Archaea activity at low pH was attributable to Methanosarcina barkeri. After methanogenesis began, pH-neutral conditions developed in high-moisture-content areas containing substantial populations of M. barkeri. These areas expanded with increasing methane production, forming a reaction front that advanced to low-pH areas. Despite low-pH conditions in &gt;50% of the samples within the reactors, the leachate pH was neutral, indicating that it is not an accurate indicator of landfill microbial conditions. In the absence of pH-neutral niches, this study suggests that methanogens tolerant to low pH, such as M. barkeri, are required to overcome the low-pH, high-VFA conditions present during the anaerobic acid phase of refuse decomposition.", "author" : [ { "dropping-particle" : "", "family" : "Staley", "given" : "Bryan F.", "non-dropping-particle" : "", "parse-names" : false, "suffix" : "" }, { "dropping-particle" : "", "family" : "los Reyes", "given" : "Francis L.", "non-dropping-particle" : "de", "parse-names" : false, "suffix" : "" }, { "dropping-particle" : "", "family" : "Barlaz", "given" : "Morton A.", "non-dropping-particle" : "", "parse-names" : false, "suffix" : "" } ], "container-title" : "Applied and Environmental Microbiology", "id" : "ITEM-1", "issued" : { "date-parts" : [ [ "2011" ] ] }, "title" : "Effect of spatial differences in microbial activity, pH, and substrate levels on methanogenesis initiation in refuse", "type" : "article-journal" }, "uris" : [ "http://www.mendeley.com/documents/?uuid=20a4be84-9182-3a21-80d1-6cecf46ea1b7" ] }, { "id" : "ITEM-2",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"ITEM-2",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"[19,49]", "plainTextFormattedCitation" : "[19,49]", "previouslyFormattedCitation" : "[19,49]" }, "properties" : { "noteIndex" : 0 }, "schema" : "https://github.com/citation-style-language/schema/raw/master/csl-citation.json" }</w:instrText>
      </w:r>
      <w:r w:rsidR="00A21A1B">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[19,49]</w:t>
      </w:r>
      <w:r w:rsidR="00A21A1B">
        <w:rPr>
          <w:rFonts w:asciiTheme="minorHAnsi" w:eastAsia="Calibri" w:hAnsiTheme="minorHAnsi" w:cs="Calibri"/>
          <w:color w:val="000000"/>
          <w:sz w:val="22"/>
          <w:szCs w:val="22"/>
          <w:lang w:eastAsia="en-GB"/>
        </w:rPr>
        <w:fldChar w:fldCharType="end"/>
      </w:r>
      <w:r w:rsidR="00A21A1B">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These robust characteristics of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 xml:space="preserve">are promising for a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based high rate AD system, and are summarised in Fig. 2.3.</w:t>
      </w:r>
    </w:p>
    <w:p w14:paraId="6BAAE6E4" w14:textId="1FFD328F" w:rsidR="00A9324D" w:rsidRDefault="00436CD0" w:rsidP="00436CD0">
      <w:pPr>
        <w:spacing w:line="360" w:lineRule="auto"/>
        <w:ind w:firstLine="720"/>
        <w:rPr>
          <w:rFonts w:asciiTheme="minorHAnsi" w:eastAsia="Calibri" w:hAnsiTheme="minorHAnsi" w:cs="Calibri"/>
          <w:color w:val="000000"/>
          <w:sz w:val="22"/>
          <w:szCs w:val="22"/>
          <w:highlight w:val="white"/>
          <w:lang w:eastAsia="en-GB"/>
        </w:rPr>
        <w:sectPr w:rsidR="00A9324D"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en-GB"/>
        </w:rPr>
        <w:t xml:space="preserve">This tolerant nature can be attributed to the physical properties of </w:t>
      </w:r>
      <w:r w:rsidRPr="00C44D8C">
        <w:rPr>
          <w:rFonts w:asciiTheme="minorHAnsi" w:eastAsia="Calibri" w:hAnsiTheme="minorHAnsi" w:cs="Calibri"/>
          <w:i/>
          <w:iCs/>
          <w:color w:val="000000"/>
          <w:sz w:val="22"/>
          <w:szCs w:val="22"/>
          <w:lang w:eastAsia="en-GB"/>
        </w:rPr>
        <w:t>Methanosarcina. Methanosarcina</w:t>
      </w:r>
      <w:r w:rsidRPr="00C44D8C">
        <w:rPr>
          <w:rFonts w:asciiTheme="minorHAnsi" w:eastAsia="Calibri" w:hAnsiTheme="minorHAnsi" w:cs="Calibri"/>
          <w:color w:val="000000"/>
          <w:sz w:val="22"/>
          <w:szCs w:val="22"/>
          <w:lang w:eastAsia="en-GB"/>
        </w:rPr>
        <w:t xml:space="preserve"> typically has a large coccoid cell size with </w:t>
      </w:r>
      <w:r w:rsidRPr="00C44D8C">
        <w:rPr>
          <w:rFonts w:asciiTheme="minorHAnsi" w:eastAsia="Calibri" w:hAnsiTheme="minorHAnsi" w:cs="Calibri"/>
          <w:color w:val="000000"/>
          <w:sz w:val="22"/>
          <w:szCs w:val="22"/>
          <w:highlight w:val="white"/>
          <w:lang w:eastAsia="en-GB"/>
        </w:rPr>
        <w:t>a c</w:t>
      </w:r>
      <w:r w:rsidR="00A255E3">
        <w:rPr>
          <w:rFonts w:asciiTheme="minorHAnsi" w:eastAsia="Calibri" w:hAnsiTheme="minorHAnsi" w:cs="Calibri"/>
          <w:color w:val="000000"/>
          <w:sz w:val="22"/>
          <w:szCs w:val="22"/>
          <w:highlight w:val="white"/>
          <w:lang w:eastAsia="en-GB"/>
        </w:rPr>
        <w:t xml:space="preserve">ell diameter of 0.5-3 μm, with cells growing in aggregated clusters. </w:t>
      </w:r>
      <w:r w:rsidRPr="00C44D8C">
        <w:rPr>
          <w:rFonts w:asciiTheme="minorHAnsi" w:eastAsia="Calibri" w:hAnsiTheme="minorHAnsi" w:cs="Calibri"/>
          <w:color w:val="000000"/>
          <w:sz w:val="22"/>
          <w:szCs w:val="22"/>
          <w:highlight w:val="white"/>
          <w:lang w:eastAsia="en-GB"/>
        </w:rPr>
        <w:t xml:space="preserve">This physical </w:t>
      </w:r>
      <w:r w:rsidR="006314F7">
        <w:rPr>
          <w:rFonts w:asciiTheme="minorHAnsi" w:eastAsia="Calibri" w:hAnsiTheme="minorHAnsi" w:cs="Calibri"/>
          <w:color w:val="000000"/>
          <w:sz w:val="22"/>
          <w:szCs w:val="22"/>
          <w:highlight w:val="white"/>
          <w:lang w:eastAsia="en-GB"/>
        </w:rPr>
        <w:t>property</w:t>
      </w:r>
      <w:r w:rsidRPr="00C44D8C">
        <w:rPr>
          <w:rFonts w:asciiTheme="minorHAnsi" w:eastAsia="Calibri" w:hAnsiTheme="minorHAnsi" w:cs="Calibri"/>
          <w:color w:val="000000"/>
          <w:sz w:val="22"/>
          <w:szCs w:val="22"/>
          <w:highlight w:val="white"/>
          <w:lang w:eastAsia="en-GB"/>
        </w:rPr>
        <w:t xml:space="preserve"> can prevent the diffusion of inhibitory substances into the cell </w:t>
      </w:r>
      <w:r w:rsidR="00B9580E">
        <w:rPr>
          <w:rFonts w:asciiTheme="minorHAnsi" w:eastAsia="Calibri" w:hAnsiTheme="minorHAnsi" w:cs="Calibri"/>
          <w:color w:val="000000"/>
          <w:sz w:val="22"/>
          <w:szCs w:val="22"/>
          <w:highlight w:val="white"/>
          <w:lang w:eastAsia="en-GB"/>
        </w:rPr>
        <w:fldChar w:fldCharType="begin" w:fldLock="1"/>
      </w:r>
      <w:r w:rsidR="00F6573E">
        <w:rPr>
          <w:rFonts w:asciiTheme="minorHAnsi" w:eastAsia="Calibri" w:hAnsiTheme="minorHAnsi" w:cs="Calibri"/>
          <w:color w:val="000000"/>
          <w:sz w:val="22"/>
          <w:szCs w:val="22"/>
          <w:highlight w:val="white"/>
          <w:lang w:eastAsia="en-GB"/>
        </w:rPr>
        <w:instrText>ADDIN CSL_CITATION { "citationItems" : [ { "id" : "ITEM-1", "itemData" : { "DOI" : "10.1128/AEM.00961-10", "ISBN" : "0099-2240", "PMID" : "20675446", "abstract" : "The acclimatization of methanogens to two-phase olive mill wastes (TPOMW) was investigated in pilot fermenters started up with cattle excreta (37\u00b0C) and after changing their feed to excreta plus TPOMW (37\u00b0C or 55\u00b0C) or TPOMW alone (37\u00b0C) until a steady state was reached (28 days). Methanogenic diversity was screened using a phylogenetic microarray (AnaeroChip), and positive targets were quantified by real-time PCR. Results revealed high phylogenetic richness, with representatives of three out of the four taxonomic orders found in digesters. Methanosarcina dominated in the starting excreta (&gt;96% of total 16S rRNA gene copies; over 45 times more abundant than any other methanogen) at high acetate (0.21 g liter(-1)) and ammonia N concentrations (1.3 g liter(-1)). Codigestion at 37\u00b0C induced a 6-fold increase of Methanosarcina numbers, correlated with CH(4) production (r(Pearson) = 0.94; P = 0.02). At 55\u00b0C, the rise in temperature and H(2) partial pressure induced a burst of Methanobacterium, Methanoculleus, Methanothermobacter, and a group of uncultured archaea. The digestion of excreta alone resulted in low but constant biogas production despite certain oscillations in the methanogenic biomass. Unsuccessful digestion of TPOMW alone was attributed to high Cu levels inducing inhibition of methanogenic activity. In conclusion, the versatile Methanosarcina immediately adapted to the shift from excreta to excreta plus TPOMW and was responsible for the stimulated CH(4) production at 37\u00b0C. Higher temperatures (55\u00b0C) fostered methanogenic diversity by promoting some H(2) scavengers while yielding the highest CH(4) production. Further testing is needed to find out whether there is a link between increased methanogenic diversity and reactor productivity.", "author" : [ { "dropping-particle" : "", "family" : "Goberna", "given" : "Marta", "non-dropping-particle" : "", "parse-names" : false, "suffix" : "" }, { "dropping-particle" : "", "family" : "Gadermaier", "given" : "Maria", "non-dropping-particle" : "", "parse-names" : false, "suffix" : "" }, { "dropping-particle" : "", "family" : "GarcIa", "given" : "Carlos", "non-dropping-particle" : "", "parse-names" : false, "suffix" : "" }, { "dropping-particle" : "", "family" : "Wett", "given" : "Bernhard", "non-dropping-particle" : "", "parse-names" : false, "suffix" : "" }, { "dropping-particle" : "", "family" : "Insam", "given" : "Heribert", "non-dropping-particle" : "", "parse-names" : false, "suffix" : "" } ], "container-title" : "Applied and Environmental Microbiology", "id" : "ITEM-1", "issued" : { "date-parts" : [ [ "2010" ] ] }, "title" : "Adaptation of methanogenic communities to the cofermentation of cattle excreta and olive mill wastes at 37C and 55C", "type" : "article-journal" }, "uris" : [ "http://www.mendeley.com/documents/?uuid=78412159-7845-3b7e-82ec-7fd5061b6e8f" ] }, { "id" : "ITEM-2",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"ITEM-2",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"[19,52]", "plainTextFormattedCitation" : "[19,52]", "previouslyFormattedCitation" : "[19,52]" }, "properties" : { "noteIndex" : 0 }, "schema" : "https://github.com/citation-style-language/schema/raw/master/csl-citation.json" }</w:instrText>
      </w:r>
      <w:r w:rsidR="00B9580E">
        <w:rPr>
          <w:rFonts w:asciiTheme="minorHAnsi" w:eastAsia="Calibri" w:hAnsiTheme="minorHAnsi" w:cs="Calibri"/>
          <w:color w:val="000000"/>
          <w:sz w:val="22"/>
          <w:szCs w:val="22"/>
          <w:highlight w:val="white"/>
          <w:lang w:eastAsia="en-GB"/>
        </w:rPr>
        <w:fldChar w:fldCharType="separate"/>
      </w:r>
      <w:r w:rsidR="003250CB" w:rsidRPr="003250CB">
        <w:rPr>
          <w:rFonts w:asciiTheme="minorHAnsi" w:eastAsia="Calibri" w:hAnsiTheme="minorHAnsi" w:cs="Calibri"/>
          <w:noProof/>
          <w:color w:val="000000"/>
          <w:sz w:val="22"/>
          <w:szCs w:val="22"/>
          <w:highlight w:val="white"/>
          <w:lang w:eastAsia="en-GB"/>
        </w:rPr>
        <w:t>[19,52]</w:t>
      </w:r>
      <w:r w:rsidR="00B9580E">
        <w:rPr>
          <w:rFonts w:asciiTheme="minorHAnsi" w:eastAsia="Calibri" w:hAnsiTheme="minorHAnsi" w:cs="Calibri"/>
          <w:color w:val="000000"/>
          <w:sz w:val="22"/>
          <w:szCs w:val="22"/>
          <w:highlight w:val="white"/>
          <w:lang w:eastAsia="en-GB"/>
        </w:rPr>
        <w:fldChar w:fldCharType="end"/>
      </w:r>
      <w:r w:rsidR="00B9580E">
        <w:rPr>
          <w:rFonts w:asciiTheme="minorHAnsi" w:eastAsia="Calibri" w:hAnsiTheme="minorHAnsi" w:cs="Calibri"/>
          <w:color w:val="000000"/>
          <w:sz w:val="22"/>
          <w:szCs w:val="22"/>
          <w:highlight w:val="white"/>
          <w:lang w:eastAsia="en-GB"/>
        </w:rPr>
        <w:t xml:space="preserve">. </w:t>
      </w:r>
      <w:r w:rsidRPr="00C44D8C">
        <w:rPr>
          <w:rFonts w:asciiTheme="minorHAnsi" w:eastAsia="Calibri" w:hAnsiTheme="minorHAnsi" w:cs="Calibri"/>
          <w:i/>
          <w:color w:val="000000"/>
          <w:sz w:val="22"/>
          <w:szCs w:val="22"/>
          <w:highlight w:val="white"/>
          <w:lang w:eastAsia="en-GB"/>
        </w:rPr>
        <w:t>Methanosarcina</w:t>
      </w:r>
      <w:r w:rsidRPr="00C44D8C">
        <w:rPr>
          <w:rFonts w:asciiTheme="minorHAnsi" w:eastAsia="Calibri" w:hAnsiTheme="minorHAnsi" w:cs="Calibri"/>
          <w:color w:val="000000"/>
          <w:sz w:val="22"/>
          <w:szCs w:val="22"/>
          <w:highlight w:val="white"/>
          <w:lang w:eastAsia="en-GB"/>
        </w:rPr>
        <w:t xml:space="preserve"> is unique in its ability to grow as aggregated cell clusters, which is not observed in the other methanogens. This aggregated mode of growth promotes cellular protection from the external environment, as well as allowing an easier mass transfer of essential nutrients and substrates between individual cells within aggregates</w:t>
      </w:r>
      <w:r w:rsidR="00B9580E">
        <w:rPr>
          <w:rFonts w:asciiTheme="minorHAnsi" w:eastAsia="Calibri" w:hAnsiTheme="minorHAnsi" w:cs="Calibri"/>
          <w:color w:val="000000"/>
          <w:sz w:val="22"/>
          <w:szCs w:val="22"/>
          <w:highlight w:val="white"/>
          <w:lang w:eastAsia="en-GB"/>
        </w:rPr>
        <w:t xml:space="preserve"> </w:t>
      </w:r>
      <w:r w:rsidR="00B9580E">
        <w:rPr>
          <w:rFonts w:asciiTheme="minorHAnsi" w:eastAsia="Calibri" w:hAnsiTheme="minorHAnsi" w:cs="Calibri"/>
          <w:color w:val="000000"/>
          <w:sz w:val="22"/>
          <w:szCs w:val="22"/>
          <w:highlight w:val="white"/>
          <w:lang w:eastAsia="en-GB"/>
        </w:rPr>
        <w:fldChar w:fldCharType="begin" w:fldLock="1"/>
      </w:r>
      <w:r w:rsidR="00F6573E">
        <w:rPr>
          <w:rFonts w:asciiTheme="minorHAnsi" w:eastAsia="Calibri" w:hAnsiTheme="minorHAnsi" w:cs="Calibri"/>
          <w:color w:val="000000"/>
          <w:sz w:val="22"/>
          <w:szCs w:val="22"/>
          <w:highlight w:val="white"/>
          <w:lang w:eastAsia="en-GB"/>
        </w:rPr>
        <w:instrText>ADDIN CSL_CITATION { "citationItems" : [ { "id" : "ITEM-1", "itemData" : { "DOI" : "10.1016/j.colsurfb.2014.12.035", "ISSN" : "09277765", "author" : [ { "dropping-particle" : "", "family" : "Milkevych", "given" : "V.", "non-dropping-particle" : "", "parse-names" : false, "suffix" : "" }, { "dropping-particle" : "", "family" : "Donose", "given" : "B.C.", "non-dropping-particle" : "", "parse-names" : false, "suffix" : "" }, { "dropping-particle" : "", "family" : "Juste-Poinapen", "given" : "N.", "non-dropping-particle" : "", "parse-names" : false, "suffix" : "" }, { "dropping-particle" : "", "family" : "Batstone", "given" : "D.J.", "non-dropping-particle" : "", "parse-names" : false, "suffix" : "" } ], "container-title" : "Colloids and Surfaces B: Biointerfaces", "id" : "ITEM-1", "issued" : { "date-parts" : [ [ "2015" ] ] }, "page" : "303-312", "publisher" : "Elsevier B.V.", "title" : "Mechanical and cell-to-cell adhesive properties of aggregated Methanosarcina", "type" : "article-journal", "volume" : "126" }, "uris" : [ "http://www.mendeley.com/documents/?uuid=68b9cc12-02de-426e-a6b7-9d3bf7b064c3" ] } ], "mendeley" : { "formattedCitation" : "[53]", "plainTextFormattedCitation" : "[53]", "previouslyFormattedCitation" : "[53]" }, "properties" : { "noteIndex" : 0 }, "schema" : "https://github.com/citation-style-language/schema/raw/master/csl-citation.json" }</w:instrText>
      </w:r>
      <w:r w:rsidR="00B9580E">
        <w:rPr>
          <w:rFonts w:asciiTheme="minorHAnsi" w:eastAsia="Calibri" w:hAnsiTheme="minorHAnsi" w:cs="Calibri"/>
          <w:color w:val="000000"/>
          <w:sz w:val="22"/>
          <w:szCs w:val="22"/>
          <w:highlight w:val="white"/>
          <w:lang w:eastAsia="en-GB"/>
        </w:rPr>
        <w:fldChar w:fldCharType="separate"/>
      </w:r>
      <w:r w:rsidR="003250CB" w:rsidRPr="003250CB">
        <w:rPr>
          <w:rFonts w:asciiTheme="minorHAnsi" w:eastAsia="Calibri" w:hAnsiTheme="minorHAnsi" w:cs="Calibri"/>
          <w:noProof/>
          <w:color w:val="000000"/>
          <w:sz w:val="22"/>
          <w:szCs w:val="22"/>
          <w:highlight w:val="white"/>
          <w:lang w:eastAsia="en-GB"/>
        </w:rPr>
        <w:t>[53]</w:t>
      </w:r>
      <w:r w:rsidR="00B9580E">
        <w:rPr>
          <w:rFonts w:asciiTheme="minorHAnsi" w:eastAsia="Calibri" w:hAnsiTheme="minorHAnsi" w:cs="Calibri"/>
          <w:color w:val="000000"/>
          <w:sz w:val="22"/>
          <w:szCs w:val="22"/>
          <w:highlight w:val="white"/>
          <w:lang w:eastAsia="en-GB"/>
        </w:rPr>
        <w:fldChar w:fldCharType="end"/>
      </w:r>
      <w:r w:rsidR="00B9580E">
        <w:rPr>
          <w:rFonts w:asciiTheme="minorHAnsi" w:eastAsia="Calibri" w:hAnsiTheme="minorHAnsi" w:cs="Calibri"/>
          <w:color w:val="000000"/>
          <w:sz w:val="22"/>
          <w:szCs w:val="22"/>
          <w:highlight w:val="white"/>
          <w:lang w:eastAsia="en-GB"/>
        </w:rPr>
        <w:t xml:space="preserve">. </w:t>
      </w:r>
      <w:r w:rsidRPr="00C44D8C">
        <w:rPr>
          <w:rFonts w:asciiTheme="minorHAnsi" w:eastAsia="Calibri" w:hAnsiTheme="minorHAnsi" w:cs="Calibri"/>
          <w:i/>
          <w:color w:val="000000"/>
          <w:sz w:val="22"/>
          <w:szCs w:val="22"/>
          <w:highlight w:val="white"/>
          <w:lang w:eastAsia="en-GB"/>
        </w:rPr>
        <w:t>Methanosarcina</w:t>
      </w:r>
      <w:r w:rsidRPr="00C44D8C">
        <w:rPr>
          <w:rFonts w:asciiTheme="minorHAnsi" w:eastAsia="Calibri" w:hAnsiTheme="minorHAnsi" w:cs="Calibri"/>
          <w:color w:val="000000"/>
          <w:sz w:val="22"/>
          <w:szCs w:val="22"/>
          <w:highlight w:val="white"/>
          <w:lang w:eastAsia="en-GB"/>
        </w:rPr>
        <w:t>’s physical cell size and aggregated mode of growth is extremely beneficial to its survival</w:t>
      </w:r>
      <w:r w:rsidRPr="00C44D8C">
        <w:rPr>
          <w:rFonts w:asciiTheme="minorHAnsi" w:eastAsia="Calibri" w:hAnsiTheme="minorHAnsi" w:cs="Calibri"/>
          <w:i/>
          <w:color w:val="000000"/>
          <w:sz w:val="22"/>
          <w:szCs w:val="22"/>
          <w:highlight w:val="white"/>
          <w:lang w:eastAsia="en-GB"/>
        </w:rPr>
        <w:t xml:space="preserve"> </w:t>
      </w:r>
      <w:r w:rsidRPr="00C44D8C">
        <w:rPr>
          <w:rFonts w:asciiTheme="minorHAnsi" w:eastAsia="Calibri" w:hAnsiTheme="minorHAnsi" w:cs="Calibri"/>
          <w:color w:val="000000"/>
          <w:sz w:val="22"/>
          <w:szCs w:val="22"/>
          <w:highlight w:val="white"/>
          <w:lang w:eastAsia="en-GB"/>
        </w:rPr>
        <w:t xml:space="preserve">within hostile environments, such as in a fluctuating AD reactor. </w:t>
      </w:r>
    </w:p>
    <w:p w14:paraId="31069642" w14:textId="77777777"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Arial" w:hAnsiTheme="minorHAnsi" w:cs="Arial"/>
          <w:noProof/>
          <w:color w:val="000000"/>
          <w:sz w:val="22"/>
          <w:szCs w:val="22"/>
          <w:lang w:eastAsia="en-GB"/>
        </w:rPr>
        <w:lastRenderedPageBreak/>
        <w:drawing>
          <wp:inline distT="0" distB="0" distL="0" distR="0" wp14:anchorId="5AA77D3A" wp14:editId="667BEF09">
            <wp:extent cx="5401945" cy="346329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ky.jpg"/>
                    <pic:cNvPicPr/>
                  </pic:nvPicPr>
                  <pic:blipFill>
                    <a:blip r:embed="rId14">
                      <a:extLst>
                        <a:ext uri="{28A0092B-C50C-407E-A947-70E740481C1C}">
                          <a14:useLocalDpi xmlns:a14="http://schemas.microsoft.com/office/drawing/2010/main" val="0"/>
                        </a:ext>
                      </a:extLst>
                    </a:blip>
                    <a:stretch>
                      <a:fillRect/>
                    </a:stretch>
                  </pic:blipFill>
                  <pic:spPr>
                    <a:xfrm>
                      <a:off x="0" y="0"/>
                      <a:ext cx="5401945" cy="3463290"/>
                    </a:xfrm>
                    <a:prstGeom prst="rect">
                      <a:avLst/>
                    </a:prstGeom>
                  </pic:spPr>
                </pic:pic>
              </a:graphicData>
            </a:graphic>
          </wp:inline>
        </w:drawing>
      </w:r>
    </w:p>
    <w:p w14:paraId="64BF3B84" w14:textId="0165FEFF" w:rsidR="00436CD0" w:rsidRPr="00C44D8C" w:rsidRDefault="00436CD0" w:rsidP="00B9580E">
      <w:pPr>
        <w:spacing w:line="360" w:lineRule="auto"/>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Fig. 2</w:t>
      </w:r>
      <w:r w:rsidRPr="00C44D8C">
        <w:rPr>
          <w:rFonts w:asciiTheme="minorHAnsi" w:eastAsia="Calibri" w:hAnsiTheme="minorHAnsi" w:cs="Calibri"/>
          <w:color w:val="000000"/>
          <w:sz w:val="22"/>
          <w:szCs w:val="22"/>
          <w:lang w:eastAsia="en-GB"/>
        </w:rPr>
        <w:t>.</w:t>
      </w:r>
      <w:r w:rsidRPr="00C44D8C">
        <w:rPr>
          <w:rFonts w:asciiTheme="minorHAnsi" w:eastAsia="Calibri" w:hAnsiTheme="minorHAnsi" w:cs="Calibri"/>
          <w:b/>
          <w:color w:val="000000"/>
          <w:sz w:val="22"/>
          <w:szCs w:val="22"/>
          <w:lang w:eastAsia="en-GB"/>
        </w:rPr>
        <w:t>3</w:t>
      </w:r>
      <w:r w:rsidRPr="00C44D8C">
        <w:rPr>
          <w:rFonts w:asciiTheme="minorHAnsi" w:eastAsia="Calibri" w:hAnsiTheme="minorHAnsi" w:cs="Calibri"/>
          <w:color w:val="000000"/>
          <w:sz w:val="22"/>
          <w:szCs w:val="22"/>
          <w:lang w:eastAsia="en-GB"/>
        </w:rPr>
        <w:t xml:space="preserve"> Schematic of a potential AD system based on </w:t>
      </w:r>
      <w:r w:rsidR="00B9580E">
        <w:rPr>
          <w:rFonts w:asciiTheme="minorHAnsi" w:eastAsia="Calibri" w:hAnsiTheme="minorHAnsi" w:cs="Calibri"/>
          <w:i/>
          <w:color w:val="000000"/>
          <w:sz w:val="22"/>
          <w:szCs w:val="22"/>
          <w:lang w:eastAsia="en-GB"/>
        </w:rPr>
        <w:t>Methanosarcina.</w:t>
      </w:r>
    </w:p>
    <w:p w14:paraId="175B131E"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p>
    <w:p w14:paraId="1BF92969" w14:textId="1CEBD399"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robust nature of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 xml:space="preserve"> can also be attributed to its</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versatile ability to produce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using all four known methanogenesis metabolic pathways</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"abstract" : "In the methanogenic archaeon Methanosarcina barkeri Fusaro, the N 5 -methyl-tetrahydrosarcinapterin (CH3-H4SPT):coenzyme M (CoM) methyltransferase, encoded by the mtr operon, catalyzes the energy-conserving (sodium-pumping) methyl transfer from CH 3-H4SPT to CoM during growth on H2\u035eCO2 or acetate. However, in the disproportionation of C-1 compounds, such as methanol, to methane and carbon dioxide, it catalyzes the reverse, endergonic transfer from methyl-CoM to H 4SPT, which is driven by sodium uptake. It has been proposed that a bypass for this energy-consuming reaction may occur via a direct methyl transfer from methanol to H 4SPT. To test this, an mtr deletion mutant was constructed and characterized in M. barkeri Fusaro. The mutant is unable to grow on methanol, acetate or H 2\u035eCO2, but can grow on methanol with H 2\u035eCO2 and, surprisingly, methanol with acetate. 13 C labeling experiments show that growth on acetate with meth-anol involves a previously unknown methanogenic pathway, in which oxidation of acetate to a mixture of CO 2 and formic acid is coupled to methanol reduction. Interestingly, although the mutant is unable to grow on methanol alone, it remains capable of producing methane from this substrate. Thus, the proposed Mtr bypass does exist, but is unable to support growth of the organism.", "author" : [ { "dropping-particle" : "V", "family" : "Welander", "given" : "Paula", "non-dropping-particle" : "", "parse-names" : false, "suffix" : "" }, { "dropping-particle" : "", "family" : "Metcalf", "given" : "William W", "non-dropping-particle" : "", "parse-names" : false, "suffix" : "" } ], "container-title" : "PNAS", "id" : "ITEM-1", "issued" : { "date-parts" : [ [ "2005" ] ] }, "page" : "10664-10669", "title" : "Loss of the mtr operon in Methanosarcina blocks growth on methanol, but not methanogenesis, and reveals an unknown methanogenic pathway", "type" : "article-journal", "volume" : "102" }, "uris" : [ "http://www.mendeley.com/documents/?uuid=94445a89-ed42-3c89-b9f7-71107346914b" ] } ], "mendeley" : { "formattedCitation" : "[40]", "plainTextFormattedCitation" : "[40]", "previouslyFormattedCitation" : "[40]"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[40]</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makes it less sensitive to inhibitors of any of the four pathways, and gives weight to the concept of enriching AD reactors with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to tolerate various environmental scenarios</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[19]</w:t>
      </w:r>
      <w:r w:rsidR="00B9580E">
        <w:rPr>
          <w:rFonts w:asciiTheme="minorHAnsi" w:eastAsia="Calibri" w:hAnsiTheme="minorHAnsi" w:cs="Calibri"/>
          <w:color w:val="000000"/>
          <w:sz w:val="22"/>
          <w:szCs w:val="22"/>
          <w:lang w:eastAsia="en-GB"/>
        </w:rPr>
        <w:fldChar w:fldCharType="end"/>
      </w:r>
      <w:r w:rsidR="00B9580E">
        <w:rPr>
          <w:rFonts w:asciiTheme="minorHAnsi" w:eastAsia="Calibri" w:hAnsiTheme="minorHAnsi" w:cs="Calibri"/>
          <w:color w:val="000000"/>
          <w:sz w:val="22"/>
          <w:szCs w:val="22"/>
          <w:lang w:eastAsia="en-GB"/>
        </w:rPr>
        <w:t>.</w:t>
      </w:r>
    </w:p>
    <w:p w14:paraId="40B66DDF" w14:textId="0E01605D"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Moreover,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 xml:space="preserve">possesses a more efficient aceticlastic pathway than its aceticlastic companion, </w:t>
      </w:r>
      <w:r w:rsidRPr="00C44D8C">
        <w:rPr>
          <w:rFonts w:asciiTheme="minorHAnsi" w:eastAsia="Calibri" w:hAnsiTheme="minorHAnsi" w:cs="Calibri"/>
          <w:i/>
          <w:color w:val="000000"/>
          <w:sz w:val="22"/>
          <w:szCs w:val="22"/>
          <w:lang w:eastAsia="en-GB"/>
        </w:rPr>
        <w:t xml:space="preserve">Methanosaeta, </w:t>
      </w:r>
      <w:r w:rsidRPr="00C44D8C">
        <w:rPr>
          <w:rFonts w:asciiTheme="minorHAnsi" w:eastAsia="Calibri" w:hAnsiTheme="minorHAnsi" w:cs="Calibri"/>
          <w:color w:val="000000"/>
          <w:sz w:val="22"/>
          <w:szCs w:val="22"/>
          <w:lang w:eastAsia="en-GB"/>
        </w:rPr>
        <w:t xml:space="preserve">possessing a higher maximum growth rate and rate of acetate utilisation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"10.2175/106143006X95393", "ISSN" : "10614303", "author" : [ { "dropping-particle" : "", "family" : "Conklin", "given" : "Anne", "non-dropping-particle" : "", "parse-names" : false, "suffix" : "" }, { "dropping-particle" : "", "family" : "Stensel", "given" : "H. David", "non-dropping-particle" : "", "parse-names" : false, "suffix" : "" }, { "dropping-particle" : "", "family" : "Ferguson", "given" : "John", "non-dropping-particle" : "", "parse-names" : false, "suffix" : "" } ], "container-title" : "Water Environment Research", "id" : "ITEM-1", "issue" : "5", "issued" : { "date-parts" : [ [ "2006", "5", "1" ] ] }, "page" : "486-496", "title" : "Growth Kinetics and Competition Between Methanosarcina and Methanosaeta in Mesophilic Anaerobic Digestion", "type" : "article-journal", "volume" : "78" }, "uris" : [ "http://www.mendeley.com/documents/?uuid=abbf951e-cff5-402d-a54d-fb7d7ce12bf9" ] } ], "mendeley" : { "formattedCitation" : "[39]", "plainTextFormattedCitation" : "[39]", "previouslyFormattedCitation" : "[39]"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[39]</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is an important property of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given that acetate is the main precursor to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production in methanogenesis</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"10.1016/j.biortech.2005.05.015", "ISBN" : "0960-8524", "ISSN" : "09608524", "PMID" : "16055328", "abstract" : "This study presents a literature review on the treatment of domestic sewage in controlled environments having the anaerobic process and specifically the upflow anaerobic sludge blanket (UASB) concept as the core, under natural hot conditions. The UASB process application is however beset by the preponderance of suspended solids, and the paper looks at its optimization via pre- and post-treatments to curb the prevailing problems, in the light of possible discharge and re-use/recycling/resource recovery, leading to efficient environmental protection. Pre-treatment clarification could be done with ferric chloride/polyelectrolyte, so that phosphate precipitates during the process. The pre-treated liquid phase can be submitted to a high rate anaerobic process, using the simple and robust UASB technology. In a subsequent post-treatment step, ammonium can be removed by ion exchange using a zeolite column through which the wastewater percolates after leaving the anaerobic digester. The various stages can also eliminate a large fraction of the pathogens present in the raw wastewater, mainly through the pre-treatment sedimentation and the ion exchange filtration. The sludge produced in the precipitation stage can be stabilized in a conventional anaerobic digester. Integration of the different treatment steps provides a sustainable technology to treat domestic sewage under hot climate conditions. ?? 2005 Elsevier Ltd. All rights reserved.", "author" : [ { "dropping-particle" : "", "family" : "Aiyuk", "given" : "Sunny", "non-dropping-particle" : "", "parse-names" : false, "suffix" : "" }, { "dropping-particle" : "", "family" : "Forrez", "given" : "Ilse", "non-dropping-particle" : "", "parse-names" : false, "suffix" : "" }, { "dropping-particle" : "", "family" : "Lieven", "given" : "De Kempeneer", "non-dropping-particle" : "", "parse-names" : false, "suffix" : "" }, { "dropping-particle" : "", "family" : "Haandel", "given" : "Adrianus", "non-dropping-particle" : "van", "parse-names" : false, "suffix" : "" }, { "dropping-particle" : "", "family" : "Verstraete", "given" : "Willy", "non-dropping-particle" : "", "parse-names" : false, "suffix" : "" } ], "container-title" : "Bioresource Technology", "id" : "ITEM-1", "issue" : "17", "issued" : { "date-parts" : [ [ "2006" ] ] }, "page" : "2225-2241", "title" : "Anaerobic and complementary treatment of domestic sewage in regions with hot climates-A review", "type" : "article-journal", "volume" : "97" }, "uris" : [ "http://www.mendeley.com/documents/?uuid=3690e4ae-984a-4a5c-a82b-0abcbb4d09e6" ] } ], "mendeley" : { "formattedCitation" : "[2]", "plainTextFormattedCitation" : "[2]", "previouslyFormattedCitation" : "[2]"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[2]</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In aceticlastic methanogenesis,</w:t>
      </w:r>
      <w:r w:rsidRPr="00C44D8C">
        <w:rPr>
          <w:rFonts w:asciiTheme="minorHAnsi" w:eastAsia="Calibri" w:hAnsiTheme="minorHAnsi" w:cs="Calibri"/>
          <w:i/>
          <w:color w:val="000000"/>
          <w:sz w:val="22"/>
          <w:szCs w:val="22"/>
          <w:lang w:eastAsia="en-GB"/>
        </w:rPr>
        <w:t xml:space="preserve"> Methanosarcina </w:t>
      </w:r>
      <w:r w:rsidRPr="00C44D8C">
        <w:rPr>
          <w:rFonts w:asciiTheme="minorHAnsi" w:eastAsia="Calibri" w:hAnsiTheme="minorHAnsi" w:cs="Calibri"/>
          <w:color w:val="000000"/>
          <w:sz w:val="22"/>
          <w:szCs w:val="22"/>
          <w:lang w:eastAsia="en-GB"/>
        </w:rPr>
        <w:t xml:space="preserve">requires only one ATP molecule per acetate molecule activated in a dual step pathway, compared to the two ATP molecules required in a single step pathway in the </w:t>
      </w:r>
      <w:r w:rsidRPr="00C44D8C">
        <w:rPr>
          <w:rFonts w:asciiTheme="minorHAnsi" w:eastAsia="Calibri" w:hAnsiTheme="minorHAnsi" w:cs="Calibri"/>
          <w:i/>
          <w:color w:val="000000"/>
          <w:sz w:val="22"/>
          <w:szCs w:val="22"/>
          <w:lang w:eastAsia="en-GB"/>
        </w:rPr>
        <w:t>Methanosaeta</w:t>
      </w:r>
      <w:r w:rsidRPr="00C44D8C">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"10.1073/pnas.1318106111", "ISSN" : "1091-6490", "PMID" : "24706773", "abstract" : "The end-Permian extinction is associated with a mysterious disruption to Earth's carbon cycle. Here we identify causal mechanisms via three observations. First, we show that geochemical signals indicate superexponential growth of the marine inorganic carbon reservoir, coincident with the extinction and consistent with the expansion of a new microbial metabolic pathway. Second, we show that the efficient acetoclastic pathway in Methanosarcina emerged at a time statistically indistinguishable from the extinction. Finally, we show that nickel concentrations in South China sediments increased sharply at the extinction, probably as a consequence of massive Siberian volcanism, enabling a methanogenic expansion by removal of nickel limitation. Collectively, these results are consistent with the instigation of Earth's greatest mass extinction by a specific microbial innovation.", "author" : [ { "dropping-particle" : "", "family" : "Rothman", "given" : "Daniel H", "non-dropping-particle" : "", "parse-names" : false, "suffix" : "" }, { "dropping-particle" : "", "family" : "Fournier", "given" : "Gregory P", "non-dropping-particle" : "", "parse-names" : false, "suffix" : "" }, { "dropping-particle" : "", "family" : "French", "given" : "Katherine L", "non-dropping-particle" : "", "parse-names" : false, "suffix" : "" }, { "dropping-particle" : "", "family" : "Alm", "given" : "Eric J", "non-dropping-particle" : "", "parse-names" : false, "suffix" : "" }, { "dropping-particle" : "", "family" : "Boyle", "given" : "Edward a", "non-dropping-particle" : "", "parse-names" : false, "suffix" : "" }, { "dropping-particle" : "", "family" : "Cao", "given" : "Changqun", "non-dropping-particle" : "", "parse-names" : false, "suffix" : "" }, { "dropping-particle" : "", "family" : "Summons", "given" : "Roger E", "non-dropping-particle" : "", "parse-names" : false, "suffix" : "" } ], "container-title" : "Proceedings of the National Academy of Sciences of the United States of America", "id" : "ITEM-1", "issue" : "15", "issued" : { "date-parts" : [ [ "2014", "4", "15" ] ] }, "page" : "5462-7", "title" : "Methanogenic burst in the end-Permian carbon cycle.", "type" : "article-journal", "volume" : "111" }, "uris" : [ "http://www.mendeley.com/documents/?uuid=5ef0e284-9361-419d-a623-381b514dbaa7" ] } ], "mendeley" : { "formattedCitation" : "[54]", "plainTextFormattedCitation" : "[54]", "previouslyFormattedCitation" : "[54]"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[54]</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49E88127" w14:textId="49341021" w:rsidR="00A9324D" w:rsidRDefault="00436CD0" w:rsidP="00436CD0">
      <w:pPr>
        <w:spacing w:line="360" w:lineRule="auto"/>
        <w:ind w:firstLine="720"/>
        <w:rPr>
          <w:rFonts w:asciiTheme="minorHAnsi" w:eastAsia="Calibri" w:hAnsiTheme="minorHAnsi" w:cs="Calibri"/>
          <w:color w:val="000000"/>
          <w:sz w:val="22"/>
          <w:szCs w:val="22"/>
          <w:lang w:eastAsia="en-GB"/>
        </w:rPr>
        <w:sectPr w:rsidR="00A9324D"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en-GB"/>
        </w:rPr>
        <w:t xml:space="preserve">The highly efficient aceticlastic pathway in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evolved</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almost 250 million years ago, and was responsible for the largest mass extinction of taxonomic life recorded in history during the end-Permian era, by producing fatally high levels of CH</w:t>
      </w:r>
      <w:r w:rsidRPr="00C44D8C">
        <w:rPr>
          <w:rFonts w:asciiTheme="minorHAnsi" w:eastAsia="Calibri" w:hAnsiTheme="minorHAnsi" w:cs="Calibri"/>
          <w:color w:val="000000"/>
          <w:sz w:val="22"/>
          <w:szCs w:val="22"/>
          <w:vertAlign w:val="subscript"/>
          <w:lang w:eastAsia="en-GB"/>
        </w:rPr>
        <w:t xml:space="preserve">4 </w:t>
      </w:r>
      <w:r w:rsidRPr="00C44D8C">
        <w:rPr>
          <w:rFonts w:asciiTheme="minorHAnsi" w:eastAsia="Calibri" w:hAnsiTheme="minorHAnsi" w:cs="Calibri"/>
          <w:color w:val="000000"/>
          <w:sz w:val="22"/>
          <w:szCs w:val="22"/>
          <w:lang w:eastAsia="en-GB"/>
        </w:rPr>
        <w:t>in the atmosphere and oceans</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"10.1073/pnas.1318106111", "ISSN" : "1091-6490", "PMID" : "24706773", "abstract" : "The end-Permian extinction is associated with a mysterious disruption to Earth's carbon cycle. Here we identify causal mechanisms via three observations. First, we show that geochemical signals indicate superexponential growth of the marine inorganic carbon reservoir, coincident with the extinction and consistent with the expansion of a new microbial metabolic pathway. Second, we show that the efficient acetoclastic pathway in Methanosarcina emerged at a time statistically indistinguishable from the extinction. Finally, we show that nickel concentrations in South China sediments increased sharply at the extinction, probably as a consequence of massive Siberian volcanism, enabling a methanogenic expansion by removal of nickel limitation. Collectively, these results are consistent with the instigation of Earth's greatest mass extinction by a specific microbial innovation.", "author" : [ { "dropping-particle" : "", "family" : "Rothman", "given" : "Daniel H", "non-dropping-particle" : "", "parse-names" : false, "suffix" : "" }, { "dropping-particle" : "", "family" : "Fournier", "given" : "Gregory P", "non-dropping-particle" : "", "parse-names" : false, "suffix" : "" }, { "dropping-particle" : "", "family" : "French", "given" : "Katherine L", "non-dropping-particle" : "", "parse-names" : false, "suffix" : "" }, { "dropping-particle" : "", "family" : "Alm", "given" : "Eric J", "non-dropping-particle" : "", "parse-names" : false, "suffix" : "" }, { "dropping-particle" : "", "family" : "Boyle", "given" : "Edward a", "non-dropping-particle" : "", "parse-names" : false, "suffix" : "" }, { "dropping-particle" : "", "family" : "Cao", "given" : "Changqun", "non-dropping-particle" : "", "parse-names" : false, "suffix" : "" }, { "dropping-particle" : "", "family" : "Summons", "given" : "Roger E", "non-dropping-particle" : "", "parse-names" : false, "suffix" : "" } ], "container-title" : "Proceedings of the National Academy of Sciences of the United States of America", "id" : "ITEM-1", "issue" : "15", "issued" : { "date-parts" : [ [ "2014", "4", "15" ] ] }, "page" : "5462-7", "title" : "Methanogenic burst in the end-Permian carbon cycle.", "type" : "article-journal", "volume" : "111" }, "uris" : [ "http://www.mendeley.com/documents/?uuid=5ef0e284-9361-419d-a623-381b514dbaa7" ] } ], "mendeley" : { "formattedCitation" : "[54]", "plainTextFormattedCitation" : "[54]", "previouslyFormattedCitation" : "[54]"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[54]</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Whereas such fatalities have occurred when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was left to produce and release CH</w:t>
      </w:r>
      <w:r w:rsidRPr="00C44D8C">
        <w:rPr>
          <w:rFonts w:asciiTheme="minorHAnsi" w:eastAsia="Calibri" w:hAnsiTheme="minorHAnsi" w:cs="Calibri"/>
          <w:color w:val="000000"/>
          <w:sz w:val="22"/>
          <w:szCs w:val="22"/>
          <w:vertAlign w:val="subscript"/>
          <w:lang w:eastAsia="en-GB"/>
        </w:rPr>
        <w:t xml:space="preserve">4 </w:t>
      </w:r>
      <w:r w:rsidRPr="00C44D8C">
        <w:rPr>
          <w:rFonts w:asciiTheme="minorHAnsi" w:eastAsia="Calibri" w:hAnsiTheme="minorHAnsi" w:cs="Calibri"/>
          <w:color w:val="000000"/>
          <w:sz w:val="22"/>
          <w:szCs w:val="22"/>
          <w:lang w:eastAsia="en-GB"/>
        </w:rPr>
        <w:t xml:space="preserve">into the atmosphere uncontrollably, </w:t>
      </w:r>
    </w:p>
    <w:p w14:paraId="31A1DDDA" w14:textId="5BB70024" w:rsidR="00436CD0" w:rsidRPr="00C44D8C" w:rsidRDefault="00436CD0" w:rsidP="00A9324D">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lastRenderedPageBreak/>
        <w:t>this highly efficient aceticlastic pathway holds promise for the retention of this genus within AD reactors for increased process stability and heavy duty biomethanation</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"10.2175/106143006X95393", "ISSN" : "10614303", "author" : [ { "dropping-particle" : "", "family" : "Conklin", "given" : "Anne", "non-dropping-particle" : "", "parse-names" : false, "suffix" : "" }, { "dropping-particle" : "", "family" : "Stensel", "given" : "H. David", "non-dropping-particle" : "", "parse-names" : false, "suffix" : "" }, { "dropping-particle" : "", "family" : "Ferguson", "given" : "John", "non-dropping-particle" : "", "parse-names" : false, "suffix" : "" } ], "container-title" : "Water Environment Research", "id" : "ITEM-1", "issue" : "5", "issued" : { "date-parts" : [ [ "2006", "5", "1" ] ] }, "page" : "486-496", "title" : "Growth Kinetics and Competition Between Methanosarcina and Methanosaeta in Mesophilic Anaerobic Digestion", "type" : "article-journal", "volume" : "78" }, "uris" : [ "http://www.mendeley.com/documents/?uuid=abbf951e-cff5-402d-a54d-fb7d7ce12bf9" ] }, { "id" : "ITEM-2",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"ITEM-2",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"[19,39]", "plainTextFormattedCitation" : "[19,39]", "previouslyFormattedCitation" : "[19,39]"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[19,39]</w:t>
      </w:r>
      <w:r w:rsidR="00B9580E">
        <w:rPr>
          <w:rFonts w:asciiTheme="minorHAnsi" w:eastAsia="Calibri" w:hAnsiTheme="minorHAnsi" w:cs="Calibri"/>
          <w:color w:val="000000"/>
          <w:sz w:val="22"/>
          <w:szCs w:val="22"/>
          <w:lang w:eastAsia="en-GB"/>
        </w:rPr>
        <w:fldChar w:fldCharType="end"/>
      </w:r>
      <w:r w:rsidR="00B9580E">
        <w:rPr>
          <w:rFonts w:asciiTheme="minorHAnsi" w:eastAsia="Calibri" w:hAnsiTheme="minorHAnsi" w:cs="Calibri"/>
          <w:color w:val="000000"/>
          <w:sz w:val="22"/>
          <w:szCs w:val="22"/>
          <w:lang w:eastAsia="en-GB"/>
        </w:rPr>
        <w:t>.</w:t>
      </w:r>
    </w:p>
    <w:p w14:paraId="165BAF0A" w14:textId="7AF4F47E" w:rsidR="00436CD0" w:rsidRPr="00C44D8C" w:rsidRDefault="00436CD0" w:rsidP="00DF337D">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concept of a </w:t>
      </w:r>
      <w:r w:rsidRPr="00C44D8C">
        <w:rPr>
          <w:rFonts w:asciiTheme="minorHAnsi" w:eastAsia="Calibri" w:hAnsiTheme="minorHAnsi" w:cs="Calibri"/>
          <w:i/>
          <w:iCs/>
          <w:color w:val="000000"/>
          <w:sz w:val="22"/>
          <w:szCs w:val="22"/>
          <w:lang w:eastAsia="en-GB"/>
        </w:rPr>
        <w:t>Methanosarcina</w:t>
      </w:r>
      <w:r w:rsidRPr="00C44D8C">
        <w:rPr>
          <w:rFonts w:asciiTheme="minorHAnsi" w:eastAsia="Calibri" w:hAnsiTheme="minorHAnsi" w:cs="Calibri"/>
          <w:color w:val="000000"/>
          <w:sz w:val="22"/>
          <w:szCs w:val="22"/>
          <w:lang w:eastAsia="en-GB"/>
        </w:rPr>
        <w:t xml:space="preserve">-based strategy is encouraging for decentralised AD systems treating high strength domestic wastewater in peri-urban areas in the Global South, as well as for centralised systems in the Global North. However, in order to achieve a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 xml:space="preserve">based high rate AD system, a framework is required in which to better understand the biofilm-forming capabilities of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within AD reactors.</w:t>
      </w:r>
    </w:p>
    <w:p w14:paraId="5656E0DB" w14:textId="6669B5A6" w:rsidR="00436CD0" w:rsidRPr="00C44D8C" w:rsidRDefault="00436CD0" w:rsidP="00DF337D">
      <w:pPr>
        <w:pStyle w:val="Heading1"/>
        <w:rPr>
          <w:rFonts w:eastAsia="Arial" w:cs="Arial"/>
          <w:lang w:eastAsia="en-GB"/>
        </w:rPr>
      </w:pPr>
      <w:bookmarkStart w:id="46" w:name="_Toc462575263"/>
      <w:r w:rsidRPr="00C44D8C">
        <w:rPr>
          <w:lang w:eastAsia="en-GB"/>
        </w:rPr>
        <w:t>2.3. Methanogenic biofilms</w:t>
      </w:r>
      <w:bookmarkEnd w:id="46"/>
    </w:p>
    <w:p w14:paraId="5DFD23AC" w14:textId="75D600DA"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majority of prokaryotic life has a natural tendency to form sessile and immobilised communities or ‘biofilms’ on a wide range of solid surfaces, whilst encased within a sticky polymeric matrix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"10.3201/eid0809.020063", "ISSN" : "1080-6040", "PMID" : "12194761", "abstract" : "Microorganisms attach to surfaces and develop biofilms. Biofilm-associated cells can be differentiated from their suspended counterparts by generation of an extracellular polymeric substance (EPS) matrix, reduced growth rates, and the up- and down- 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 "author" : [ { "dropping-particle" : "", "family" : "Donlan", "given" : "Rodney M", "non-dropping-particle" : "", "parse-names" : false, "suffix" : "" } ], "container-title" : "Emerging infectious diseases", "id" : "ITEM-1", "issue" : "9", "issued" : { "date-parts" : [ [ "2002", "9" ] ] }, "page" : "881-90", "title" : "Biofilms: microbial life on surfaces.", "type" : "article-journal", "volume" : "8" }, "uris" : [ "http://www.mendeley.com/documents/?uuid=8943dd6f-6881-45d5-a353-dd8530283284" ] }, { "id" : "ITEM-2", "itemData" : { "abstract" : "Direct observations have clearl y shown that biofilm bacteria predominate, numerically and metabolically, in virtually all nutrient-sufficient ecosystems. Therefore, these sessile organisms predominate in most of the environmental, 7ll 0066-4227/9511 00 1-0711 $05.00", "author" : [ { "dropping-particle" : "", "family" : "Costerton", "given" : "J William", "non-dropping-particle" : "", "parse-names" : false, "suffix" : "" }, { "dropping-particle" : "", "family" : "Lewandowski", "given" : "Zbigniew", "non-dropping-particle" : "", "parse-names" : false, "suffix" : "" }, { "dropping-particle" : "", "family" : "Caldwell", "given" : "Douglas E", "non-dropping-particle" : "", "parse-names" : false, "suffix" : "" }, { "dropping-particle" : "", "family" : "Korber", "given" : "Darren R", "non-dropping-particle" : "", "parse-names" : false, "suffix" : "" }, { "dropping-particle" : "", "family" : "Lappin-Scott", "given" : "Hilary M", "non-dropping-particle" : "", "parse-names" : false, "suffix" : "" } ], "container-title" : "Annual review of microbiology", "id" : "ITEM-2", "issued" : { "date-parts" : [ [ "1995" ] ] }, "page" : "711-745", "title" : "MICROBIAL BIOFILMS", "type" : "article-journal", "volume" : "49" }, "uris" : [ "http://www.mendeley.com/documents/?uuid=8aafbc2b-666c-3dce-88ce-d576e45dbb2d" ] } ], "mendeley" : { "formattedCitation" : "[24,30]", "plainTextFormattedCitation" : "[24,30]", "previouslyFormattedCitation" : "[24,30]"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[24,30]</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surface-attached lifestyle is an ancient mode of growth and survival strategy for prokaryotes with first sighting in the fossil record almost 3.25 billion years ago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"10.1038/nrmicro821", "ISBN" : "1740-1526 (Print)\\r1740-1526 (Linking)", "ISSN" : "1740-1526", "PMID" : "15040259", "abstract" : "Biofilms--matrix-enclosed microbial accretions that adhere to biological or non-biological surfaces--represent a significant and incompletely understood mode of growth for bacteria. Biofilm formation appears early in the fossil record (approximately 3.25 billion years ago) and is common throughout a diverse range of organisms in both the Archaea and Bacteria lineages, including the 'living fossils' in the most deeply dividing branches of the phylogenetic tree. It is evident that biofilm formation is an ancient and integral component of the prokaryotic life cycle, and is a key factor for survival in diverse environments. Recent advances show that biofilms are structurally complex, dynamic systems with attributes of both primordial multicellular organisms and multifaceted ecosystems. Biofilm formation represents a protected mode of growth that allows cells to survive in hostile environments and also disperse to colonize new niches. The implications of these survival and propagative mechanisms in the context of both the natural environment and infectious diseases are discussed in this review.", "author" : [ { "dropping-particle" : "", "family" : "Hall-Stoodley", "given" : "Luanne", "non-dropping-particle" : "", "parse-names" : false, "suffix" : "" }, { "dropping-particle" : "", "family" : "Costerton", "given" : "J William", "non-dropping-particle" : "", "parse-names" : false, "suffix" : "" }, { "dropping-particle" : "", "family" : "Stoodley", "given" : "Paul", "non-dropping-particle" : "", "parse-names" : false, "suffix" : "" } ], "container-title" : "Nature reviews. Microbiology", "id" : "ITEM-1", "issue" : "2", "issued" : { "date-parts" : [ [ "2004" ] ] }, "page" : "95-108", "title" : "Bacterial biofilms: from the natural environment to infectious diseases.", "type" : "article-journal", "volume" : "2" }, "uris" : [ "http://www.mendeley.com/documents/?uuid=80ad09d6-5320-4093-a20b-c180a35631d4" ] } ], "mendeley" : { "formattedCitation" : "[29]", "plainTextFormattedCitation" : "[29]", "previouslyFormattedCitation" : "[29]"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[29]</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whereas existence as free-floating planktonic cells is uncommon in the natural environment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"10.1038/nrmicro2415", "ISSN" : "1740-1534", "PMID" : "20676145", "abstract" :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 "author" : [ { "dropping-particle" : "", "family" : "Flemming", "given" : "Hans-Curt", "non-dropping-particle" : "", "parse-names" : false, "suffix" : "" }, { "dropping-particle" : "", "family" : "Wingender", "given" : "Jost", "non-dropping-particle" : "", "parse-names" : false, "suffix" : "" } ], "container-title" : "Nature reviews. Microbiology", "id" : "ITEM-1", "issue" : "9", "issued" : { "date-parts" : [ [ "2010", "9" ] ] }, "page" : "623-33", "publisher" : "Nature Publishing Group", "title" : "The biofilm matrix.", "type" : "article-journal", "volume" : "8" }, "uris" : [ "http://www.mendeley.com/documents/?uuid=fe9f960b-59a2-4bd8-8a0d-3a3ef1a6a342" ] } ], "mendeley" : { "formattedCitation" : "[23]", "plainTextFormattedCitation" : "[23]", "previouslyFormattedCitation" : "[23]"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[23]</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sessile and complex gathering of microorganisms is extremely efficient at carrying out highly specialised and complex tasks as a single syntrophic unit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"mendeley" : { "formattedCitation" : "[22]", "plainTextFormattedCitation" : "[22]", "previouslyFormattedCitation" : "[22]"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[22]</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and offers various advantages to surviving a </w:t>
      </w:r>
      <w:r w:rsidR="006314F7">
        <w:rPr>
          <w:rFonts w:asciiTheme="minorHAnsi" w:eastAsia="Calibri" w:hAnsiTheme="minorHAnsi" w:cs="Calibri"/>
          <w:color w:val="000000"/>
          <w:sz w:val="22"/>
          <w:szCs w:val="22"/>
          <w:lang w:eastAsia="en-GB"/>
        </w:rPr>
        <w:t>constantly changing environment. These advantages include</w:t>
      </w:r>
      <w:r w:rsidRPr="00C44D8C">
        <w:rPr>
          <w:rFonts w:asciiTheme="minorHAnsi" w:eastAsia="Calibri" w:hAnsiTheme="minorHAnsi" w:cs="Calibri"/>
          <w:color w:val="000000"/>
          <w:sz w:val="22"/>
          <w:szCs w:val="22"/>
          <w:lang w:eastAsia="en-GB"/>
        </w:rPr>
        <w:t xml:space="preserve"> better co-metabolism, interspecies transfer of substrates, cross-feeding and protection from the environment compared to cells living planktonically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"10.3201/eid0809.020063", "ISSN" : "1080-6040", "PMID" : "12194761", "abstract" : "Microorganisms attach to surfaces and develop biofilms. Biofilm-associated cells can be differentiated from their suspended counterparts by generation of an extracellular polymeric substance (EPS) matrix, reduced growth rates, and the up- and down- 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 "author" : [ { "dropping-particle" : "", "family" : "Donlan", "given" : "Rodney M", "non-dropping-particle" : "", "parse-names" : false, "suffix" : "" } ], "container-title" : "Emerging infectious diseases", "id" : "ITEM-1", "issue" : "9", "issued" : { "date-parts" : [ [ "2002", "9" ] ] }, "page" : "881-90", "title" : "Biofilms: microbial life on surfaces.", "type" : "article-journal", "volume" : "8" }, "uris" : [ "http://www.mendeley.com/documents/?uuid=8943dd6f-6881-45d5-a353-dd8530283284" ] }, { "id" : "ITEM-2",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"ITEM-2", "issue" : "4", "issued" : { "date-parts" : [ [ "2000", "12" ] ] }, "page" : "847-67", "title" : "Microbial biofilms: from ecology to molecular genetics.", "type" : "article-journal", "volume" : "64" }, "uris" : [ "http://www.mendeley.com/documents/?uuid=b3c073e3-3e7c-47d0-bd4d-a0b3baf36aee" ] } ], "mendeley" : { "formattedCitation" : "[22,24]", "plainTextFormattedCitation" : "[22,24]", "previouslyFormattedCitation" : "[22,24]"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[22,24]</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As a result, biofilms are ubiquitous in a </w:t>
      </w:r>
      <w:r w:rsidR="00B9580E">
        <w:rPr>
          <w:rFonts w:asciiTheme="minorHAnsi" w:eastAsia="Calibri" w:hAnsiTheme="minorHAnsi" w:cs="Calibri"/>
          <w:color w:val="000000"/>
          <w:sz w:val="22"/>
          <w:szCs w:val="22"/>
          <w:lang w:eastAsia="en-GB"/>
        </w:rPr>
        <w:t>wide range of ecological niches.</w:t>
      </w:r>
    </w:p>
    <w:p w14:paraId="534E6FD3" w14:textId="4786BC18"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Bacteria and archaea co-exist in biofilms in various ecological niches, and this is especially true in AD. The beneficial value of biofilms to AD and various other biotechnological applications is large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"10.1007/s10529-014-1480-y", "ISSN" : "01415492", "PMID" : "24563311", "abstract" : "Most highly controlled and specific applications of microorganisms in biotechnology involve pure cultures. Maintaining single strain cultures is important for industry as contaminants can reduce productivity and lead to longer \"down-times\" during sterilisation. However, microbes working together provide distinct advantages over pure cultures. They can undertake more metabolically complex tasks, improve efficiency and even expand applications to open systems. By combining rapidly advancing technologies with ecological theory, the use of microbial ecosystems in biotechnology will inevitably increase. This review provides insight into the use of synthetic microbial communities in biotechnology by applying the engineering paradigm of measure, model, manipulate and manufacture, and illustrate the emerging wider potential of the synthetic ecology field. Systems to improve biofuel production using microalgae are also discussed.", "author" : [ { "dropping-particle" : "", "family" : "Pandhal", "given" : "Jagroop", "non-dropping-particle" : "", "parse-names" : false, "suffix" : "" }, { "dropping-particle" : "", "family" : "Noirel", "given" : "Josselin", "non-dropping-particle" : "", "parse-names" : false, "suffix" : "" } ], "container-title" : "Biotechnology Letters", "id" : "ITEM-1", "issued" : { "date-parts" : [ [ "2014" ] ] }, "page" : "1141-1151", "title" : "Synthetic microbial ecosystems for biotechnology", "type" : "article-journal" }, "uris" : [ "http://www.mendeley.com/documents/?uuid=763b557b-1ed0-4ad3-89ef-2e34b1309999" ] } ], "mendeley" : { "formattedCitation" : "[55]", "plainTextFormattedCitation" : "[55]", "previouslyFormattedCitation" : "[55]"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[55]</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and is facilitated by the natural tendency of mixed natural populations of microorganisms to adhere to a surface and form biofilms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"ISSN" : "0168-1656", "PMID" : "10862983", "abstract" : "The review presented in this paper focuses on applications of particulate biofilm reactors (e.g. Upflow Sludge Blanket, Biofilm Fluidized Bed, Expanded Granular Sludge Blanket, Biofilm Airlift Suspension, Internal Circulation reactors). Several full-scale applications for municipal and industrial wastewater treatment are presented and illustrated, and their most important design and operation aspects (e.g. biofilm formation, hydrodynamics, mass transfer, mixing) are analysed and discussed. It is clear from the review that this technology can be considered a grown up technology for which good design and scale-up guidelines are available.", "author" : [ { "dropping-particle" : "", "family" : "Nicolella", "given" : "C", "non-dropping-particle" : "", "parse-names" : false, "suffix" : "" }, { "dropping-particle" : "", "family" : "Loosdrecht", "given" : "M C", "non-dropping-particle" : "van", "parse-names" : false, "suffix" : "" }, { "dropping-particle" : "", "family" : "Heijnen", "given" : "J J", "non-dropping-particle" : "", "parse-names" : false, "suffix" : "" } ], "container-title" : "Journal of biotechnology", "id" : "ITEM-1", "issue" : "1", "issued" : { "date-parts" : [ [ "2000", "7", "9" ] ] }, "page" : "1-33", "title" : "Wastewater treatment with particulate biofilm reactors.", "type" : "article-journal", "volume" : "80" }, "uris" : [ "http://www.mendeley.com/documents/?uuid=201abfa7-4432-4f1a-ac38-e723ba2b9cb3" ] } ], "mendeley" : { "formattedCitation" : "[17]", "plainTextFormattedCitation" : "[17]", "previouslyFormattedCitation" : "[17]"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[17]</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In AD, biofilms are key during the start-up period to establish the microbial community needed for the degradation of waste biomass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"mendeley" : { "formattedCitation" : "[16]", "plainTextFormattedCitation" : "[16]", "previouslyFormattedCitation" : "[16]"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[16]</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Therefore, promoting methanogenic biofilm formation within AD reactors is advantageous for the performance and productivity of AD. The immobilisation of these biofilms onto support materials within AD reactors is a </w:t>
      </w:r>
      <w:r w:rsidR="006314F7">
        <w:rPr>
          <w:rFonts w:asciiTheme="minorHAnsi" w:eastAsia="Calibri" w:hAnsiTheme="minorHAnsi" w:cs="Calibri"/>
          <w:color w:val="000000"/>
          <w:sz w:val="22"/>
          <w:szCs w:val="22"/>
          <w:lang w:eastAsia="en-GB"/>
        </w:rPr>
        <w:t xml:space="preserve">commonly used and </w:t>
      </w:r>
      <w:r w:rsidRPr="00C44D8C">
        <w:rPr>
          <w:rFonts w:asciiTheme="minorHAnsi" w:eastAsia="Calibri" w:hAnsiTheme="minorHAnsi" w:cs="Calibri"/>
          <w:color w:val="000000"/>
          <w:sz w:val="22"/>
          <w:szCs w:val="22"/>
          <w:lang w:eastAsia="en-GB"/>
        </w:rPr>
        <w:t xml:space="preserve">viable option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"ISSN" : "0168-1656", "PMID" : "10862983", "abstract" : "The review presented in this paper focuses on applications of particulate biofilm reactors (e.g. Upflow Sludge Blanket, Biofilm Fluidized Bed, Expanded Granular Sludge Blanket, Biofilm Airlift Suspension, Internal Circulation reactors). Several full-scale applications for municipal and industrial wastewater treatment are presented and illustrated, and their most important design and operation aspects (e.g. biofilm formation, hydrodynamics, mass transfer, mixing) are analysed and discussed. It is clear from the review that this technology can be considered a grown up technology for which good design and scale-up guidelines are available.", "author" : [ { "dropping-particle" : "", "family" : "Nicolella", "given" : "C", "non-dropping-particle" : "", "parse-names" : false, "suffix" : "" }, { "dropping-particle" : "", "family" : "Loosdrecht", "given" : "M C", "non-dropping-particle" : "van", "parse-names" : false, "suffix" : "" }, { "dropping-particle" : "", "family" : "Heijnen", "given" : "J J", "non-dropping-particle" : "", "parse-names" : false, "suffix" : "" } ], "container-title" : "Journal of biotechnology", "id" : "ITEM-1", "issue" : "1", "issued" : { "date-parts" : [ [ "2000", "7", "9" ] ] }, "page" : "1-33", "title" : "Wastewater treatment with particulate biofilm reactors.", "type" : "article-journal", "volume" : "80" }, "uris" : [ "http://www.mendeley.com/documents/?uuid=201abfa7-4432-4f1a-ac38-e723ba2b9cb3" ] } ], "mendeley" : { "formattedCitation" : "[17]", "plainTextFormattedCitation" : "[17]", "previouslyFormattedCitation" : "[17]"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[17]</w:t>
      </w:r>
      <w:r w:rsidR="00B9580E">
        <w:rPr>
          <w:rFonts w:asciiTheme="minorHAnsi" w:eastAsia="Calibri" w:hAnsiTheme="minorHAnsi" w:cs="Calibri"/>
          <w:color w:val="000000"/>
          <w:sz w:val="22"/>
          <w:szCs w:val="22"/>
          <w:lang w:eastAsia="en-GB"/>
        </w:rPr>
        <w:fldChar w:fldCharType="end"/>
      </w:r>
      <w:r w:rsidR="00B9580E">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w:t>
      </w:r>
    </w:p>
    <w:p w14:paraId="0324D28A" w14:textId="6D67DA6B"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methanogenic archaea have attract</w:t>
      </w:r>
      <w:r w:rsidR="00B9580E">
        <w:rPr>
          <w:rFonts w:asciiTheme="minorHAnsi" w:eastAsia="Calibri" w:hAnsiTheme="minorHAnsi" w:cs="Calibri"/>
          <w:color w:val="000000"/>
          <w:sz w:val="22"/>
          <w:szCs w:val="22"/>
          <w:lang w:eastAsia="en-GB"/>
        </w:rPr>
        <w:t>ed much interest over the year</w:t>
      </w:r>
      <w:r w:rsidR="002867AE">
        <w:rPr>
          <w:rFonts w:asciiTheme="minorHAnsi" w:eastAsia="Calibri" w:hAnsiTheme="minorHAnsi" w:cs="Calibri"/>
          <w:color w:val="000000"/>
          <w:sz w:val="22"/>
          <w:szCs w:val="22"/>
          <w:lang w:eastAsia="en-GB"/>
        </w:rPr>
        <w:t>s</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"10.3389/fmicb.2012.00259", "ISSN" : "1664302X", "PMID" : "22837755", "abstract" : "The discovery of the third domain of life, the Archaea, is one of the most exciting findings of the last century. These remarkable prokaryotes are well known for their adaptations to extreme environments; however, Archaea have also conquered moderate environments. Many of the archaeal biochemical processes, such as methane production, are unique in nature and therefore of great scientific interest. Although formerly restricted to biochemical and physiological studies, sophisticated systems for genetic manipulation have been developed during the last two decades for methanogenic archaea, halophilic archaea and thermophilic, sulfur-metabolizing archaea. The availability of these tools has allowed for more complete studies of archaeal physiology and metabolism and most importantly provides the basis for the investigation of gene expression, regulation and function. In this review we provide an overview of methods for genetic manipulation of Methanosarcina spp., a group of methanogenic archaea that are key players in the global carbon cycle and which can be found in a variety of anaerobic environments.", "author" : [ { "dropping-particle" : "", "family" : "Kohler", "given" : "Petra R A", "non-dropping-particle" : "", "parse-names" : false, "suffix" : "" }, { "dropping-particle" : "", "family" : "Metcalf", "given" : "William W.", "non-dropping-particle" : "", "parse-names" : false, "suffix" : "" } ], "container-title" : "Frontiers in Microbiology", "id" : "ITEM-1", "issued" : { "date-parts" : [ [ "2012" ] ] }, "page" : "1-9", "title" : "Genetic manipulation of Methanosarcina spp.", "type" : "article-journal", "volume" : "3" }, "uris" : [ "http://www.mendeley.com/documents/?uuid=3f6758b5-44ea-3435-9671-6696dc8d29b9" ] } ], "mendeley" : { "formattedCitation" : "[56]", "plainTextFormattedCitation" : "[56]", "previouslyFormattedCitation" : "[56]"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[56]</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for their key role in biogas production and their contribution in maintaining the global flux of CH</w:t>
      </w:r>
      <w:r w:rsidRPr="00C44D8C">
        <w:rPr>
          <w:rFonts w:asciiTheme="minorHAnsi" w:eastAsia="Calibri" w:hAnsiTheme="minorHAnsi" w:cs="Calibri"/>
          <w:color w:val="000000"/>
          <w:sz w:val="22"/>
          <w:szCs w:val="22"/>
          <w:vertAlign w:val="subscript"/>
          <w:lang w:eastAsia="en-GB"/>
        </w:rPr>
        <w:t>4</w:t>
      </w:r>
      <w:r w:rsidRPr="00C44D8C">
        <w:rPr>
          <w:rFonts w:asciiTheme="minorHAnsi" w:eastAsia="Calibri" w:hAnsiTheme="minorHAnsi" w:cs="Calibri"/>
          <w:color w:val="000000"/>
          <w:sz w:val="22"/>
          <w:szCs w:val="22"/>
          <w:lang w:eastAsia="en-GB"/>
        </w:rPr>
        <w:t xml:space="preserve"> in the Earth’s biota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"10.1111/j.1574-6976.2011.00265.x", "ISBN" : "1574-6976", "ISSN" : "01686445", "PMID" : "21265868", "abstract" : "The tree of life is split into three main branches: eukaryotes, bacteria, and archaea. Our knowledge of eukaryotic and bacteria cell biology has been built on a foundation of studies in model organisms, using the complementary approaches of genetics and biochemistry. Archaea have led to some exciting discoveries in the field of biochemistry, but archaeal genetics has been slow to get off the ground, not least because these organisms inhabit some of the more inhospitable places on earth and are therefore believed to be difficult to culture. In fact, many species can be cultivated with relative ease and there has been tremendous progress in the development of genetic tools for both major archaeal phyla, the Euryarchaeota and the Crenarchaeota. There are several model organisms available for methanogens, halophiles, and thermophiles; in the latter group, there are genetic systems for Sulfolobales and Thermococcales. In this review, we present the advantages and disadvantages of working with each archaeal group, give an overview of their different genetic systems, and direct the neophyte archaeologist to the most appropriate model organism.", "author" : [ { "dropping-particle" : "", "family" : "Leigh", "given" : "John a.", "non-dropping-particle" : "", "parse-names" : false, "suffix" : "" }, { "dropping-particle" : "", "family" : "Albers", "given" : "Sonja Verena", "non-dropping-particle" : "", "parse-names" : false, "suffix" : "" }, { "dropping-particle" : "", "family" : "Atomi", "given" : "Haruyuki", "non-dropping-particle" : "", "parse-names" : false, "suffix" : "" }, { "dropping-particle" : "", "family" : "Allers", "given" : "Thorsten", "non-dropping-particle" : "", "parse-names" : false, "suffix" : "" } ], "container-title" : "FEMS Microbiology Reviews", "id" : "ITEM-1", "issue" : "4", "issued" : { "date-parts" : [ [ "2011" ] ] }, "page" : "577-608", "title" : "Model organisms for genetics in the domain Archaea: Methanogens, halophiles, Thermococcales and Sulfolobales", "type" : "article-journal", "volume" : "35" }, "uris" : [ "http://www.mendeley.com/documents/?uuid=4ebcbdea-10d4-4008-a94d-9178d71abde9" ] } ], "mendeley" : { "formattedCitation" : "[37]", "plainTextFormattedCitation" : "[37]", "previouslyFormattedCitation" : "[37]"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[37]</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sz w:val="22"/>
          <w:szCs w:val="22"/>
          <w:lang w:eastAsia="en-GB"/>
        </w:rPr>
        <w:t xml:space="preserve">However, knowledge of the processes underlying biofilm formation in the methanogens is limited, let alone the rest of the AD microbiome. To date, only a small proportion of the methanogenic microbiome has been isolated for study </w:t>
      </w:r>
      <w:r w:rsidR="00B9580E">
        <w:rPr>
          <w:rFonts w:asciiTheme="minorHAnsi" w:eastAsia="Calibri" w:hAnsiTheme="minorHAnsi" w:cs="Calibri"/>
          <w:sz w:val="22"/>
          <w:szCs w:val="22"/>
          <w:lang w:eastAsia="en-GB"/>
        </w:rPr>
        <w:fldChar w:fldCharType="begin" w:fldLock="1"/>
      </w:r>
      <w:r w:rsidR="00B9580E">
        <w:rPr>
          <w:rFonts w:asciiTheme="minorHAnsi" w:eastAsia="Calibri" w:hAnsiTheme="minorHAnsi" w:cs="Calibri"/>
          <w:sz w:val="22"/>
          <w:szCs w:val="22"/>
          <w:lang w:eastAsia="en-GB"/>
        </w:rPr>
        <w:instrText>ADDIN CSL_CITATION { "citationItems" : [ { "id" : "ITEM-1", "itemData" : { "DOI" : "10.1007/s00253-009-2246-7", "ISSN" : "1432-0614", "PMID" : "19777226", "abstract" : "Anaerobic digestion of energy crops, residues, and wastes is of increasing interest in order to reduce the greenhouse gas emissions and to facilitate a sustainable development of energy supply. Production of biogas provides a versatile carrier of renewable energy, as methane can be used for replacement of fossil fuels in both heat and power generation and as a vehicle fuel. For biogas production, various process types are applied which can be classified in wet and dry fermentation systems. Most often applied are wet digester systems using vertical stirred tank digester with different stirrer types dependent on the origin of the feedstock. Biogas is mainly utilized in engine-based combined heat and power plants, whereas microgas turbines and fuel cells are expensive alternatives which need further development work for reducing the costs and increasing their reliability. Gas upgrading and utilization as renewable vehicle fuel or injection into the natural gas grid is of increasing interest because the gas can be used in a more efficient way. The digestate from anaerobic fermentation is a valuable fertilizer due to the increased availability of nitrogen and the better short-term fertilization effect. Anaerobic treatment minimizes the survival of pathogens which is important for using the digested residue as fertilizer. This paper reviews the current state and perspectives of biogas production, including the biochemical parameters and feedstocks which influence the efficiency and reliability of the microbial conversion and gas yield.", "author" : [ { "dropping-particle" : "", "family" : "Weiland", "given" : "Peter", "non-dropping-particle" : "", "parse-names" : false, "suffix" : "" } ], "container-title" : "Applied microbiology and biotechnology", "id" : "ITEM-1", "issue" : "4", "issued" : { "date-parts" : [ [ "2010", "1" ] ] }, "page" : "849-60", "title" : "Biogas production: current state and perspectives.", "type" : "article-journal", "volume" : "85" }, "uris" : [ "http://www.mendeley.com/documents/?uuid=48302505-79da-4ea8-8c68-ac6093ec10e0" ] } ], "mendeley" : { "formattedCitation" : "[26]", "plainTextFormattedCitation" : "[26]", "previouslyFormattedCitation" : "[26]" }, "properties" : { "noteIndex" : 0 }, "schema" : "https://github.com/citation-style-language/schema/raw/master/csl-citation.json" }</w:instrText>
      </w:r>
      <w:r w:rsidR="00B9580E">
        <w:rPr>
          <w:rFonts w:asciiTheme="minorHAnsi" w:eastAsia="Calibri" w:hAnsiTheme="minorHAnsi" w:cs="Calibri"/>
          <w:sz w:val="22"/>
          <w:szCs w:val="22"/>
          <w:lang w:eastAsia="en-GB"/>
        </w:rPr>
        <w:fldChar w:fldCharType="separate"/>
      </w:r>
      <w:r w:rsidR="00B9580E" w:rsidRPr="00B9580E">
        <w:rPr>
          <w:rFonts w:asciiTheme="minorHAnsi" w:eastAsia="Calibri" w:hAnsiTheme="minorHAnsi" w:cs="Calibri"/>
          <w:noProof/>
          <w:sz w:val="22"/>
          <w:szCs w:val="22"/>
          <w:lang w:eastAsia="en-GB"/>
        </w:rPr>
        <w:t>[26]</w:t>
      </w:r>
      <w:r w:rsidR="00B9580E">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w:t>
      </w:r>
      <w:r w:rsidRPr="00C44D8C">
        <w:rPr>
          <w:rFonts w:asciiTheme="minorHAnsi" w:eastAsia="Calibri" w:hAnsiTheme="minorHAnsi" w:cs="Calibri"/>
          <w:sz w:val="22"/>
          <w:szCs w:val="22"/>
          <w:lang w:eastAsia="en-GB"/>
        </w:rPr>
        <w:lastRenderedPageBreak/>
        <w:t>Thus, current understanding of the methanogens and their biofilm-forming abilities is incomplete, and particularly in the context of understanding the processes governing their biofilm formation to support materials within AD reactors. This gap in knowledge is applicable to the Archaea generally</w:t>
      </w:r>
      <w:r w:rsidR="00B9580E">
        <w:rPr>
          <w:rFonts w:asciiTheme="minorHAnsi" w:eastAsia="Calibri" w:hAnsiTheme="minorHAnsi" w:cs="Calibri"/>
          <w:sz w:val="22"/>
          <w:szCs w:val="22"/>
          <w:lang w:eastAsia="en-GB"/>
        </w:rPr>
        <w:t xml:space="preserve"> </w:t>
      </w:r>
      <w:r w:rsidR="00B9580E">
        <w:rPr>
          <w:rFonts w:asciiTheme="minorHAnsi" w:eastAsia="Calibri" w:hAnsiTheme="minorHAnsi" w:cs="Calibri"/>
          <w:sz w:val="22"/>
          <w:szCs w:val="22"/>
          <w:lang w:eastAsia="en-GB"/>
        </w:rPr>
        <w:fldChar w:fldCharType="begin" w:fldLock="1"/>
      </w:r>
      <w:r w:rsidR="00B9580E">
        <w:rPr>
          <w:rFonts w:asciiTheme="minorHAnsi" w:eastAsia="Calibri" w:hAnsiTheme="minorHAnsi" w:cs="Calibri"/>
          <w:sz w:val="22"/>
          <w:szCs w:val="22"/>
          <w:lang w:eastAsia="en-GB"/>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"id" : "ITEM-2", "itemData" : { "DOI" : "10.1042/BST20120304", "ISBN" : "1470-8752 (Electronic)\\r0300-5127 (Linking)", "ISSN" : "1470-8752", "PMID" : "23356317", "abstract" : "Biofilms or multicellular structures become accepted as the dominant microbial lifestyle in Nature, but in the past they were only studied extensively in bacteria. Investigations on archaeal monospecies cultures have shown that many archaeal species are able to adhere on biotic and abiotic surfaces and form complex biofilm structures. Biofilm-forming archaea were identified in a broad range of extreme and moderate environments. Natural biofilms observed are mostly mixed communities composed of archaeal and bacterial species of various abundances. The physiological functions of the archaea identified in such mixed communities suggest a significant impact on the biochemical cycles maintaining the flow and recycling of the nutrients on earth. Therefore it is of high interest to investigate the characteristics and mechanisms underlying the archaeal biofilm formation. In the present review, I summarize and discuss the present investigations of biofilm-forming archaeal species, i.e. their diverse biofilm architectures in monospecies or mixed communities, the identified EPSs (extracellular polymeric substances), archaeal structures mediating surface adhesion or cell-cell connections, and the response to physical and chemical stressors implying that archaeal biofilm formation is an adaptive reaction to changing environmental conditions. A first insight into the molecular differentiation of cells within archaeal biofilms is given.", "author" : [ { "dropping-particle" : "", "family" : "Fr\u00f6ls", "given" : "Sabrina", "non-dropping-particle" : "", "parse-names" : false, "suffix" : "" } ], "container-title" : "Biochemical Society transactions", "id" : "ITEM-2", "issue" : "1", "issued" : { "date-parts" : [ [ "2013" ] ] }, "page" : "393-8", "title" : "Archaeal biofilms: widespread and complex.", "type" : "article-journal", "volume" : "41" }, "uris" : [ "http://www.mendeley.com/documents/?uuid=cb32140d-6064-4104-9b03-d3d3ab307963" ] } ], "mendeley" : { "formattedCitation" : "[20,21]", "plainTextFormattedCitation" : "[20,21]", "previouslyFormattedCitation" : "[20,21]" }, "properties" : { "noteIndex" : 0 }, "schema" : "https://github.com/citation-style-language/schema/raw/master/csl-citation.json" }</w:instrText>
      </w:r>
      <w:r w:rsidR="00B9580E">
        <w:rPr>
          <w:rFonts w:asciiTheme="minorHAnsi" w:eastAsia="Calibri" w:hAnsiTheme="minorHAnsi" w:cs="Calibri"/>
          <w:sz w:val="22"/>
          <w:szCs w:val="22"/>
          <w:lang w:eastAsia="en-GB"/>
        </w:rPr>
        <w:fldChar w:fldCharType="separate"/>
      </w:r>
      <w:r w:rsidR="00B9580E" w:rsidRPr="00B9580E">
        <w:rPr>
          <w:rFonts w:asciiTheme="minorHAnsi" w:eastAsia="Calibri" w:hAnsiTheme="minorHAnsi" w:cs="Calibri"/>
          <w:noProof/>
          <w:sz w:val="22"/>
          <w:szCs w:val="22"/>
          <w:lang w:eastAsia="en-GB"/>
        </w:rPr>
        <w:t>[20,21]</w:t>
      </w:r>
      <w:r w:rsidR="00B9580E">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However, t</w:t>
      </w:r>
      <w:r w:rsidRPr="00C44D8C">
        <w:rPr>
          <w:rFonts w:asciiTheme="minorHAnsi" w:eastAsia="Calibri" w:hAnsiTheme="minorHAnsi" w:cs="Calibri"/>
          <w:color w:val="000000"/>
          <w:sz w:val="22"/>
          <w:szCs w:val="22"/>
          <w:lang w:eastAsia="en-GB"/>
        </w:rPr>
        <w:t>he little work that has been conducted on methanogenic archaeal biofilms to abiotic surfaces has shown a general ability to form biofilms, showcasing a variety of different biofilm structures in varying environmental conditions</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"10.1042/BST20120304", "ISBN" : "1470-8752 (Electronic)\\r0300-5127 (Linking)", "ISSN" : "1470-8752", "PMID" : "23356317", "abstract" : "Biofilms or multicellular structures become accepted as the dominant microbial lifestyle in Nature, but in the past they were only studied extensively in bacteria. Investigations on archaeal monospecies cultures have shown that many archaeal species are able to adhere on biotic and abiotic surfaces and form complex biofilm structures. Biofilm-forming archaea were identified in a broad range of extreme and moderate environments. Natural biofilms observed are mostly mixed communities composed of archaeal and bacterial species of various abundances. The physiological functions of the archaea identified in such mixed communities suggest a significant impact on the biochemical cycles maintaining the flow and recycling of the nutrients on earth. Therefore it is of high interest to investigate the characteristics and mechanisms underlying the archaeal biofilm formation. In the present review, I summarize and discuss the present investigations of biofilm-forming archaeal species, i.e. their diverse biofilm architectures in monospecies or mixed communities, the identified EPSs (extracellular polymeric substances), archaeal structures mediating surface adhesion or cell-cell connections, and the response to physical and chemical stressors implying that archaeal biofilm formation is an adaptive reaction to changing environmental conditions. A first insight into the molecular differentiation of cells within archaeal biofilms is given.", "author" : [ { "dropping-particle" : "", "family" : "Fr\u00f6ls", "given" : "Sabrina", "non-dropping-particle" : "", "parse-names" : false, "suffix" : "" } ], "container-title" : "Biochemical Society transactions", "id" : "ITEM-1", "issue" : "1", "issued" : { "date-parts" : [ [ "2013" ] ] }, "page" : "393-8", "title" : "Archaeal biofilms: widespread and complex.", "type" : "article-journal", "volume" : "41" }, "uris" : [ "http://www.mendeley.com/documents/?uuid=cb32140d-6064-4104-9b03-d3d3ab307963" ] } ], "mendeley" : { "formattedCitation" : "[21]", "plainTextFormattedCitation" : "[21]", "previouslyFormattedCitation" : "[21]"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[21]</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36ADA64A" w14:textId="084C06B2"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B9580E">
        <w:rPr>
          <w:rFonts w:asciiTheme="minorHAnsi" w:eastAsia="Calibri" w:hAnsiTheme="minorHAnsi" w:cs="Calibri"/>
          <w:color w:val="000000"/>
          <w:sz w:val="22"/>
          <w:szCs w:val="22"/>
          <w:lang w:eastAsia="en-GB"/>
        </w:rPr>
        <w:t xml:space="preserve">Bang </w:t>
      </w:r>
      <w:r w:rsidRPr="00B9580E">
        <w:rPr>
          <w:rFonts w:asciiTheme="minorHAnsi" w:eastAsia="Calibri" w:hAnsiTheme="minorHAnsi" w:cs="Calibri"/>
          <w:i/>
          <w:color w:val="000000"/>
          <w:sz w:val="22"/>
          <w:szCs w:val="22"/>
          <w:lang w:eastAsia="en-GB"/>
        </w:rPr>
        <w:t>et al</w:t>
      </w:r>
      <w:r w:rsidRPr="00B9580E">
        <w:rPr>
          <w:rFonts w:asciiTheme="minorHAnsi" w:eastAsia="Calibri" w:hAnsiTheme="minorHAnsi" w:cs="Calibri"/>
          <w:color w:val="000000"/>
          <w:sz w:val="22"/>
          <w:szCs w:val="22"/>
          <w:lang w:eastAsia="en-GB"/>
        </w:rPr>
        <w:t>. (2014)</w:t>
      </w:r>
      <w:r w:rsidRPr="00C44D8C">
        <w:rPr>
          <w:rFonts w:asciiTheme="minorHAnsi" w:eastAsia="Calibri" w:hAnsiTheme="minorHAnsi" w:cs="Calibri"/>
          <w:color w:val="000000"/>
          <w:sz w:val="22"/>
          <w:szCs w:val="22"/>
          <w:lang w:eastAsia="en-GB"/>
        </w:rPr>
        <w:t xml:space="preserve"> demonstrated that three methanogenic species, </w:t>
      </w:r>
      <w:r w:rsidRPr="00C44D8C">
        <w:rPr>
          <w:rFonts w:asciiTheme="minorHAnsi" w:eastAsia="Calibri" w:hAnsiTheme="minorHAnsi" w:cs="Calibri"/>
          <w:i/>
          <w:color w:val="000000"/>
          <w:sz w:val="22"/>
          <w:szCs w:val="22"/>
          <w:lang w:eastAsia="en-GB"/>
        </w:rPr>
        <w:t xml:space="preserve">Methanobrevibacter smithii, Methanosphaera stadtmanae </w:t>
      </w:r>
      <w:r w:rsidRPr="00C44D8C">
        <w:rPr>
          <w:rFonts w:asciiTheme="minorHAnsi" w:eastAsia="Calibri" w:hAnsiTheme="minorHAnsi" w:cs="Calibri"/>
          <w:color w:val="000000"/>
          <w:sz w:val="22"/>
          <w:szCs w:val="22"/>
          <w:lang w:eastAsia="en-GB"/>
        </w:rPr>
        <w:t xml:space="preserve">and </w:t>
      </w:r>
      <w:r w:rsidRPr="00C44D8C">
        <w:rPr>
          <w:rFonts w:asciiTheme="minorHAnsi" w:eastAsia="Calibri" w:hAnsiTheme="minorHAnsi" w:cs="Calibri"/>
          <w:i/>
          <w:color w:val="000000"/>
          <w:sz w:val="22"/>
          <w:szCs w:val="22"/>
          <w:lang w:eastAsia="en-GB"/>
        </w:rPr>
        <w:t>Methanosarcina mazei</w:t>
      </w:r>
      <w:r w:rsidRPr="00C44D8C">
        <w:rPr>
          <w:rFonts w:asciiTheme="minorHAnsi" w:eastAsia="Calibri" w:hAnsiTheme="minorHAnsi" w:cs="Calibri"/>
          <w:color w:val="000000"/>
          <w:sz w:val="22"/>
          <w:szCs w:val="22"/>
          <w:lang w:eastAsia="en-GB"/>
        </w:rPr>
        <w:t xml:space="preserve"> strain Gö1 were able to successfully form biofilms on mica and plastic dishes when grown as static pure cultures. The type of abiotic surface and species was shown to influence the morphology of the biofilm. </w:t>
      </w:r>
      <w:r w:rsidRPr="00C44D8C">
        <w:rPr>
          <w:rFonts w:asciiTheme="minorHAnsi" w:eastAsia="Calibri" w:hAnsiTheme="minorHAnsi" w:cs="Calibri"/>
          <w:i/>
          <w:color w:val="000000"/>
          <w:sz w:val="22"/>
          <w:szCs w:val="22"/>
          <w:lang w:eastAsia="en-GB"/>
        </w:rPr>
        <w:t>M. mazei</w:t>
      </w:r>
      <w:r w:rsidRPr="00C44D8C">
        <w:rPr>
          <w:rFonts w:asciiTheme="minorHAnsi" w:eastAsia="Calibri" w:hAnsiTheme="minorHAnsi" w:cs="Calibri"/>
          <w:color w:val="000000"/>
          <w:sz w:val="22"/>
          <w:szCs w:val="22"/>
          <w:lang w:eastAsia="en-GB"/>
        </w:rPr>
        <w:t xml:space="preserve"> and </w:t>
      </w:r>
      <w:r w:rsidRPr="00C44D8C">
        <w:rPr>
          <w:rFonts w:asciiTheme="minorHAnsi" w:eastAsia="Calibri" w:hAnsiTheme="minorHAnsi" w:cs="Calibri"/>
          <w:i/>
          <w:color w:val="000000"/>
          <w:sz w:val="22"/>
          <w:szCs w:val="22"/>
          <w:lang w:eastAsia="en-GB"/>
        </w:rPr>
        <w:t>M. smithii</w:t>
      </w:r>
      <w:r w:rsidRPr="00C44D8C">
        <w:rPr>
          <w:rFonts w:asciiTheme="minorHAnsi" w:eastAsia="Calibri" w:hAnsiTheme="minorHAnsi" w:cs="Calibri"/>
          <w:color w:val="000000"/>
          <w:sz w:val="22"/>
          <w:szCs w:val="22"/>
          <w:lang w:eastAsia="en-GB"/>
        </w:rPr>
        <w:t xml:space="preserve"> formed multi-layered biofilms with a height of up to 40 μm in the plastic dishes, whereas this was less pronounced in </w:t>
      </w:r>
      <w:r w:rsidRPr="00C44D8C">
        <w:rPr>
          <w:rFonts w:asciiTheme="minorHAnsi" w:eastAsia="Calibri" w:hAnsiTheme="minorHAnsi" w:cs="Calibri"/>
          <w:i/>
          <w:color w:val="000000"/>
          <w:sz w:val="22"/>
          <w:szCs w:val="22"/>
          <w:lang w:eastAsia="en-GB"/>
        </w:rPr>
        <w:t xml:space="preserve">M. stadtmanae </w:t>
      </w:r>
      <w:r w:rsidR="00B9580E">
        <w:rPr>
          <w:rFonts w:asciiTheme="minorHAnsi" w:eastAsia="Calibri" w:hAnsiTheme="minorHAnsi" w:cs="Calibri"/>
          <w:color w:val="000000"/>
          <w:sz w:val="22"/>
          <w:szCs w:val="22"/>
          <w:lang w:eastAsia="en-GB"/>
        </w:rPr>
        <w:t xml:space="preserve">biofilms with a height of 2 μm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"10.3389/fmicb.2014.00353", "ISSN" : "1664-302X", "PMID" : "25071757", "abstract" : "Although in nature most microorganisms are known to occur predominantly in consortia or biofilms, data on archaeal biofilm formation are in general scarce. Here, the ability of three methanoarchaeal strains, Methanobrevibacter smithii and Methanosphaera stadtmanae, which form part of the human gut microbiota, and the Methanosarcina mazei strain G\u00f61 to grow on different surfaces and form biofilms was investigated. All three strains adhered to the substrate mica and grew predominantly as bilayers on its surface as demonstrated by confocal laser scanning microscopy analyses, though the formation of multi-layered biofilms of Methanosphaera stadtmanae and Methanobrevibacter smithii was observed as well. Stable biofilm formation was further confirmed by scanning electron microscopy analysis. Methanosarcina mazei and Methanobrevibacter smithii also formed multi-layered biofilms in uncoated plastic \u03bc-dishes(TM), which were very similar in morphology and reached a height of up to 40 \u03bcm. In contrast, biofilms formed by Methanosphaera stadtmanae reached only a height of 2 \u03bcm. Staining with the two lectins ConA and IB4 indicated that all three strains produced relatively low amounts of extracellular polysaccharides most likely containing glucose, mannose, and galactose. Taken together, this study provides the first evidence that methanoarchaea can develop and form biofilms on different substrates and thus, will contribute to our knowledge on the appearance and physiological role of Methanobrevibacter smithii and Methanosphaera stadtmanae in the human intestine.", "author" : [ { "dropping-particle" : "", "family" : "Bang", "given" : "Corinna", "non-dropping-particle" : "", "parse-names" : false, "suffix" : "" }, { "dropping-particle" : "", "family" : "Ehlers", "given" : "Claudia", "non-dropping-particle" : "", "parse-names" : false, "suffix" : "" }, { "dropping-particle" : "", "family" : "Orell", "given" : "Alvaro", "non-dropping-particle" : "", "parse-names" : false, "suffix" : "" }, { "dropping-particle" : "", "family" : "Prasse", "given" : "Daniela", "non-dropping-particle" : "", "parse-names" : false, "suffix" : "" }, { "dropping-particle" : "", "family" : "Spinner", "given" : "Marlene", "non-dropping-particle" : "", "parse-names" : false, "suffix" : "" }, { "dropping-particle" : "", "family" : "Gorb", "given" : "Stanislav N", "non-dropping-particle" : "", "parse-names" : false, "suffix" : "" }, { "dropping-particle" : "", "family" : "Albers", "given" : "Sonja-Verena", "non-dropping-particle" : "", "parse-names" : false, "suffix" : "" }, { "dropping-particle" : "", "family" : "Schmitz", "given" : "Ruth a", "non-dropping-particle" : "", "parse-names" : false, "suffix" : "" } ], "container-title" : "Frontiers in microbiology", "id" : "ITEM-1", "issue" : "July", "issued" : { "date-parts" : [ [ "2014", "1" ] ] }, "page" : "353", "title" : "Biofilm formation of mucosa-associated methanoarchaeal strains.", "type" : "article-journal", "volume" : "5" }, "uris" : [ "http://www.mendeley.com/documents/?uuid=32a7e40a-8f85-4f4b-a0bd-b51d05eda89c" ] } ], "mendeley" : { "formattedCitation" : "[57]", "plainTextFormattedCitation" : "[57]", "previouslyFormattedCitation" : "[57]"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[57]</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3ED13A87" w14:textId="7E3A4E6B"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In another study, three methanogen archaeal species, </w:t>
      </w:r>
      <w:r w:rsidRPr="00C44D8C">
        <w:rPr>
          <w:rFonts w:asciiTheme="minorHAnsi" w:eastAsia="Calibri" w:hAnsiTheme="minorHAnsi" w:cs="Calibri"/>
          <w:i/>
          <w:color w:val="000000"/>
          <w:sz w:val="22"/>
          <w:szCs w:val="22"/>
          <w:lang w:eastAsia="en-GB"/>
        </w:rPr>
        <w:t xml:space="preserve">Methanobacterium formicicum, Methanosaeta concilli </w:t>
      </w:r>
      <w:r w:rsidRPr="00C44D8C">
        <w:rPr>
          <w:rFonts w:asciiTheme="minorHAnsi" w:eastAsia="Calibri" w:hAnsiTheme="minorHAnsi" w:cs="Calibri"/>
          <w:color w:val="000000"/>
          <w:sz w:val="22"/>
          <w:szCs w:val="22"/>
          <w:lang w:eastAsia="en-GB"/>
        </w:rPr>
        <w:t xml:space="preserve">and </w:t>
      </w:r>
      <w:r w:rsidR="002867AE">
        <w:rPr>
          <w:rFonts w:asciiTheme="minorHAnsi" w:eastAsia="Calibri" w:hAnsiTheme="minorHAnsi" w:cs="Calibri"/>
          <w:i/>
          <w:color w:val="000000"/>
          <w:sz w:val="22"/>
          <w:szCs w:val="22"/>
          <w:lang w:eastAsia="en-GB"/>
        </w:rPr>
        <w:t>M.</w:t>
      </w:r>
      <w:r w:rsidRPr="00C44D8C">
        <w:rPr>
          <w:rFonts w:asciiTheme="minorHAnsi" w:eastAsia="Calibri" w:hAnsiTheme="minorHAnsi" w:cs="Calibri"/>
          <w:i/>
          <w:color w:val="000000"/>
          <w:sz w:val="22"/>
          <w:szCs w:val="22"/>
          <w:lang w:eastAsia="en-GB"/>
        </w:rPr>
        <w:t xml:space="preserve"> barkeri</w:t>
      </w:r>
      <w:r w:rsidRPr="00C44D8C">
        <w:rPr>
          <w:rFonts w:asciiTheme="minorHAnsi" w:eastAsia="Calibri" w:hAnsiTheme="minorHAnsi" w:cs="Calibri"/>
          <w:color w:val="000000"/>
          <w:sz w:val="22"/>
          <w:szCs w:val="22"/>
          <w:lang w:eastAsia="en-GB"/>
        </w:rPr>
        <w:t xml:space="preserve"> were subjected to polypropylene and glass coupons over 9 days as mixed pure cultures within a modified Robbins device with a flow rate of 9.6 ml/min. All three species were found to form sparse and thin biofilms in these shear conditions, consisting mainly of isolated patches of aggregated cells</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"author" : [ { "dropping-particle" : "", "family" : "Araujo", "given" : "J C", "non-dropping-particle" : "", "parse-names" : false, "suffix" : "" }, { "dropping-particle" : "", "family" : "Brucha", "given" : "G", "non-dropping-particle" : "", "parse-names" : false, "suffix" : "" }, { "dropping-particle" : "", "family" : "Campos", "given" : "J R", "non-dropping-particle" : "", "parse-names" : false, "suffix" : "" }, { "dropping-particle" : "", "family" : "Vazoller", "given" : "R F", "non-dropping-particle" : "", "parse-names" : false, "suffix" : "" } ], "container-title" : "Water science and technology", "id" : "ITEM-1", "issued" : { "date-parts" : [ [ "2000" ] ] }, "page" : "69-78", "title" : "Monitoring the development of anaerobic biofilms using fluorescent in situ hybridization and confocal laser scanning microscopy", "type" : "article-journal" }, "uris" : [ "http://www.mendeley.com/documents/?uuid=a5784bf9-a619-42df-ae38-65ccc9bfd762" ] } ], "mendeley" : { "formattedCitation" : "[58]", "plainTextFormattedCitation" : "[58]", "previouslyFormattedCitation" : "[58]"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[58]</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7BBF2F1F" w14:textId="6DFB325A" w:rsidR="00436CD0" w:rsidRPr="00AF47D2" w:rsidRDefault="00436CD0" w:rsidP="00436CD0">
      <w:pPr>
        <w:spacing w:line="360" w:lineRule="auto"/>
        <w:ind w:firstLine="720"/>
        <w:rPr>
          <w:rFonts w:asciiTheme="minorHAnsi" w:eastAsia="Arial" w:hAnsiTheme="minorHAnsi" w:cs="Arial"/>
          <w:sz w:val="22"/>
          <w:szCs w:val="22"/>
          <w:lang w:eastAsia="en-GB"/>
        </w:rPr>
      </w:pPr>
      <w:r w:rsidRPr="00C44D8C">
        <w:rPr>
          <w:rFonts w:asciiTheme="minorHAnsi" w:eastAsia="Calibri" w:hAnsiTheme="minorHAnsi" w:cs="Calibri"/>
          <w:sz w:val="22"/>
          <w:szCs w:val="22"/>
          <w:lang w:eastAsia="en-GB"/>
        </w:rPr>
        <w:t>The surface structures and cell surface composition of archaea are fundamentally different to those of bacteria. Therefore, the mechanisms by which archaea interact with their external environment and attach to surfaces to initiate biofilm formation can be different to bacteria</w:t>
      </w:r>
      <w:r w:rsidR="00B9580E">
        <w:rPr>
          <w:rFonts w:asciiTheme="minorHAnsi" w:eastAsia="Calibri" w:hAnsiTheme="minorHAnsi" w:cs="Calibri"/>
          <w:sz w:val="22"/>
          <w:szCs w:val="22"/>
          <w:lang w:eastAsia="en-GB"/>
        </w:rPr>
        <w:t xml:space="preserve"> </w:t>
      </w:r>
      <w:r w:rsidR="00B9580E">
        <w:rPr>
          <w:rFonts w:asciiTheme="minorHAnsi" w:eastAsia="Calibri" w:hAnsiTheme="minorHAnsi" w:cs="Calibri"/>
          <w:sz w:val="22"/>
          <w:szCs w:val="22"/>
          <w:lang w:eastAsia="en-GB"/>
        </w:rPr>
        <w:fldChar w:fldCharType="begin" w:fldLock="1"/>
      </w:r>
      <w:r w:rsidR="00F6573E">
        <w:rPr>
          <w:rFonts w:asciiTheme="minorHAnsi" w:eastAsia="Calibri" w:hAnsiTheme="minorHAnsi" w:cs="Calibri"/>
          <w:sz w:val="22"/>
          <w:szCs w:val="22"/>
          <w:lang w:eastAsia="en-GB"/>
        </w:rPr>
        <w:instrText>ADDIN CSL_CITATION { "citationItems" : [ { "id" : "ITEM-1", "itemData" : { "DOI" : "10.1038/nrmicro2576", "author" : [ { "dropping-particle" : "", "family" : "Albers", "given" : "Sonja-Verena", "non-dropping-particle" : "", "parse-names" : false, "suffix" : "" }, { "dropping-particle" : "", "family" : "Meyer", "given" : "Bejamin H.", "non-dropping-particle" : "", "parse-names" : false, "suffix" : "" } ], "container-title" : "Nature Reviews Microbiology", "id" : "ITEM-1", "issued" : { "date-parts" : [ [ "2011" ] ] }, "page" : "414-426", "title" : "The archaeal cell envelope", "type" : "article-journal", "volume" : "9" }, "uris" : [ "http://www.mendeley.com/documents/?uuid=8fe32ace-5b5e-35d2-9509-7ee955d2b39d" ] } ], "mendeley" : { "formattedCitation" : "[59]", "plainTextFormattedCitation" : "[59]", "previouslyFormattedCitation" : "[59]" }, "properties" : { "noteIndex" : 0 }, "schema" : "https://github.com/citation-style-language/schema/raw/master/csl-citation.json" }</w:instrText>
      </w:r>
      <w:r w:rsidR="00B9580E">
        <w:rPr>
          <w:rFonts w:asciiTheme="minorHAnsi" w:eastAsia="Calibri" w:hAnsiTheme="minorHAnsi" w:cs="Calibri"/>
          <w:sz w:val="22"/>
          <w:szCs w:val="22"/>
          <w:lang w:eastAsia="en-GB"/>
        </w:rPr>
        <w:fldChar w:fldCharType="separate"/>
      </w:r>
      <w:r w:rsidR="003250CB" w:rsidRPr="003250CB">
        <w:rPr>
          <w:rFonts w:asciiTheme="minorHAnsi" w:eastAsia="Calibri" w:hAnsiTheme="minorHAnsi" w:cs="Calibri"/>
          <w:noProof/>
          <w:sz w:val="22"/>
          <w:szCs w:val="22"/>
          <w:lang w:eastAsia="en-GB"/>
        </w:rPr>
        <w:t>[59]</w:t>
      </w:r>
      <w:r w:rsidR="00B9580E">
        <w:rPr>
          <w:rFonts w:asciiTheme="minorHAnsi" w:eastAsia="Calibri" w:hAnsiTheme="minorHAnsi" w:cs="Calibri"/>
          <w:sz w:val="22"/>
          <w:szCs w:val="22"/>
          <w:lang w:eastAsia="en-GB"/>
        </w:rPr>
        <w:fldChar w:fldCharType="end"/>
      </w:r>
      <w:r w:rsidR="00B9580E">
        <w:rPr>
          <w:rFonts w:asciiTheme="minorHAnsi" w:eastAsia="Calibri" w:hAnsiTheme="minorHAnsi" w:cs="Calibri"/>
          <w:sz w:val="22"/>
          <w:szCs w:val="22"/>
          <w:lang w:eastAsia="en-GB"/>
        </w:rPr>
        <w:t xml:space="preserve">. </w:t>
      </w:r>
      <w:r w:rsidRPr="00C44D8C">
        <w:rPr>
          <w:rFonts w:asciiTheme="minorHAnsi" w:eastAsia="Arial" w:hAnsiTheme="minorHAnsi" w:cs="Arial"/>
          <w:sz w:val="22"/>
          <w:szCs w:val="22"/>
          <w:lang w:eastAsia="en-GB"/>
        </w:rPr>
        <w:t xml:space="preserve">Yet </w:t>
      </w:r>
      <w:r w:rsidRPr="00C44D8C">
        <w:rPr>
          <w:rFonts w:asciiTheme="minorHAnsi" w:eastAsia="Calibri" w:hAnsiTheme="minorHAnsi" w:cs="Calibri"/>
          <w:color w:val="000000"/>
          <w:sz w:val="22"/>
          <w:szCs w:val="22"/>
          <w:lang w:eastAsia="en-GB"/>
        </w:rPr>
        <w:t xml:space="preserve">some methanogenic archaea show similarities to bacteria in their use of cell surface appendages to facilitate microbial attachment to abiotic surfaces, such as the archaellum and pili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"mendeley" : { "formattedCitation" : "[20]", "plainTextFormattedCitation" : "[20]", "previouslyFormattedCitation" : "[20]"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[20]</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Previous studies have found the archaellum</w:t>
      </w:r>
      <w:r w:rsidR="00AF47D2">
        <w:rPr>
          <w:rFonts w:asciiTheme="minorHAnsi" w:eastAsia="Calibri" w:hAnsiTheme="minorHAnsi" w:cs="Calibri"/>
          <w:color w:val="000000"/>
          <w:sz w:val="22"/>
          <w:szCs w:val="22"/>
          <w:lang w:eastAsia="en-GB"/>
        </w:rPr>
        <w:t>, otherwise known as the archaeal flagellum,</w:t>
      </w:r>
      <w:r w:rsidRPr="00C44D8C">
        <w:rPr>
          <w:rFonts w:asciiTheme="minorHAnsi" w:eastAsia="Calibri" w:hAnsiTheme="minorHAnsi" w:cs="Calibri"/>
          <w:color w:val="000000"/>
          <w:sz w:val="22"/>
          <w:szCs w:val="22"/>
          <w:lang w:eastAsia="en-GB"/>
        </w:rPr>
        <w:t xml:space="preserve"> to facilitate initial adhesion to a range of abiotic surfaces, as well as mediate a communication network between cells within the biofilm for the methanogens, </w:t>
      </w:r>
      <w:r w:rsidRPr="00C44D8C">
        <w:rPr>
          <w:rFonts w:asciiTheme="minorHAnsi" w:eastAsia="Calibri" w:hAnsiTheme="minorHAnsi" w:cs="Calibri"/>
          <w:i/>
          <w:color w:val="000000"/>
          <w:sz w:val="22"/>
          <w:szCs w:val="22"/>
          <w:lang w:eastAsia="en-GB"/>
        </w:rPr>
        <w:t xml:space="preserve">Methanocaldococcus villosus </w:t>
      </w:r>
      <w:r w:rsidRPr="00C44D8C">
        <w:rPr>
          <w:rFonts w:asciiTheme="minorHAnsi" w:eastAsia="Calibri" w:hAnsiTheme="minorHAnsi" w:cs="Calibri"/>
          <w:color w:val="000000"/>
          <w:sz w:val="22"/>
          <w:szCs w:val="22"/>
          <w:lang w:eastAsia="en-GB"/>
        </w:rPr>
        <w:t xml:space="preserve">KIN24-T80 and </w:t>
      </w:r>
      <w:r w:rsidRPr="00C44D8C">
        <w:rPr>
          <w:rFonts w:asciiTheme="minorHAnsi" w:eastAsia="Calibri" w:hAnsiTheme="minorHAnsi" w:cs="Calibri"/>
          <w:i/>
          <w:color w:val="000000"/>
          <w:sz w:val="22"/>
          <w:szCs w:val="22"/>
          <w:lang w:eastAsia="en-GB"/>
        </w:rPr>
        <w:t xml:space="preserve">Methanococcus maripaludis </w:t>
      </w:r>
      <w:r w:rsidRPr="00C44D8C">
        <w:rPr>
          <w:rFonts w:asciiTheme="minorHAnsi" w:eastAsia="Calibri" w:hAnsiTheme="minorHAnsi" w:cs="Calibri"/>
          <w:color w:val="000000"/>
          <w:sz w:val="22"/>
          <w:szCs w:val="22"/>
          <w:lang w:eastAsia="en-GB"/>
        </w:rPr>
        <w:t>Mm900</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"10.1042/BST20120304", "ISBN" : "1470-8752 (Electronic)\\r0300-5127 (Linking)", "ISSN" : "1470-8752", "PMID" : "23356317", "abstract" : "Biofilms or multicellular structures become accepted as the dominant microbial lifestyle in Nature, but in the past they were only studied extensively in bacteria. Investigations on archaeal monospecies cultures have shown that many archaeal species are able to adhere on biotic and abiotic surfaces and form complex biofilm structures. Biofilm-forming archaea were identified in a broad range of extreme and moderate environments. Natural biofilms observed are mostly mixed communities composed of archaeal and bacterial species of various abundances. The physiological functions of the archaea identified in such mixed communities suggest a significant impact on the biochemical cycles maintaining the flow and re</w:instrText>
      </w:r>
      <w:r w:rsidR="00B9580E" w:rsidRPr="00224A2D">
        <w:rPr>
          <w:rFonts w:asciiTheme="minorHAnsi" w:eastAsia="Calibri" w:hAnsiTheme="minorHAnsi" w:cs="Calibri"/>
          <w:color w:val="000000"/>
          <w:sz w:val="22"/>
          <w:szCs w:val="22"/>
          <w:lang w:val="nl-NL" w:eastAsia="en-GB"/>
        </w:rPr>
        <w:instrText>cycling of the nutrients on earth. Therefore it is of high interest to investigate the characteristics and mechanisms underlying the archaeal biofilm formation. In the present review, I summarize and discuss the present investigations of biofilm-forming archaeal species, i.e. their diverse biofilm architectures in monospecies or mixed communities, the identified EPSs (extracellular polymeric substances), archaeal structures mediating surface adhesion or cell-cell connections, and the response to physical and chemical stressors implying that archaeal biofilm formation is an adaptive reaction to changing environmental conditions. A first insight into the molecular differentiation of cells within archaeal biofilms is given.", "author" : [ { "dropping-particle" : "", "family" : "Fr\u00f6ls", "given" : "Sabrina", "non-dropping-particle" : "", "parse-names" : false, "suffix" : "" } ], "container-title" : "Biochemical Society transactions", "id" : "ITEM-1", "issue" : "1", "issued" : { "date-parts" : [ [ "2013" ] ] }, "page" : "393-8", "title" : "Archaeal biofilms: widespread and complex.", "type" : "article-journal", "volume" : "41" }, "uris" : [ "http://www.mendeley.com/documents/?uuid=cb32140d-6064-4104-9b03-d3d3ab307963" ] } ], "mendeley" : { "formattedCitation" : "[21]", "plainTextFormattedCitation" : "[21]", "previouslyFormattedCitation" : "[21]"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224A2D">
        <w:rPr>
          <w:rFonts w:asciiTheme="minorHAnsi" w:eastAsia="Calibri" w:hAnsiTheme="minorHAnsi" w:cs="Calibri"/>
          <w:noProof/>
          <w:color w:val="000000"/>
          <w:sz w:val="22"/>
          <w:szCs w:val="22"/>
          <w:lang w:val="nl-NL" w:eastAsia="en-GB"/>
        </w:rPr>
        <w:t>[21]</w:t>
      </w:r>
      <w:r w:rsidR="00B9580E">
        <w:rPr>
          <w:rFonts w:asciiTheme="minorHAnsi" w:eastAsia="Calibri" w:hAnsiTheme="minorHAnsi" w:cs="Calibri"/>
          <w:color w:val="000000"/>
          <w:sz w:val="22"/>
          <w:szCs w:val="22"/>
          <w:lang w:eastAsia="en-GB"/>
        </w:rPr>
        <w:fldChar w:fldCharType="end"/>
      </w:r>
      <w:r w:rsidR="00B9580E" w:rsidRPr="00224A2D">
        <w:rPr>
          <w:rFonts w:asciiTheme="minorHAnsi" w:eastAsia="Calibri" w:hAnsiTheme="minorHAnsi" w:cs="Calibri"/>
          <w:color w:val="000000"/>
          <w:sz w:val="22"/>
          <w:szCs w:val="22"/>
          <w:lang w:val="nl-NL" w:eastAsia="en-GB"/>
        </w:rPr>
        <w:t>.</w:t>
      </w:r>
      <w:r w:rsidR="00AF47D2" w:rsidRPr="00224A2D">
        <w:rPr>
          <w:rFonts w:asciiTheme="minorHAnsi" w:eastAsia="Calibri" w:hAnsiTheme="minorHAnsi" w:cs="Calibri"/>
          <w:color w:val="000000"/>
          <w:sz w:val="22"/>
          <w:szCs w:val="22"/>
          <w:lang w:val="nl-NL" w:eastAsia="en-GB"/>
        </w:rPr>
        <w:t xml:space="preserve"> Desmond </w:t>
      </w:r>
      <w:r w:rsidR="00AF47D2" w:rsidRPr="00224A2D">
        <w:rPr>
          <w:rFonts w:asciiTheme="minorHAnsi" w:eastAsia="Calibri" w:hAnsiTheme="minorHAnsi" w:cs="Calibri"/>
          <w:i/>
          <w:color w:val="000000"/>
          <w:sz w:val="22"/>
          <w:szCs w:val="22"/>
          <w:lang w:val="nl-NL" w:eastAsia="en-GB"/>
        </w:rPr>
        <w:t xml:space="preserve">et al. </w:t>
      </w:r>
      <w:r w:rsidR="00AF47D2">
        <w:rPr>
          <w:rFonts w:asciiTheme="minorHAnsi" w:eastAsia="Calibri" w:hAnsiTheme="minorHAnsi" w:cs="Calibri"/>
          <w:i/>
          <w:color w:val="000000"/>
          <w:sz w:val="22"/>
          <w:szCs w:val="22"/>
          <w:lang w:eastAsia="en-GB"/>
        </w:rPr>
        <w:fldChar w:fldCharType="begin" w:fldLock="1"/>
      </w:r>
      <w:r w:rsidR="00AF47D2" w:rsidRPr="00224A2D">
        <w:rPr>
          <w:rFonts w:asciiTheme="minorHAnsi" w:eastAsia="Calibri" w:hAnsiTheme="minorHAnsi" w:cs="Calibri"/>
          <w:i/>
          <w:color w:val="000000"/>
          <w:sz w:val="22"/>
          <w:szCs w:val="22"/>
          <w:lang w:val="nl-NL" w:eastAsia="en-GB"/>
        </w:rPr>
        <w:instrText>ADDIN CSL_CITATION { "citationItems" : [ { "id" : "ITEM-1", "itemData" : { "DOI" : "10.1186/1471-2148-7-106", "ISBN" : "1471-2148 (Electronic)", "ISSN" : "1471-2148", "PMID" : "17605801", "abstract" : "BACKGROUND: As bacteria, motile archaeal species swim by means of rotating flagellum structures driven by a proton gradient force. Interestingly, experimental data have shown that the archaeal flagellum is non-homologous to the bacterial flagellum either in terms of overall structure, components and assembly. The growing number of complete archaeal genomes now permits to investigate the evolution of this unique motility system.\\n\\nRESULTS: We report here an exhaustive phylogenomic analysis of the components of the archaeal flagellum. In all complete archaeal genomes, the genes coding for flagellum components are co-localized in one or two well-conserved genomic clusters showing two different types of organizations. Despite their small size, these genes harbor a good phylogenetic signal that allows reconstruction of their evolutionary histories. These support a history of mainly vertical inheritance for the components of this unique motility system, and an interesting possible ancient horizontal gene transfer event (HGT) of a whole flagellum-coding gene cluster between Euryarchaeota and Crenarchaeota.\\n\\nCONCLUSION: Our study is one of the few exhaustive phylogenomics analyses of a non-informational cell machinery from the third domain of life. We propose an evolutionary scenario for the evolution of the components of the archaeal flagellum. Moreover, we show that the components of the archaeal flagellar system have not been frequently transferred among archaeal species, indicating that gene fixation following HGT can also be rare for genes encoding components of large macromolecular complexes with a structural role.", "author" : [ { "dropping-particle" : "", "family" : "Desmond", "given" : "Elie", "non-dropping-particle" : "", "parse-names" : false, "suffix" : "" }, { "dropping-particle" : "", "family" : "Brochier-Armanet", "given" : "Celine", "non-dropping-particle" : "", "parse-names" : false, "suffix" : "" }, { "dropping-particle" : "", "family" : "Gribaldo", "given" : "Simonetta", "non-dropping-particle" : "", "parse-names" : false, "suffix" : "" } ], "container-title" : "BMC evolutionary biology", "id" : "ITEM-1", "issued" : { "date-parts" : [ [ "2007" ] ] }, "page" : "106", "title" : "Phylogenomics of the archaeal flagellum: rare horizontal gene transfer in a unique motility structure.", "type" : "article-journal", "volume" : "7" }, "uris" : [ "http://www.mendeley.com/documents/?uuid=43042bcf-b17b-4f7f-b84c-9c41d37804ce" ] } ], "mendeley" : { "formattedCitation" : "[60]", "plainTextFormattedCitation" : "[60]", "previouslyFormattedCitation" : "[60]" }, "properties" : { "noteIndex" : 0 }, "schema" : "https://github.com/citation-style-language/schema/raw/master/csl-citation.json" }</w:instrText>
      </w:r>
      <w:r w:rsidR="00AF47D2">
        <w:rPr>
          <w:rFonts w:asciiTheme="minorHAnsi" w:eastAsia="Calibri" w:hAnsiTheme="minorHAnsi" w:cs="Calibri"/>
          <w:i/>
          <w:color w:val="000000"/>
          <w:sz w:val="22"/>
          <w:szCs w:val="22"/>
          <w:lang w:eastAsia="en-GB"/>
        </w:rPr>
        <w:fldChar w:fldCharType="separate"/>
      </w:r>
      <w:r w:rsidR="00AF47D2" w:rsidRPr="00224A2D">
        <w:rPr>
          <w:rFonts w:asciiTheme="minorHAnsi" w:eastAsia="Calibri" w:hAnsiTheme="minorHAnsi" w:cs="Calibri"/>
          <w:noProof/>
          <w:color w:val="000000"/>
          <w:sz w:val="22"/>
          <w:szCs w:val="22"/>
          <w:lang w:val="nl-NL" w:eastAsia="en-GB"/>
        </w:rPr>
        <w:t>[60]</w:t>
      </w:r>
      <w:r w:rsidR="00AF47D2">
        <w:rPr>
          <w:rFonts w:asciiTheme="minorHAnsi" w:eastAsia="Calibri" w:hAnsiTheme="minorHAnsi" w:cs="Calibri"/>
          <w:i/>
          <w:color w:val="000000"/>
          <w:sz w:val="22"/>
          <w:szCs w:val="22"/>
          <w:lang w:eastAsia="en-GB"/>
        </w:rPr>
        <w:fldChar w:fldCharType="end"/>
      </w:r>
      <w:r w:rsidR="00AF47D2" w:rsidRPr="00224A2D">
        <w:rPr>
          <w:rFonts w:asciiTheme="minorHAnsi" w:eastAsia="Calibri" w:hAnsiTheme="minorHAnsi" w:cs="Calibri"/>
          <w:i/>
          <w:color w:val="000000"/>
          <w:sz w:val="22"/>
          <w:szCs w:val="22"/>
          <w:lang w:val="nl-NL" w:eastAsia="en-GB"/>
        </w:rPr>
        <w:t xml:space="preserve"> </w:t>
      </w:r>
      <w:r w:rsidR="00AF47D2" w:rsidRPr="00224A2D">
        <w:rPr>
          <w:rFonts w:asciiTheme="minorHAnsi" w:eastAsia="Calibri" w:hAnsiTheme="minorHAnsi" w:cs="Calibri"/>
          <w:color w:val="000000"/>
          <w:sz w:val="22"/>
          <w:szCs w:val="22"/>
          <w:lang w:val="nl-NL" w:eastAsia="en-GB"/>
        </w:rPr>
        <w:t xml:space="preserve">conducted a phylogenomic analysis of the components of the archaellum and discovered that although </w:t>
      </w:r>
      <w:r w:rsidR="00AF47D2" w:rsidRPr="00224A2D">
        <w:rPr>
          <w:rFonts w:asciiTheme="minorHAnsi" w:eastAsia="Calibri" w:hAnsiTheme="minorHAnsi" w:cs="Calibri"/>
          <w:i/>
          <w:color w:val="000000"/>
          <w:sz w:val="22"/>
          <w:szCs w:val="22"/>
          <w:lang w:val="nl-NL" w:eastAsia="en-GB"/>
        </w:rPr>
        <w:t xml:space="preserve">Methanosarcina mazei, Methanosarcina acetivorans </w:t>
      </w:r>
      <w:r w:rsidR="00AF47D2" w:rsidRPr="00224A2D">
        <w:rPr>
          <w:rFonts w:asciiTheme="minorHAnsi" w:eastAsia="Calibri" w:hAnsiTheme="minorHAnsi" w:cs="Calibri"/>
          <w:color w:val="000000"/>
          <w:sz w:val="22"/>
          <w:szCs w:val="22"/>
          <w:lang w:val="nl-NL" w:eastAsia="en-GB"/>
        </w:rPr>
        <w:t xml:space="preserve">and </w:t>
      </w:r>
      <w:r w:rsidR="00AF47D2" w:rsidRPr="00224A2D">
        <w:rPr>
          <w:rFonts w:asciiTheme="minorHAnsi" w:eastAsia="Calibri" w:hAnsiTheme="minorHAnsi" w:cs="Calibri"/>
          <w:i/>
          <w:color w:val="000000"/>
          <w:sz w:val="22"/>
          <w:szCs w:val="22"/>
          <w:lang w:val="nl-NL" w:eastAsia="en-GB"/>
        </w:rPr>
        <w:t xml:space="preserve">Methanosarcina barkeri </w:t>
      </w:r>
      <w:r w:rsidR="00AF47D2" w:rsidRPr="00224A2D">
        <w:rPr>
          <w:rFonts w:asciiTheme="minorHAnsi" w:eastAsia="Calibri" w:hAnsiTheme="minorHAnsi" w:cs="Calibri"/>
          <w:color w:val="000000"/>
          <w:sz w:val="22"/>
          <w:szCs w:val="22"/>
          <w:lang w:val="nl-NL" w:eastAsia="en-GB"/>
        </w:rPr>
        <w:t xml:space="preserve">are generally regarded as being non-motile, their genomes do contain the genes encoding the components of an archaellum.  </w:t>
      </w:r>
      <w:r w:rsidR="00AF47D2">
        <w:rPr>
          <w:rFonts w:asciiTheme="minorHAnsi" w:eastAsia="Calibri" w:hAnsiTheme="minorHAnsi" w:cs="Calibri"/>
          <w:color w:val="000000"/>
          <w:sz w:val="22"/>
          <w:szCs w:val="22"/>
          <w:lang w:eastAsia="en-GB"/>
        </w:rPr>
        <w:t xml:space="preserve">The role of the archaellum in surface adhesion and motility in </w:t>
      </w:r>
      <w:r w:rsidR="00AF47D2">
        <w:rPr>
          <w:rFonts w:asciiTheme="minorHAnsi" w:eastAsia="Calibri" w:hAnsiTheme="minorHAnsi" w:cs="Calibri"/>
          <w:i/>
          <w:color w:val="000000"/>
          <w:sz w:val="22"/>
          <w:szCs w:val="22"/>
          <w:lang w:eastAsia="en-GB"/>
        </w:rPr>
        <w:t xml:space="preserve">Methanosarcina </w:t>
      </w:r>
      <w:r w:rsidR="00AF47D2">
        <w:rPr>
          <w:rFonts w:asciiTheme="minorHAnsi" w:eastAsia="Calibri" w:hAnsiTheme="minorHAnsi" w:cs="Calibri"/>
          <w:color w:val="000000"/>
          <w:sz w:val="22"/>
          <w:szCs w:val="22"/>
          <w:lang w:eastAsia="en-GB"/>
        </w:rPr>
        <w:t xml:space="preserve">is an interesting and relatively new field that warrants further examination </w:t>
      </w:r>
      <w:r w:rsidR="00AF47D2">
        <w:rPr>
          <w:rFonts w:asciiTheme="minorHAnsi" w:eastAsia="Calibri" w:hAnsiTheme="minorHAnsi" w:cs="Calibri"/>
          <w:color w:val="000000"/>
          <w:sz w:val="22"/>
          <w:szCs w:val="22"/>
          <w:lang w:eastAsia="en-GB"/>
        </w:rPr>
        <w:fldChar w:fldCharType="begin" w:fldLock="1"/>
      </w:r>
      <w:r w:rsidR="00E713B5">
        <w:rPr>
          <w:rFonts w:asciiTheme="minorHAnsi" w:eastAsia="Calibri" w:hAnsiTheme="minorHAnsi" w:cs="Calibri"/>
          <w:color w:val="000000"/>
          <w:sz w:val="22"/>
          <w:szCs w:val="22"/>
          <w:lang w:eastAsia="en-GB"/>
        </w:rPr>
        <w:instrText>ADDIN CSL_CITATION { "citationItems" : [ { "id" : "ITEM-1", "itemData" : { "DOI" : "10.1186/1471-2148-7-106", "ISBN" : "1471-2148 (Electronic)", "ISSN" : "1471-2148", "PMID" : "17605801", "abstract" : "BACKGROUND: As bacteria, motile archaeal species swim by means of rotating flagellum structures driven by a proton gradient force. Interestingly, experimental data have shown that the archaeal flagellum is non-homologous to the bacterial flagellum either in terms of overall structure, components and assembly. The growing number of complete archaeal genomes now permits to investigate the evolution of this unique motility system.\\n\\nRESULTS: We report here an exhaustive phylogenomic analysis of the components of the archaeal flagellum. In all complete archaeal genomes, the genes coding for flagellum components are co-localized in one or two well-conserved genomic clusters showing two different types of organizations. Despite their small size, these genes harbor a good phylogenetic signal that allows reconstruction of their evolutionary histories. These support a history of mainly vertical inheritance for the components of this unique motility system, and an interesting possible ancient horizontal gene transfer event (HGT) of a whole flagellum-coding gene cluster between Euryarchaeota and Crenarchaeota.\\n\\nCONCLUSION: Our study is one of the few exhaustive phylogenomics analyses of a non-informational cell machinery from the third domain of life. We propose an evolutionary scenario for the evolution of the components of the archaeal flagellum. Moreover, we show that the components of the archaeal flagellar system have not been frequently transferred among archaeal species, indicating that gene fixation following HGT can also be rare for genes encoding components of large macromolecular complexes with a structural role.", "author" : [ { "dropping-particle" : "", "family" : "Desmond", "given" : "Elie", "non-dropping-particle" : "", "parse-names" : false, "suffix" : "" }, { "dropping-particle" : "", "family" : "Brochier-Armanet", "given" : "Celine", "non-dropping-particle" : "", "parse-names" : false, "suffix" : "" }, { "dropping-particle" : "", "family" : "Gribaldo", "given" : "Simonetta", "non-dropping-particle" : "", "parse-names" : false, "suffix" : "" } ], "container-title" : "BMC evolutionary biology", "id" : "ITEM-1", "issued" : { "date-parts" : [ [ "2007" ] ] }, "page" : "106", "title" : "Phylogenomics of the archaeal flagellum: rare horizontal gene transfer in a unique motility structure.", "type" : "article-journal", "volume" : "7" }, "uris" : [ "http://www.mendeley.com/documents/?uuid=43042bcf-b17b-4f7f-b84c-9c41d37804ce" ] } ], "mendeley" : { "formattedCitation" : "[60]", "plainTextFormattedCitation" : "[60]", "previouslyFormattedCitation" : "[60]" }, "properties" : { "noteIndex" : 0 }, "schema" : "https://github.com/citation-style-language/schema/raw/master/csl-citation.json" }</w:instrText>
      </w:r>
      <w:r w:rsidR="00AF47D2">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[60]</w:t>
      </w:r>
      <w:r w:rsidR="00AF47D2">
        <w:rPr>
          <w:rFonts w:asciiTheme="minorHAnsi" w:eastAsia="Calibri" w:hAnsiTheme="minorHAnsi" w:cs="Calibri"/>
          <w:color w:val="000000"/>
          <w:sz w:val="22"/>
          <w:szCs w:val="22"/>
          <w:lang w:eastAsia="en-GB"/>
        </w:rPr>
        <w:fldChar w:fldCharType="end"/>
      </w:r>
      <w:r w:rsidR="00AF47D2">
        <w:rPr>
          <w:rFonts w:asciiTheme="minorHAnsi" w:eastAsia="Calibri" w:hAnsiTheme="minorHAnsi" w:cs="Calibri"/>
          <w:color w:val="000000"/>
          <w:sz w:val="22"/>
          <w:szCs w:val="22"/>
          <w:lang w:eastAsia="en-GB"/>
        </w:rPr>
        <w:t xml:space="preserve">. </w:t>
      </w:r>
    </w:p>
    <w:p w14:paraId="275B56E3" w14:textId="32EA45A3" w:rsidR="00A9324D" w:rsidRDefault="00436CD0" w:rsidP="00B9580E">
      <w:pPr>
        <w:spacing w:line="360" w:lineRule="auto"/>
        <w:ind w:firstLine="720"/>
        <w:rPr>
          <w:rFonts w:asciiTheme="minorHAnsi" w:eastAsia="Calibri" w:hAnsiTheme="minorHAnsi" w:cs="Calibri"/>
          <w:color w:val="000000"/>
          <w:sz w:val="22"/>
          <w:szCs w:val="22"/>
          <w:lang w:eastAsia="en-GB"/>
        </w:rPr>
        <w:sectPr w:rsidR="00A9324D"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en-GB"/>
        </w:rPr>
        <w:lastRenderedPageBreak/>
        <w:t>Additionally, the self-secretion of a slime polymeric matrix collectively known as extracellular polymeric substances (EPS) is as prevalent in archaeal biofilms as it is in bacteria</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B9580E">
        <w:rPr>
          <w:rFonts w:asciiTheme="minorHAnsi" w:eastAsia="Calibri" w:hAnsiTheme="minorHAnsi" w:cs="Calibri"/>
          <w:color w:val="000000"/>
          <w:sz w:val="22"/>
          <w:szCs w:val="22"/>
          <w:lang w:eastAsia="en-GB"/>
        </w:rPr>
        <w:instrText>ADDIN CSL_CITATION { "citationItems" : [ { "id" : "ITEM-1", "itemData" : { "DOI" : "10.1042/BST20120304", "ISBN" : "1470-8752 (Electronic)\\r0300-5127 (Linking)", "ISSN" : "1470-8752", "PMID" : "23356317", "abstract" : "Biofilms or multicellular structures become accepted as the dominant microbial lifestyle in Nature, but in the past they were only studied extensively in bacteria. Investigations on archaeal monospecies cultures have shown that many archaeal species are able to adhere on biotic and abiotic surfaces and form complex biofilm structures. Biofilm-forming archaea were identified in a broad range of extreme and moderate environments. Natural biofilms observed are mostly mixed communities composed of archaeal and bacterial species of various abundances. The physiological functions of the archaea identified in such mixed communities suggest a significant impact on the biochemical cycles maintaining the flow and recycling of the nutrients on earth. Therefore it is of high interest to investigate the characteristics and mechanisms underlying the archaeal biofilm formation. In the present review, I summarize and discuss the present investigations of biofilm-forming archaeal species, i.e. their diverse biofilm architectures in monospecies or mixed communities, the identified EPSs (extracellular polymeric substances), archaeal structures mediating surface adhesion or cell-cell connections, and the response to physical and chemical stressors implying that archaeal biofilm formation is an adaptive reaction to changing environmental conditions. A first insight into the molecular differentiation of cells within archaeal biofilms is given.", "author" : [ { "dropping-particle" : "", "family" : "Fr\u00f6ls", "given" : "Sabrina", "non-dropping-particle" : "", "parse-names" : false, "suffix" : "" } ], "container-title" : "Biochemical Society transactions", "id" : "ITEM-1", "issue" : "1", "issued" : { "date-parts" : [ [ "2013" ] ] }, "page" : "393-8", "title" : "Archaeal biofilms: widespread and complex.", "type" : "article-journal", "volume" : "41" }, "uris" : [ "http://www.mendeley.com/documents/?uuid=cb32140d-6064-4104-9b03-d3d3ab307963" ] } ], "mendeley" : { "formattedCitation" : "[21]", "plainTextFormattedCitation" : "[21]", "previouslyFormattedCitation" : "[21]"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B9580E" w:rsidRPr="00B9580E">
        <w:rPr>
          <w:rFonts w:asciiTheme="minorHAnsi" w:eastAsia="Calibri" w:hAnsiTheme="minorHAnsi" w:cs="Calibri"/>
          <w:noProof/>
          <w:color w:val="000000"/>
          <w:sz w:val="22"/>
          <w:szCs w:val="22"/>
          <w:lang w:eastAsia="en-GB"/>
        </w:rPr>
        <w:t>[21]</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Cells of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are typically enveloped by an external heteropolysaccharide matrix consisting of methanochondroitin, which</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is responsible for facilitating cell-cell and cell-abiotic surface adhesion </w:t>
      </w:r>
      <w:r w:rsidR="00B9580E">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"id" : "ITEM-2", "itemData" : { "DOI" : "10.1016/j.colsurfb.2014.12.035", "ISSN" : "09277765", "author" : [ { "dropping-particle" : "", "family" : "Milkevych", "given" : "V.", "non-dropping-particle" : "", "parse-names" : false, "suffix" : "" }, { "dropping-particle" : "", "family" : "Donose", "given" : "B.C.", "non-dropping-particle" : "", "parse-names" : false, "suffix" : "" }, { "dropping-particle" : "", "family" : "Juste-Poinapen", "given" : "N.", "non-dropping-particle" : "", "parse-names" : false, "suffix" : "" }, { "dropping-particle" : "", "family" : "Batstone", "given" : "D.J.", "non-dropping-particle" : "", "parse-names" : false, "suffix" : "" } ], "container-title" : "Colloids and Surfaces B: Biointerfaces", "id" : "ITEM-2", "issued" : { "date-parts" : [ [ "2015" ] ] }, "page" : "303-312", "publisher" : "Elsevier B.V.", "title" : "Mechanical and cell-to-cell adhesive properties of aggregated Methanosarcina", "type" : "article-journal", "volume" : "126" }, "uris" : [ "http://www.mendeley.com/documents/?uuid=68b9cc12-02de-426e-a6b7-9d3bf7b064c3" ] } ], "mendeley" : { "formattedCitation" : "[19,53]", "plainTextFormattedCitation" : "[19,53]", "previouslyFormattedCitation" : "[19,53]"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[19,53]</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production of this exopolysaccharide layer is regulated by the cell in response to the external environment </w:t>
      </w:r>
    </w:p>
    <w:p w14:paraId="707FAF8C" w14:textId="1ACD92E3" w:rsidR="00436CD0" w:rsidRPr="00B9580E" w:rsidRDefault="00436CD0" w:rsidP="00A9324D">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lastRenderedPageBreak/>
        <w:t>and growth conditions</w:t>
      </w:r>
      <w:r w:rsidR="00B9580E">
        <w:rPr>
          <w:rFonts w:asciiTheme="minorHAnsi" w:eastAsia="Calibri" w:hAnsiTheme="minorHAnsi" w:cs="Calibri"/>
          <w:color w:val="000000"/>
          <w:sz w:val="22"/>
          <w:szCs w:val="22"/>
          <w:lang w:eastAsia="en-GB"/>
        </w:rPr>
        <w:t xml:space="preserve"> </w:t>
      </w:r>
      <w:r w:rsidR="00B9580E">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"0099-2240", "PMID" : "16349092", "abstract" : "The effect of medium osmolarity on the morphology and growth of Methanosarcina barkeri, Methanosarcina thermophila, Methanosarcina mazei, Methanosarcina vacuolata, and Methanosarcina acetivorans was examined. Each strain was adapted for growth in NaCl concentrations ranging from 0.05 to 1.0 M. Methanosarcina spp. isolated from both marine and nonmarine sources exhibited similar growth characteristics at all NaCl concentrations tested, demonstrating that these species are capable of adapting to a similar range of medium osmolarities. Concomitant with the adaptation in 0.4 to 1.0 M NaCl, all strains disaggregated and grew as single cells rather than in the characteristic multicellular aggregates. Aggregated cells had a methanochondroitin outer layer, while disaggregated single cells lacked the outer layer but retained the protein S-layer adjacent to the cell membrane. Synthesis of glucuronic acid, a major component of methanochondroitin, was reduced 20-fold in the single-cell form of M. barkeri when compared with synthesis in aggregated cells. Strains with the methanochondroitin outer cell layer exhibited enhanced stability at low (&lt;0.2 M NaCl) osmolarity and grew at higher temperatures. Disaggregated cells could be converted back to aggregated cells by gradually readapting cultures to lower NaCl (&lt;0.2 M) and Mg (&lt;0.005 M) concentrations. Disaggregated Methanosarcina spp. could also be colonized and replica plated with greater than 95% recovery rates on solidified agar basal medium that contained 0.4 to 0.6 M NaCl and either trimethylamine, methanol, or acetate as the substrate. The ability to disaggregate and grow Methanosarcina spp. as viable, detergent-sensitive, single cells on agar medium makes these species amenable to mutant selection and screening for genetic studies and enables cells to be gently lysed for the isolation of intact genetic material.", "author" : [ { "dropping-particle" : "", "family" : "Sowers", "given" : "K R", "non-dropping-particle" : "", "parse-names" : false, "suffix" : "" }, { "dropping-particle" : "", "family" : "Boone", "given" : "J E", "non-dropping-particle" : "", "parse-names" : false, "suffix" : "" }, { "dropping-particle" : "", "family" : "Gunsalus", "given" : "R P", "non-dropping-particle" : "", "parse-names" : false, "suffix" : "" } ], "container-title" : "Applied and environmental microbiology", "id" : "ITEM-1", "issue" : "11", "issued" : { "date-parts" : [ [ "1993", "11" ] ] }, "page" : "3832-9", "title" : "Disaggregation of Methanosarcina spp. and Growth as Single Cells at Elevated Osmolarity.", "type" : "article-journal", "volume" : "59" }, "uris" : [ "http://www.mendeley.com/documents/?uuid=8579b9ba-6739-43e3-9fbd-a40c70950e0e" ] } ], "mendeley" : { "formattedCitation" : "[61]", "plainTextFormattedCitation" : "[61]", "previouslyFormattedCitation" : "[61]" }, "properties" : { "noteIndex" : 0 }, "schema" : "https://github.com/citation-style-language/schema/raw/master/csl-citation.json" }</w:instrText>
      </w:r>
      <w:r w:rsidR="00B9580E">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[61]</w:t>
      </w:r>
      <w:r w:rsidR="00B9580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surface-mediated response to the environment is also observable in other archaeal species. The halophilic archaea, </w:t>
      </w:r>
      <w:r w:rsidRPr="00C44D8C">
        <w:rPr>
          <w:rFonts w:asciiTheme="minorHAnsi" w:eastAsia="Calibri" w:hAnsiTheme="minorHAnsi" w:cs="Calibri"/>
          <w:i/>
          <w:color w:val="000000"/>
          <w:sz w:val="22"/>
          <w:szCs w:val="22"/>
          <w:lang w:eastAsia="en-GB"/>
        </w:rPr>
        <w:t>Haloferax volcanii</w:t>
      </w:r>
      <w:r w:rsidRPr="00C44D8C">
        <w:rPr>
          <w:rFonts w:asciiTheme="minorHAnsi" w:eastAsia="Calibri" w:hAnsiTheme="minorHAnsi" w:cs="Calibri"/>
          <w:color w:val="000000"/>
          <w:sz w:val="22"/>
          <w:szCs w:val="22"/>
          <w:lang w:eastAsia="en-GB"/>
        </w:rPr>
        <w:t xml:space="preserve"> and </w:t>
      </w:r>
      <w:r w:rsidRPr="00C44D8C">
        <w:rPr>
          <w:rFonts w:asciiTheme="minorHAnsi" w:eastAsia="Calibri" w:hAnsiTheme="minorHAnsi" w:cs="Calibri"/>
          <w:i/>
          <w:color w:val="000000"/>
          <w:sz w:val="22"/>
          <w:szCs w:val="22"/>
          <w:lang w:eastAsia="en-GB"/>
        </w:rPr>
        <w:t>Haloarcula japonica</w:t>
      </w:r>
      <w:r w:rsidRPr="00C44D8C">
        <w:rPr>
          <w:rFonts w:asciiTheme="minorHAnsi" w:eastAsia="Calibri" w:hAnsiTheme="minorHAnsi" w:cs="Calibri"/>
          <w:color w:val="000000"/>
          <w:sz w:val="22"/>
          <w:szCs w:val="22"/>
          <w:lang w:eastAsia="en-GB"/>
        </w:rPr>
        <w:t xml:space="preserve"> T5 have been reported to overproduce the exopolysaccharide mannose when glucose is present in the environment </w:t>
      </w:r>
      <w:r w:rsidR="00B069DA">
        <w:rPr>
          <w:rFonts w:asciiTheme="minorHAnsi" w:eastAsia="Calibri" w:hAnsiTheme="minorHAnsi" w:cs="Calibri"/>
          <w:color w:val="000000"/>
          <w:sz w:val="22"/>
          <w:szCs w:val="22"/>
          <w:lang w:eastAsia="en-GB"/>
        </w:rPr>
        <w:fldChar w:fldCharType="begin" w:fldLock="1"/>
      </w:r>
      <w:r w:rsidR="00B069DA">
        <w:rPr>
          <w:rFonts w:asciiTheme="minorHAnsi" w:eastAsia="Calibri" w:hAnsiTheme="minorHAnsi" w:cs="Calibri"/>
          <w:color w:val="000000"/>
          <w:sz w:val="22"/>
          <w:szCs w:val="22"/>
          <w:lang w:eastAsia="en-GB"/>
        </w:rPr>
        <w:instrText>ADDIN CSL_CITATION { "citationItems" : [ { "id" : "ITEM-1", "itemData" : { "DOI" : "10.1042/BST20120304", "ISBN" : "1470-8752 (Electronic)\\r0300-5127 (Linking)", "ISSN" : "1470-8752", "PMID" : "23356317", "abstract" : "Biofilms or multicellular structures become accepted as the dominant microbial lifestyle in Nature, but in the past they were only studied extensively in bacteria. Investigations on archaeal monospecies cultures have shown that many archaeal species are able to adhere on biotic and abiotic surfaces and form complex biofilm structures. Biofilm-forming archaea were identified in a broad range of extreme and moderate environments. Natural biofilms observed are mostly mixed communities composed of archaeal and bacterial species of various abundances. The physiological functions of the archaea identified in such mixed communities suggest a significant impact on the biochemical cycles maintaining the flow and recycling of the nutrients on earth. Therefore it is of high interest to investigate the characteristics and mechanisms underlying the archaeal biofilm formation. In the present review, I summarize and discuss the present investigations of biofilm-forming archaeal species, i.e. their diverse biofilm architectures in monospecies or mixed communities, the identified EPSs (extracellular polymeric substances), archaeal structures mediating surface adhesion or cell-cell connections, and the response to physical and chemical stressors implying that archaeal biofilm formation is an adaptive reaction to changing environmental conditions. A first insight into the molecular differentiation of cells within archaeal biofilms is given.", "author" : [ { "dropping-particle" : "", "family" : "Fr\u00f6ls", "given" : "Sabrina", "non-dropping-particle" : "", "parse-names" : false, "suffix" : "" } ], "container-title" : "Biochemical Society transactions", "id" : "ITEM-1", "issue" : "1", "issued" : { "date-parts" : [ [ "2013" ] ] }, "page" : "393-8", "title" : "Archaeal biofilms: widespread and complex.", "type" : "article-journal", "volume" : "41" }, "uris" : [ "http://www.mendeley.com/documents/?uuid=cb32140d-6064-4104-9b03-d3d3ab307963" ] } ], "mendeley" : { "formattedCitation" : "[21]", "plainTextFormattedCitation" : "[21]", "previouslyFormattedCitation" : "[21]" }, "properties" : { "noteIndex" : 0 }, "schema" : "https://github.com/citation-style-language/schema/raw/master/csl-citation.json" }</w:instrText>
      </w:r>
      <w:r w:rsidR="00B069DA">
        <w:rPr>
          <w:rFonts w:asciiTheme="minorHAnsi" w:eastAsia="Calibri" w:hAnsiTheme="minorHAnsi" w:cs="Calibri"/>
          <w:color w:val="000000"/>
          <w:sz w:val="22"/>
          <w:szCs w:val="22"/>
          <w:lang w:eastAsia="en-GB"/>
        </w:rPr>
        <w:fldChar w:fldCharType="separate"/>
      </w:r>
      <w:r w:rsidR="00B069DA" w:rsidRPr="00B069DA">
        <w:rPr>
          <w:rFonts w:asciiTheme="minorHAnsi" w:eastAsia="Calibri" w:hAnsiTheme="minorHAnsi" w:cs="Calibri"/>
          <w:noProof/>
          <w:color w:val="000000"/>
          <w:sz w:val="22"/>
          <w:szCs w:val="22"/>
          <w:lang w:eastAsia="en-GB"/>
        </w:rPr>
        <w:t>[21]</w:t>
      </w:r>
      <w:r w:rsidR="00B069DA">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i/>
          <w:color w:val="000000"/>
          <w:sz w:val="22"/>
          <w:szCs w:val="22"/>
          <w:lang w:eastAsia="en-GB"/>
        </w:rPr>
        <w:t>.</w:t>
      </w:r>
    </w:p>
    <w:p w14:paraId="6D7E6E4A" w14:textId="0F2FBD5B"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Biofilms vary not only in their phenotypic appearance and function, but also in the time required for mature development, depending on various environmental factors, such as nutrients, pH, shear stress and the attachment substratum </w:t>
      </w:r>
      <w:r w:rsidR="00B069DA">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"10.1016/S0958-1669(02)00318-X", "ISBN" : "0958-1669", "ISSN" : "09581669", "PMID" : "12180097", "abstract" : "Sophisticated molecular and microscopic methods used to study biofilm formation are rapidly broadening our understanding of surface-attached microbial communities in a wide variety of organisms. Regulatory mechanisms involved in the attachment and subsequent development of mature biofilms are being elucidated. Common themes are beginning to emerge, providing promise for the development of sophisticated control strategies.", "author" : [ { "dropping-particle" : "", "family" : "Hall-Stoodley", "given" : "Luanne", "non-dropping-particle" : "", "parse-names" : false, "suffix" : "" }, { "dropping-particle" : "", "family" : "Stoodley", "given" : "Paul", "non-dropping-particle" : "", "parse-names" : false, "suffix" : "" } ], "container-title" : "Current Opinion in Biotechnology", "id" : "ITEM-1", "issue" : "3", "issued" : { "date-parts" : [ [ "2002" ] ] }, "page" : "228-233", "title" : "Developmental regulation of microbial biofilms", "type" : "article-journal", "volume" : "13" }, "uris" : [ "http://www.mendeley.com/documents/?uuid=27d0e551-b7db-46d6-bfba-0bddef4c0814" ] } ], "mendeley" : { "formattedCitation" : "[62]", "plainTextFormattedCitation" : "[62]", "previouslyFormattedCitation" : "[62]" }, "properties" : { "noteIndex" : 0 }, "schema" : "https://github.com/citation-style-language/schema/raw/master/csl-citation.json" }</w:instrText>
      </w:r>
      <w:r w:rsidR="00B069DA">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[62]</w:t>
      </w:r>
      <w:r w:rsidR="00B069DA">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As such, biofilms are dynamic, and change with their environmental surroundings. The process of biofilm formation seems to have been conserved across a wide range of prokaryotic life </w:t>
      </w:r>
      <w:r w:rsidR="00B069DA">
        <w:rPr>
          <w:rFonts w:asciiTheme="minorHAnsi" w:eastAsia="Calibri" w:hAnsiTheme="minorHAnsi" w:cs="Calibri"/>
          <w:color w:val="000000"/>
          <w:sz w:val="22"/>
          <w:szCs w:val="22"/>
          <w:lang w:eastAsia="en-GB"/>
        </w:rPr>
        <w:fldChar w:fldCharType="begin" w:fldLock="1"/>
      </w:r>
      <w:r w:rsidR="00B069DA">
        <w:rPr>
          <w:rFonts w:asciiTheme="minorHAnsi" w:eastAsia="Calibri" w:hAnsiTheme="minorHAnsi" w:cs="Calibri"/>
          <w:color w:val="000000"/>
          <w:sz w:val="22"/>
          <w:szCs w:val="22"/>
          <w:lang w:eastAsia="en-GB"/>
        </w:rPr>
        <w:instrText>ADDIN CSL_CITATION { "citationItems" : [ { "id" : "ITEM-1", "itemData" : { "DOI" : "10.1038/nrmicro821", "ISBN" : "1740-1526 (Print)\\r1740-1526 (Linking)", "ISSN" : "1740-1526", "PMID" : "15040259", "abstract" : "Biofilms--matrix-enclosed microbial accretions that adhere to biological or non-biological surfaces--represent a significant and incompletely understood mode of growth for bacteria. Biofilm formation appears early in the fossil record (approximately 3.25 billion years ago) and is common throughout a diverse range of organisms in both the Archaea and Bacteria lineages, including the 'living fossils' in the most deeply dividing branches of the phylogenetic tree. It is evident that biofilm formation is an ancient and integral component of the prokaryotic life cycle, and is a key factor for survival in diverse environments. Recent advances show that biofilms are structurally complex, dynamic systems with attributes of both primordial multicellular organisms and multifaceted ecosystems. Biofilm formation represents a protected mode of growth that allows cells to survive in hostile environments and also disperse to colonize new niches. The implications of these survival and propagative mechanisms in the context of both the natural environment and infectious diseases are discussed in this review.", "author" : [ { "dropping-particle" : "", "family" : "Hall-Stoodley", "given" : "Luanne", "non-dropping-particle" : "", "parse-names" : false, "suffix" : "" }, { "dropping-particle" : "", "family" : "Costerton", "given" : "J William", "non-dropping-particle" : "", "parse-names" : false, "suffix" : "" }, { "dropping-particle" : "", "family" : "Stoodley", "given" : "Paul", "non-dropping-particle" : "", "parse-names" : false, "suffix" : "" } ], "container-title" : "Nature reviews. Microbiology", "id" : "ITEM-1", "issue" : "2", "issued" : { "date-parts" : [ [ "2004" ] ] }, "page" : "95-108", "title" : "Bacterial biofilms: from the natural environment to infectious diseases.", "type" : "article-journal", "volume" : "2" }, "uris" : [ "http://www.mendeley.com/documents/?uuid=80ad09d6-5320-4093-a20b-c180a35631d4" ] } ], "mendeley" : { "formattedCitation" : "[29]", "plainTextFormattedCitation" : "[29]", "previouslyFormattedCitation" : "[29]" }, "properties" : { "noteIndex" : 0 }, "schema" : "https://github.com/citation-style-language/schema/raw/master/csl-citation.json" }</w:instrText>
      </w:r>
      <w:r w:rsidR="00B069DA">
        <w:rPr>
          <w:rFonts w:asciiTheme="minorHAnsi" w:eastAsia="Calibri" w:hAnsiTheme="minorHAnsi" w:cs="Calibri"/>
          <w:color w:val="000000"/>
          <w:sz w:val="22"/>
          <w:szCs w:val="22"/>
          <w:lang w:eastAsia="en-GB"/>
        </w:rPr>
        <w:fldChar w:fldCharType="separate"/>
      </w:r>
      <w:r w:rsidR="00B069DA" w:rsidRPr="00B069DA">
        <w:rPr>
          <w:rFonts w:asciiTheme="minorHAnsi" w:eastAsia="Calibri" w:hAnsiTheme="minorHAnsi" w:cs="Calibri"/>
          <w:noProof/>
          <w:color w:val="000000"/>
          <w:sz w:val="22"/>
          <w:szCs w:val="22"/>
          <w:lang w:eastAsia="en-GB"/>
        </w:rPr>
        <w:t>[29]</w:t>
      </w:r>
      <w:r w:rsidR="00B069DA">
        <w:rPr>
          <w:rFonts w:asciiTheme="minorHAnsi" w:eastAsia="Calibri" w:hAnsiTheme="minorHAnsi" w:cs="Calibri"/>
          <w:color w:val="000000"/>
          <w:sz w:val="22"/>
          <w:szCs w:val="22"/>
          <w:lang w:eastAsia="en-GB"/>
        </w:rPr>
        <w:fldChar w:fldCharType="end"/>
      </w:r>
      <w:r w:rsidR="00B069DA">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consisting of a few distinct steps. </w:t>
      </w:r>
    </w:p>
    <w:p w14:paraId="265A0465" w14:textId="1F55ABB1" w:rsidR="00436CD0"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In bacteria, biofilm formation is generally described to occur as follows: when an abiotic surface is in contact with an aqueous environment, the process commences with the formation of a conditioning film on the abiotic surface from the attachment of organic solutes in the surrounding aqueous environment. This is followed by the initial reversible adhesion of microbial cells to the conditioned abiotic surface, then the secondary irreversible adhesion of microbial cells to the surface, and the growth of the attached cells into a mature biofilm (Fig. 2.4) </w:t>
      </w:r>
      <w:r w:rsidR="00B069DA">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"id" : "ITEM-2", "itemData" : { "DOI" : "10.3201/eid0809.020063", "ISSN" : "1080-6040", "PMID" : "12194761", "abstract" : "Microorganisms attach to surfaces and develop biofilms. Biofilm-associated cells can be differentiated from their suspended counterparts by generation of an extracellular polymeric substance (EPS) matrix, reduced growth rates, and the up- and down- 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 "author" : [ { "dropping-particle" : "", "family" : "Donlan", "given" : "Rodney M", "non-dropping-particle" : "", "parse-names" : false, "suffix" : "" } ], "container-title" : "Emerging infectious diseases", "id" : "ITEM-2", "issue" : "9", "issued" : { "date-parts" : [ [ "2002", "9" ] ] }, "page" : "881-90", "title" : "Biofilms: microbial life on surfaces.", "type" : "article-journal", "volume" : "8" }, "uris" : [ "http://www.mendeley.com/documents/?uuid=8943dd6f-6881-45d5-a353-dd8530283284" ] } ], "mendeley" : { "formattedCitation" : "[24,63]", "plainTextFormattedCitation" : "[24,63]", "previouslyFormattedCitation" : "[24,63]" }, "properties" : { "noteIndex" : 0 }, "schema" : "https://github.com/citation-style-language/schema/raw/master/csl-citation.json" }</w:instrText>
      </w:r>
      <w:r w:rsidR="00B069DA">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[24,63]</w:t>
      </w:r>
      <w:r w:rsidR="00B069DA">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generalised process of biofilm formation also seems to be the case for archaeal biofilms </w:t>
      </w:r>
      <w:r w:rsidR="00B069DA">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"10.1042/BST20120304", "ISBN" : "1470-8752 (Electronic)\\r0300-5127 (Linking)", "ISSN" : "1470-8752", "PMID" : "23356317", "abstract" : "Biofilms or multicellular structures become accepted as the dominant microbial lifestyle in Nature, but in the past they were only studied extensively in bacteria. Investigations on archaeal monospecies cultures have shown that many archaeal species are able to adhere on biotic and abiotic surfaces and form complex biofilm structures. Biofilm-forming archaea were identified in a broad range of extreme and moderate environments. Natural biofilms observed are mostly mixed communities composed of archaeal and bacterial species of various abundances. The physiological functions of the archaea identified in such mixed communities suggest a significant impact on the biochemical cycles maintaining the flow and recycling of the nutrients on earth. Therefore it is of high interest to investigate the characteristics and mechanisms underlying the archaeal biofilm formation. In the present review, I summarize and discuss the present investigations of biofilm-forming archaeal species, i.e. their diverse biofilm architectures in monospecies or mixed communities, the identified EPSs (extracellular polymeric substances), archaeal structures mediating surface adhesion or cell-cell connections, and the response to physical and chemical stressors implying that archaeal biofilm formation is an adaptive reaction to changing environmental conditions. A first insight into the molecular differentiation of cells within archaeal biofilms is given.", "author" : [ { "dropping-particle" : "", "family" : "Fr\u00f6ls", "given" : "Sabrina", "non-dropping-particle" : "", "parse-names" : false, "suffix" : "" } ], "container-title" : "Biochemical Society transactions", "id" : "ITEM-1", "issue" : "1", "issued" : { "date-parts" : [ [ "2013" ] ] }, "page" : "393-8", "title" : "Archaeal biofilms: widespread and complex.", "type" : "article-journal", "volume" : "41" }, "uris" : [ "http://www.mendeley.com/documents/?uuid=cb32140d-6064-4104-9b03-d3d3ab307963" ] }, { "id" : "ITEM-2", "itemData" : { "DOI" : "10.1371/journal.pone.0014104", "ISSN" : "1932-6203", "PMID" : "21124788", "abstract" : "BACKGROUND: Biofilm formation has been studied in much detail for a variety of bacterial species, as it plays a major role in the pathogenicity of bacteria. However, only limited information is available for the development of archaeal communities that are frequently found in many natural environments.\n\nMETHODOLOGY: We have analyzed biofilm formation in three closely related hyperthermophilic crenarchaeotes: Sulfolobus acidocaldarius, S. solfataricus and S. tokodaii. We established a microtitre plate assay adapted to high temperatures to determine how pH and temperature influence biofilm formation in these organisms. Biofilm analysis by confocal laser scanning microscopy demonstrated that the three strains form very different communities ranging from simple carpet-like structures in S. solfataricus to high density tower-like structures in S. acidocaldarius in static systems. Lectin staining indicated that all three strains produced extracellular polysaccharides containing glucose, galactose, mannose and N-acetylglucosamine once biofilm formation was initiated. While flagella mutants had no phenotype in two days old static biofilms of S. solfataricus, a UV-induced pili deletion mutant showed decreased attachment of cells.\n\nCONCLUSION: The study gives first insights into formation and development of crenarchaeal biofilms in extreme environments.", "author" : [ { "dropping-particle" : "", "family" : "Koerdt", "given" : "Andrea", "non-dropping-particle" : "", "parse-names" : false, "suffix" : "" }, { "dropping-particle" : "", "family" : "G\u00f6deke", "given" : "Julia", "non-dropping-particle" : "", "parse-names" : false, "suffix" : "" }, { "dropping-particle" : "", "family" : "Berger", "given" : "J\u00fcrgen", "non-dropping-particle" : "", "parse-names" : false, "suffix" : "" }, { "dropping-particle" : "", "family" : "Thormann", "given" : "Kai M", "non-dropping-particle" : "", "parse-names" : false, "suffix" : "" }, { "dropping-particle" : "", "family" : "Albers", "given" : "Sonja-Verena", "non-dropping-particle" : "", "parse-names" : false, "suffix" : "" } ], "container-title" : "PloS one", "id" : "ITEM-2", "issue" : "11", "issued" : { "date-parts" : [ [ "2010", "1" ] ] }, "page" : "e14104", "title" : "Crenarchaeal biofilm formation under extreme conditions.", "type" : "article-journal", "volume" : "5" }, "uris" : [ "http://www.mendeley.com/documents/?uuid=9262f2e8-09a6-421b-bdaf-0d81a060cadd" ] } ], "mendeley" : { "formattedCitation" : "[21,64]", "plainTextFormattedCitation" : "[21,64]", "previouslyFormattedCitation" : "[21,64]" }, "properties" : { "noteIndex" : 0 }, "schema" : "https://github.com/citation-style-language/schema/raw/master/csl-citation.json" }</w:instrText>
      </w:r>
      <w:r w:rsidR="00B069DA">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[21,64]</w:t>
      </w:r>
      <w:r w:rsidR="00B069DA">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34B90822" w14:textId="77777777" w:rsidR="002867AE" w:rsidRDefault="002867AE" w:rsidP="00436CD0">
      <w:pPr>
        <w:spacing w:line="360" w:lineRule="auto"/>
        <w:ind w:firstLine="720"/>
        <w:rPr>
          <w:rFonts w:asciiTheme="minorHAnsi" w:eastAsia="Calibri" w:hAnsiTheme="minorHAnsi" w:cs="Calibri"/>
          <w:color w:val="000000"/>
          <w:sz w:val="22"/>
          <w:szCs w:val="22"/>
          <w:lang w:eastAsia="en-GB"/>
        </w:rPr>
      </w:pPr>
    </w:p>
    <w:p w14:paraId="0EFA066A" w14:textId="77777777" w:rsidR="002867AE" w:rsidRPr="00C44D8C" w:rsidRDefault="002867AE" w:rsidP="002867AE">
      <w:pPr>
        <w:spacing w:line="360" w:lineRule="auto"/>
        <w:jc w:val="center"/>
        <w:rPr>
          <w:rFonts w:asciiTheme="minorHAnsi" w:eastAsia="Arial" w:hAnsiTheme="minorHAnsi" w:cs="Arial"/>
          <w:color w:val="000000"/>
          <w:sz w:val="22"/>
          <w:szCs w:val="22"/>
          <w:lang w:eastAsia="en-GB"/>
        </w:rPr>
      </w:pPr>
      <w:r w:rsidRPr="00C44D8C">
        <w:rPr>
          <w:rFonts w:asciiTheme="minorHAnsi" w:eastAsia="Arial" w:hAnsiTheme="minorHAnsi" w:cs="Arial"/>
          <w:noProof/>
          <w:color w:val="000000"/>
          <w:sz w:val="22"/>
          <w:szCs w:val="22"/>
          <w:lang w:eastAsia="en-GB"/>
        </w:rPr>
        <w:drawing>
          <wp:inline distT="0" distB="0" distL="0" distR="0" wp14:anchorId="036FC33E" wp14:editId="71A1D931">
            <wp:extent cx="5139055" cy="1327101"/>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ofilm formation diagram.jpg"/>
                    <pic:cNvPicPr/>
                  </pic:nvPicPr>
                  <pic:blipFill>
                    <a:blip r:embed="rId15">
                      <a:extLst>
                        <a:ext uri="{28A0092B-C50C-407E-A947-70E740481C1C}">
                          <a14:useLocalDpi xmlns:a14="http://schemas.microsoft.com/office/drawing/2010/main" val="0"/>
                        </a:ext>
                      </a:extLst>
                    </a:blip>
                    <a:stretch>
                      <a:fillRect/>
                    </a:stretch>
                  </pic:blipFill>
                  <pic:spPr>
                    <a:xfrm>
                      <a:off x="0" y="0"/>
                      <a:ext cx="5153629" cy="1330865"/>
                    </a:xfrm>
                    <a:prstGeom prst="rect">
                      <a:avLst/>
                    </a:prstGeom>
                  </pic:spPr>
                </pic:pic>
              </a:graphicData>
            </a:graphic>
          </wp:inline>
        </w:drawing>
      </w:r>
    </w:p>
    <w:p w14:paraId="28D4B6A6" w14:textId="2A095168" w:rsidR="002867AE" w:rsidRPr="00C44D8C" w:rsidRDefault="002867AE" w:rsidP="002867AE">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b/>
          <w:color w:val="000000"/>
          <w:sz w:val="22"/>
          <w:szCs w:val="22"/>
          <w:lang w:eastAsia="en-GB"/>
        </w:rPr>
        <w:t>Fig. 2.4</w:t>
      </w:r>
      <w:r w:rsidRPr="00C44D8C">
        <w:rPr>
          <w:rFonts w:asciiTheme="minorHAnsi" w:eastAsia="Calibri" w:hAnsiTheme="minorHAnsi" w:cs="Calibri"/>
          <w:color w:val="000000"/>
          <w:sz w:val="22"/>
          <w:szCs w:val="22"/>
          <w:lang w:eastAsia="en-GB"/>
        </w:rPr>
        <w:t xml:space="preserve"> Diagram of the steps involved in biofilm formation: establishment of </w:t>
      </w:r>
      <w:r>
        <w:rPr>
          <w:rFonts w:asciiTheme="minorHAnsi" w:eastAsia="Calibri" w:hAnsiTheme="minorHAnsi" w:cs="Calibri"/>
          <w:color w:val="000000"/>
          <w:sz w:val="22"/>
          <w:szCs w:val="22"/>
          <w:lang w:eastAsia="en-GB"/>
        </w:rPr>
        <w:t xml:space="preserve">a </w:t>
      </w:r>
      <w:r w:rsidRPr="00C44D8C">
        <w:rPr>
          <w:rFonts w:asciiTheme="minorHAnsi" w:eastAsia="Calibri" w:hAnsiTheme="minorHAnsi" w:cs="Calibri"/>
          <w:color w:val="000000"/>
          <w:sz w:val="22"/>
          <w:szCs w:val="22"/>
          <w:lang w:eastAsia="en-GB"/>
        </w:rPr>
        <w:t>conditioning film (A), reversible adhesion mediated by physicochemical interactions (B), irreversible adhesion (C) and growth of mature biofilm (D). Figure adapted from</w:t>
      </w:r>
      <w:r>
        <w:rPr>
          <w:rFonts w:asciiTheme="minorHAnsi" w:eastAsia="Calibri" w:hAnsiTheme="minorHAnsi" w:cs="Calibri"/>
          <w:color w:val="000000"/>
          <w:sz w:val="22"/>
          <w:szCs w:val="22"/>
          <w:lang w:eastAsia="en-GB"/>
        </w:rPr>
        <w:t xml:space="preserve"> </w:t>
      </w:r>
      <w:r>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3979C151" w14:textId="77777777" w:rsidR="002867AE" w:rsidRPr="00C44D8C" w:rsidRDefault="002867AE" w:rsidP="00436CD0">
      <w:pPr>
        <w:spacing w:line="360" w:lineRule="auto"/>
        <w:ind w:firstLine="720"/>
        <w:rPr>
          <w:rFonts w:asciiTheme="minorHAnsi" w:eastAsia="Calibri" w:hAnsiTheme="minorHAnsi" w:cs="Calibri"/>
          <w:color w:val="000000"/>
          <w:sz w:val="22"/>
          <w:szCs w:val="22"/>
          <w:lang w:eastAsia="en-GB"/>
        </w:rPr>
      </w:pPr>
    </w:p>
    <w:p w14:paraId="666765BD" w14:textId="7F53851B" w:rsidR="00436CD0" w:rsidRPr="00C44D8C" w:rsidRDefault="00436CD0" w:rsidP="00436CD0">
      <w:pPr>
        <w:spacing w:line="360" w:lineRule="auto"/>
        <w:ind w:firstLine="720"/>
        <w:rPr>
          <w:rFonts w:asciiTheme="minorHAnsi" w:eastAsia="Arial" w:hAnsiTheme="minorHAnsi" w:cs="Arial"/>
          <w:sz w:val="22"/>
          <w:szCs w:val="22"/>
          <w:lang w:eastAsia="en-GB"/>
        </w:rPr>
      </w:pPr>
      <w:r w:rsidRPr="00C44D8C">
        <w:rPr>
          <w:rFonts w:asciiTheme="minorHAnsi" w:eastAsia="Calibri" w:hAnsiTheme="minorHAnsi" w:cs="Calibri"/>
          <w:color w:val="000000"/>
          <w:sz w:val="22"/>
          <w:szCs w:val="22"/>
          <w:lang w:eastAsia="en-GB"/>
        </w:rPr>
        <w:t xml:space="preserve">However, biofilm formation is a complex process that is also significantly influenced by multiple external factors, such as the surface composition, hydrodynamic shear, nutrients in the environment and the microbial species, which challenges the complete comprehensive understanding of this process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"id" : "ITEM-2", "itemData" : { "DOI" : "10.1128/CMR.15.2.155", "author" : [ { "dropping-particle" : "", "family" : "Dunne", "given" : "W Michael", "non-dropping-particle" : "", "parse-names" : false, "suffix" : "" } ], "container-title" : "Clinical Microbiology Reviews", "id" : "ITEM-2", "issue" : "2", "issued" : { "date-parts" : [ [ "2002" ] ] }, "page" : "155-166", "title" : "Bacterial Adhesion : Seen Any Good Biofilms Lately ?", "type" : "article-journal", "volume" : "15" }, "uris" : [ "http://www.mendeley.com/documents/?uuid=ece23a4d-2182-4690-b9d9-594a4923f661" ] } ], "mendeley" : { "formattedCitation" : "[63,65]", "plainTextFormattedCitation" : "[63,65]", "previouslyFormattedCitation" : "[63,65]"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[63,65]</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Much research has been conducted in examining the multifaceted factors influencing biofilm formation in bacteria, yet this knowledge is largely lacking for archaea</w:t>
      </w:r>
      <w:r w:rsidR="004A725F">
        <w:rPr>
          <w:rFonts w:asciiTheme="minorHAnsi" w:eastAsia="Calibri" w:hAnsiTheme="minorHAnsi" w:cs="Calibri"/>
          <w:color w:val="000000"/>
          <w:sz w:val="22"/>
          <w:szCs w:val="22"/>
          <w:lang w:eastAsia="en-GB"/>
        </w:rPr>
        <w:t xml:space="preserve"> </w:t>
      </w:r>
      <w:r w:rsidR="004A725F">
        <w:rPr>
          <w:rFonts w:asciiTheme="minorHAnsi" w:eastAsia="Calibri" w:hAnsiTheme="minorHAnsi" w:cs="Calibri"/>
          <w:color w:val="000000"/>
          <w:sz w:val="22"/>
          <w:szCs w:val="22"/>
          <w:lang w:eastAsia="en-GB"/>
        </w:rPr>
        <w:fldChar w:fldCharType="begin" w:fldLock="1"/>
      </w:r>
      <w:r w:rsidR="004A725F">
        <w:rPr>
          <w:rFonts w:asciiTheme="minorHAnsi" w:eastAsia="Calibri" w:hAnsiTheme="minorHAnsi" w:cs="Calibri"/>
          <w:color w:val="000000"/>
          <w:sz w:val="22"/>
          <w:szCs w:val="22"/>
          <w:lang w:eastAsia="en-GB"/>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"id" : "ITEM-2", "itemData" : { "DOI" : "10.1042/BST20120304", "ISBN" : "1470-8752 (Electronic)\\r0300-5127 (Linking)", "ISSN" : "1470-8752", "PMID" : "23356317", "abstract" : "Biofilms or multicellular structures become accepted as the dominant microbial lifestyle in Nature, but in the past they were only studied extensively in bacteria. Investigations on archaeal monospecies cultures have shown that many archaeal species are able to adhere on biotic and abiotic surfaces and form complex biofilm structures. Biofilm-forming archaea were identified in a broad range of extreme and moderate environments. Natural biofilms observed are mostly mixed communities composed of archaeal and bacterial species of various abundances. The physiological functions of the archaea identified in such mixed communities suggest a significant impact on the biochemical cycles maintaining the flow and recycling of the nutrients on earth. Therefore it is of high interest to investigate the characteristics and mechanisms underlying the archaeal biofilm formation. In the present review, I summarize and discuss the present investigations of biofilm-forming archaeal species, i.e. their diverse biofilm architectures in monospecies or mixed communities, the identified EPSs (extracellular polymeric substances), archaeal structures mediating surface adhesion or cell-cell connections, and the response to physical and chemical stressors implying that archaeal biofilm formation is an adaptive reaction to changing environmental conditions. A first insight into the molecular differentiation of cells within archaeal biofilms is given.", "author" : [ { "dropping-particle" : "", "family" : "Fr\u00f6ls", "given" : "Sabrina", "non-dropping-particle" : "", "parse-names" : false, "suffix" : "" } ], "container-title" : "Biochemical Society transactions", "id" : "ITEM-2", "issue" : "1", "issued" : { "date-parts" : [ [ "2013" ] ] }, "page" : "393-8", "title" : "Archaeal biofilms: widespread and complex.", "type" : "article-journal", "volume" : "41" }, "uris" : [ "http://www.mendeley.com/documents/?uuid=cb32140d-6064-4104-9b03-d3d3ab307963" ] } ], "mendeley" : { "formattedCitation" : "[20,21]", "plainTextFormattedCitation" : "[20,21]", "previouslyFormattedCitation" : "[20,21]"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4A725F" w:rsidRPr="004A725F">
        <w:rPr>
          <w:rFonts w:asciiTheme="minorHAnsi" w:eastAsia="Calibri" w:hAnsiTheme="minorHAnsi" w:cs="Calibri"/>
          <w:noProof/>
          <w:color w:val="000000"/>
          <w:sz w:val="22"/>
          <w:szCs w:val="22"/>
          <w:lang w:eastAsia="en-GB"/>
        </w:rPr>
        <w:t>[20,21]</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gap in knowledge highlights a </w:t>
      </w:r>
      <w:r w:rsidRPr="00C44D8C">
        <w:rPr>
          <w:rFonts w:asciiTheme="minorHAnsi" w:eastAsia="Calibri" w:hAnsiTheme="minorHAnsi" w:cs="Calibri"/>
          <w:color w:val="000000"/>
          <w:sz w:val="22"/>
          <w:szCs w:val="22"/>
          <w:lang w:eastAsia="en-GB"/>
        </w:rPr>
        <w:lastRenderedPageBreak/>
        <w:t xml:space="preserve">promising area of research for </w:t>
      </w:r>
      <w:r w:rsidRPr="00C44D8C">
        <w:rPr>
          <w:rFonts w:asciiTheme="minorHAnsi" w:eastAsia="Calibri" w:hAnsiTheme="minorHAnsi" w:cs="Calibri"/>
          <w:i/>
          <w:sz w:val="22"/>
          <w:szCs w:val="22"/>
          <w:lang w:eastAsia="en-GB"/>
        </w:rPr>
        <w:t xml:space="preserve">Methanosarcina, </w:t>
      </w:r>
      <w:r w:rsidR="002867AE">
        <w:rPr>
          <w:rFonts w:asciiTheme="minorHAnsi" w:eastAsia="Calibri" w:hAnsiTheme="minorHAnsi" w:cs="Calibri"/>
          <w:sz w:val="22"/>
          <w:szCs w:val="22"/>
          <w:lang w:eastAsia="en-GB"/>
        </w:rPr>
        <w:t>given its promising potential for</w:t>
      </w:r>
      <w:r w:rsidRPr="00C44D8C">
        <w:rPr>
          <w:rFonts w:asciiTheme="minorHAnsi" w:eastAsia="Calibri" w:hAnsiTheme="minorHAnsi" w:cs="Calibri"/>
          <w:sz w:val="22"/>
          <w:szCs w:val="22"/>
          <w:lang w:eastAsia="en-GB"/>
        </w:rPr>
        <w:t xml:space="preserve"> high rate AD systems. There is a need to better understand the biofilm-forming capabilities of this methanogen for potential application in heavy duty biomethanation.</w:t>
      </w:r>
    </w:p>
    <w:p w14:paraId="27B6F5B4" w14:textId="77777777" w:rsidR="00436CD0" w:rsidRDefault="00436CD0" w:rsidP="00436CD0">
      <w:pPr>
        <w:spacing w:line="360" w:lineRule="auto"/>
        <w:rPr>
          <w:rFonts w:asciiTheme="minorHAnsi" w:eastAsia="Arial" w:hAnsiTheme="minorHAnsi" w:cs="Arial"/>
          <w:color w:val="000000"/>
          <w:sz w:val="22"/>
          <w:szCs w:val="22"/>
          <w:lang w:eastAsia="en-GB"/>
        </w:rPr>
      </w:pPr>
    </w:p>
    <w:p w14:paraId="6CAD6075" w14:textId="52818D3A" w:rsidR="00436CD0" w:rsidRPr="00DF337D" w:rsidRDefault="00DF337D" w:rsidP="00DF337D">
      <w:pPr>
        <w:pStyle w:val="Heading6"/>
        <w:rPr>
          <w:rFonts w:eastAsia="Arial"/>
        </w:rPr>
      </w:pPr>
      <w:bookmarkStart w:id="47" w:name="_Toc462575264"/>
      <w:r w:rsidRPr="00DF337D">
        <w:rPr>
          <w:rFonts w:eastAsia="Calibri"/>
        </w:rPr>
        <w:t>2.3.1</w:t>
      </w:r>
      <w:r w:rsidR="00436CD0" w:rsidRPr="00DF337D">
        <w:rPr>
          <w:rFonts w:eastAsia="Calibri"/>
        </w:rPr>
        <w:t>. Initial adhesion</w:t>
      </w:r>
      <w:bookmarkEnd w:id="47"/>
      <w:r w:rsidR="00436CD0" w:rsidRPr="00DF337D">
        <w:rPr>
          <w:rFonts w:eastAsia="Calibri"/>
        </w:rPr>
        <w:t xml:space="preserve"> </w:t>
      </w:r>
    </w:p>
    <w:p w14:paraId="525A4F28" w14:textId="5D7576B0"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initial accumulation of cells at a surface highlights the important role that the interface plays in the first stages of biofilm formation. Initial adhesion originates from the interactions occurring at the microbial and abiotic surface, and the strength of these interfacial interactions are dependent upon the physicochemical surface properties of the microbial and abiotic surface</w:t>
      </w:r>
      <w:r w:rsidR="004A725F">
        <w:rPr>
          <w:rFonts w:asciiTheme="minorHAnsi" w:eastAsia="Calibri" w:hAnsiTheme="minorHAnsi" w:cs="Calibri"/>
          <w:color w:val="000000"/>
          <w:sz w:val="22"/>
          <w:szCs w:val="22"/>
          <w:lang w:eastAsia="en-GB"/>
        </w:rPr>
        <w:t xml:space="preserv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"1473-2262", "PMID" : "15593018", "abstract" : "This article reviews the mechanisms of bacterial adhesion to biomaterial surfaces, the factors affecting the adhesion, the techniques used in estimating bacteria-material interactions and the models that have been developed in order to predict adhesion. The process of bacterial adhesion includes an initial physicochemical interaction phase and a late molecular and cellular one. It is a complicated process influenced by many factors, including the bacterial properties, the material surface characteristics, the environmental factors, such as the presence of serum proteins and the associated flow conditions. Two categories of techniques used in estimating bacteria-material interactions are described: those that utilize fluid flowing against the adhered bacteria and counting the percentage of bacteria that detach, and those that manipulate single bacteria in various configurations which lend themselves to more specific force application and provide the basis for theoretical analysis of the receptor-ligand interactions. The theories that are reviewed are the Derjaguin-Landau-Verwey-Overbeek (DLVO) theory, the thermodynamic approach and the extended DLVO theory. Over the years, significant work has been done to investigate the process of bacterial adhesion to biomaterial surfaces, however a lot of questions still remain unanswered.", "author" : [ { "dropping-particle" : "", "family" : "Katsikogianni", "given" : "M", "non-dropping-particle" : "", "parse-names" : false, "suffix" : "" }, { "dropping-particle" : "", "family" : "Missirlis", "given" : "Y F", "non-dropping-particle" : "", "parse-names" : false, "suffix" : "" } ], "container-title" : "European cells &amp; materials", "id" : "ITEM-1", "issued" : { "date-parts" : [ [ "2004", "12", "7" ] ] }, "page" : "37-57", "title" : "Concise review of mechanisms of bacterial adhesion to biomaterials and of techniques used in estimating bacteria-material interactions.", "type" : "article-journal", "volume" : "8" }, "uris" : [ "http://www.mendeley.com/documents/?uuid=4eda8098-d6b0-46bf-a937-897b50c8ad2c" ] } ], "mendeley" : { "formattedCitation" : "[66]", "plainTextFormattedCitation" : "[66]", "previouslyFormattedCitation" : "[66]"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[66]</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These interfacial interactions are considered to facilitate the initial reversible adhesion of cells to an abiotic surface, in which cells are loosely attached and can be disrupted easily from the surface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4A725F">
        <w:rPr>
          <w:rFonts w:asciiTheme="minorHAnsi" w:eastAsia="Calibri" w:hAnsiTheme="minorHAnsi" w:cs="Calibri"/>
          <w:color w:val="000000"/>
          <w:sz w:val="22"/>
          <w:szCs w:val="22"/>
          <w:lang w:eastAsia="en-GB"/>
        </w:rPr>
        <w:fldChar w:fldCharType="end"/>
      </w:r>
      <w:r w:rsidR="004A725F">
        <w:rPr>
          <w:rFonts w:asciiTheme="minorHAnsi" w:eastAsia="Calibri" w:hAnsiTheme="minorHAnsi" w:cs="Calibri"/>
          <w:color w:val="000000"/>
          <w:sz w:val="22"/>
          <w:szCs w:val="22"/>
          <w:lang w:eastAsia="en-GB"/>
        </w:rPr>
        <w:t>.</w:t>
      </w:r>
    </w:p>
    <w:p w14:paraId="6D9B85AC" w14:textId="2C3C63CF"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ab/>
        <w:t xml:space="preserve">Microbial interfacial interactions are categorised as being either specific or non-specific. Specific interactions comprise of stereo-chemical interactions between localised and specific complementary surface structures. These interactions are spatially confined between specific molecular groups on the surface and take effect over short distances less than 5 nm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02641704" w14:textId="78EDB7C0"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ab/>
        <w:t>On the other hand, non-specific microbial interactions are a result of universal interfacial interaction forces between all molecules of the entire cell and abiotic surface. These interfacial interactions are comprised of the omnipresent Lifshitz-van der Waals forces, electrostatic forces and Lewis acid-base interactions</w:t>
      </w:r>
      <w:r w:rsidR="004A725F">
        <w:rPr>
          <w:rFonts w:asciiTheme="minorHAnsi" w:eastAsia="Calibri" w:hAnsiTheme="minorHAnsi" w:cs="Calibri"/>
          <w:color w:val="000000"/>
          <w:sz w:val="22"/>
          <w:szCs w:val="22"/>
          <w:lang w:eastAsia="en-GB"/>
        </w:rPr>
        <w:t xml:space="preserv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"10.1016/0378-1097(87)90062-0", "ISSN" : "03781097", "author" : [ { "dropping-particle" : "", "family" : "Busscher", "given" : "H", "non-dropping-particle" : "", "parse-names" : false, "suffix" : "" }, { "dropping-particle" : "", "family" : "Werkamp", "given" : "A H", "non-dropping-particle" : "", "parse-names" : false, "suffix" : "" } ], "container-title" : "FEMS Microbiology Reviews", "id" : "ITEM-1", "issue" : "2", "issued" : { "date-parts" : [ [ "1987", "6" ] ] }, "page" : "165-173", "title" : "Specific and non-specific interactions in bacterial adhesion to solid substrata", "type" : "article-journal", "volume" : "46" }, "uris" : [ "http://www.mendeley.com/documents/?uuid=f1943176-2dd8-486f-863f-481adeacce68" ] }, { "id" : "ITEM-2", "itemData" : { "DOI" : "10.1163/156856102760099870", "ISSN" : "0169-4243", "author" : [ { "dropping-particle" : "", "family" : "Oss", "given" : "Carel Jan", "non-dropping-particle" : "van", "parse-names" : false, "suffix" : "" } ], "container-title" : "Journal of Adhesion Science and Technology", "id" : "ITEM-2", "issue" : "6", "issued" : { "date-parts" : [ [ "2002", "1" ] ] }, "page" : "669-677", "title" : "Use of the combined Lifshitz\u2013van der Waals and Lewis acid\u2013base approaches in determining the apolar and polar contributions to surface and interfacial tensions and free energies", "type" : "article-journal", "volume" : "16" }, "uris" : [ "http://www.mendeley.com/documents/?uuid=0a96bb39-a8f2-45bb-ad5e-81c6078f119f" ] } ], "mendeley" : { "formattedCitation" : "[67,68]", "plainTextFormattedCitation" : "[67,68]", "previouslyFormattedCitation" : "[67,68]"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[67,68]</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and arise in all situations where two surfaces interact. As such, they are non-specific in nature and operate over a longer range than the specific interactions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Both the specific and non-specific interactions are key in the initial adhesion of microbial cells to an abiotic surface, and are both significantly influenced by the surface properties of both interacting surfaces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[69]</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54D3ADEC" w14:textId="3235D71D"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Planktonic microbial cells are often brought into close contact with an abiotic surface by various means, such as by diffusion, Brownian motion or by the natural mobility of the microorganism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Upon approaching each other, the non-specific interfacial forces are primarily responsible for the initial attachment of microbial cells to an abiotic surface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"10.1128/CMR.15.2.155", "author" : [ { "dropping-particle" : "", "family" : "Dunne", "given" : "W Michael", "non-dropping-particle" : "", "parse-names" : false, "suffix" : "" } ], "container-title" : "Clinical Microbiology Reviews", "id" : "ITEM-1", "issue" : "2", "issued" : { "date-parts" : [ [ "2002" ] ] }, "page" : "155-166", "title" : "Bacterial Adhesion : Seen Any Good Biofilms Lately ?", "type" : "article-journal", "volume" : "15" }, "uris" : [ "http://www.mendeley.com/documents/?uuid=ece23a4d-2182-4690-b9d9-594a4923f661" ] } ], "mendeley" : { "formattedCitation" : "[65]", "plainTextFormattedCitation" : "[65]", "previouslyFormattedCitation" : "[65]"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[65]</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These longer range non-specific forces, such as the electrostatic and Lifshitz-van der Waals forces, operate at distances over 50 nm and can pull microbial cells towards an abiotic surface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"10.1016/0378-1097(87)90062-0", "ISSN" : "03781097", "author" : [ { "dropping-particle" : "", "family" : "Busscher", "given" : "H", "non-dropping-particle" : "", "parse-names" : false, "suffix" : "" } ], "container-title" : "FEMS Microbiology Letters", "id" : "ITEM-1", "issue" : "2", "issued" : { "date-parts" : [ [ "1987", "6" ] ] }, "page" : "165-173", "title" : "Specific and non-specific interactions in bacterial adhesion to solid substrata", "type" : "article-journal", "volume" : "46" }, "uris" : [ "http://www.mendeley.com/documents/?uuid=75a43812-2466-449d-83a3-d0deaa338efb" ] } ], "mendeley" : { "formattedCitation" : "[70]", "plainTextFormattedCitation" : "[70]", "previouslyFormattedCitation" : "[70]"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[70]</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57C41CCA" w14:textId="6E403EA6"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Lifshitz-van der Waals forces are always present and arise due to induced dipole-induced dipole interactions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They operate over a long distance of greater than </w:t>
      </w:r>
      <w:r w:rsidRPr="00C44D8C">
        <w:rPr>
          <w:rFonts w:asciiTheme="minorHAnsi" w:eastAsia="Calibri" w:hAnsiTheme="minorHAnsi" w:cs="Calibri"/>
          <w:color w:val="000000"/>
          <w:sz w:val="22"/>
          <w:szCs w:val="22"/>
          <w:lang w:eastAsia="en-GB"/>
        </w:rPr>
        <w:lastRenderedPageBreak/>
        <w:t xml:space="preserve">10 nm, as well as extremely short distances of less than 0.2 nm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"10.1016/0927-7757(93)80308-2", "ISSN" : "09277757", "author" : [ { "dropping-particle" : "", "family" : "Oss", "given" : "C.J.", "non-dropping-particle" : "van", "parse-names" : false, "suffix" : "" } ], "container-title" : "Colloids and Surfaces A: Physicochemical and Engineering Aspects", "id" : "ITEM-1", "issued" : { "date-parts" : [ [ "1993", "10" ] ] }, "page" : "1-49", "title" : "Acid\u2014base interfacial interactions in aqueous media", "type" : "article-journal", "volume" : "78" }, "uris" : [ "http://www.mendeley.com/documents/?uuid=e55f482c-7ee5-4f8b-a8f7-2743388a4569" ] } ], "mendeley" : { "formattedCitation" : "[71]", "plainTextFormattedCitation" : "[71]", "previouslyFormattedCitation" : "[71]"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[71]</w:t>
      </w:r>
      <w:r w:rsidR="004A725F">
        <w:rPr>
          <w:rFonts w:asciiTheme="minorHAnsi" w:eastAsia="Calibri" w:hAnsiTheme="minorHAnsi" w:cs="Calibri"/>
          <w:color w:val="000000"/>
          <w:sz w:val="22"/>
          <w:szCs w:val="22"/>
          <w:lang w:eastAsia="en-GB"/>
        </w:rPr>
        <w:fldChar w:fldCharType="end"/>
      </w:r>
      <w:r w:rsidR="004A725F">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The van der Waals forces are more influential than the electrostatic forces at short distances, and are not affected by the ionic strength of the aqueous environment. They are predominantly attractive in nature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"id" : "ITEM-2", "itemData" : { "DOI" : "10.1016/0021-9797(86)90041-X", "ISSN" : "00219797", "author" : [ { "dropping-particle" : "", "family" : "Oss", "given" : "C.J", "non-dropping-particle" : "Van", "parse-names" : false, "suffix" : "" }, { "dropping-particle" : "", "family" : "Good", "given" : "R.J", "non-dropping-particle" : "", "parse-names" : false, "suffix" : "" }, { "dropping-particle" : "", "family" : "Chaudhury", "given" : "M.K", "non-dropping-particle" : "", "parse-names" : false, "suffix" : "" } ], "container-title" : "Journal of Colloid and Interface Science", "id" : "ITEM-2", "issue" : "2", "issued" : { "date-parts" : [ [ "1985", "6" ] ] }, "page" : "378-390", "title" : "The role of van der Waals forces and hydrogen bonds in \u201chydrophobic interactions\u201d between biopolymers and low energy surfaces", "type" : "article-journal", "volume" : "111" }, "uris" : [ "http://www.mendeley.com/documents/?uuid=e538f2a8-12b3-46f7-90f4-58425e114e56" ] } ], "mendeley" : { "formattedCitation" : "[72,73]", "plainTextFormattedCitation" : "[72,73]", "previouslyFormattedCitation" : "[72,73]"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[72,73]</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19914B00" w14:textId="04C366AD"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Electrostatic forces occur between charged surfaces, and are typically repulsive if the two interacting surfaces have like charges. The magnitude of these electrostatic forces exponentially decays over large separation distances and in high ionic strength environments</w:t>
      </w:r>
      <w:r w:rsidR="004A725F">
        <w:rPr>
          <w:rFonts w:asciiTheme="minorHAnsi" w:eastAsia="Calibri" w:hAnsiTheme="minorHAnsi" w:cs="Calibri"/>
          <w:color w:val="000000"/>
          <w:sz w:val="22"/>
          <w:szCs w:val="22"/>
          <w:lang w:eastAsia="en-GB"/>
        </w:rPr>
        <w:t xml:space="preserv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As most microbial and abiotic surfaces exhibit a net negative surface charge under physiological conditions (pH 5-7), they have to overcome these repulsive electrostatic forces in order to come into close contact for adhesion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"1473-2262", "PMID" : "15593018", "abstract" : "This article reviews the mechanisms of bacterial adhesion to biomaterial surfaces, the factors affecting the adhesion, the techniques used in estimating bacteria-material interactions and the models that have been developed in order to predict adhesion. The process of bacterial adhesion includes an initial physicochemical interaction phase and a late molecular and cellular one. It is a complicated process influenced by many factors, including the bacterial properties, the material surface characteristics, the environmental factors, such as the presence of serum proteins and the associated flow conditions. Two categories of techniques used in estimating bacteria-material interactions are described: those that utilize fluid flowing against the adhered bacteria and counting the percentage of bacteria that detach, and those that manipulate single bacteria in various configurations which lend themselves to more specific force application and provide the basis for theoretical analysis of the receptor-ligand interactions. The theories that are reviewed are the Derjaguin-Landau-Verwey-Overbeek (DLVO) theory, the thermodynamic approach and the extended DLVO theory. Over the years, significant work has been done to investigate the process of bacterial adhesion to biomaterial surfaces, however a lot of questions still remain unanswered.", "author" : [ { "dropping-particle" : "", "family" : "Katsikogianni", "given" : "M", "non-dropping-particle" : "", "parse-names" : false, "suffix" : "" }, { "dropping-particle" : "", "family" : "Missirlis", "given" : "Y F", "non-dropping-particle" : "", "parse-names" : false, "suffix" : "" } ], "container-title" : "European cells &amp; materials", "id" : "ITEM-1", "issued" : { "date-parts" : [ [ "2004", "12", "7" ] ] }, "page" : "37-57", "title" : "Concise review of mechanisms of bacterial adhesion to biomaterials and of techniques used in estimating bacteria-material interactions.", "type" : "article-journal", "volume" : "8" }, "uris" : [ "http://www.mendeley.com/documents/?uuid=4eda8098-d6b0-46bf-a937-897b50c8ad2c" ] } ], "mendeley" : { "formattedCitation" : "[66]", "plainTextFormattedCitation" : "[66]", "previouslyFormattedCitation" : "[66]"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[66]</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75F6FBC4" w14:textId="2E6B4CDF"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Lewis acid-base forces are a more recent addition to the repertoire of accepted interfacial interactions, and constitute all the electron-donating and electron-accepting interactions between polar moieties</w:t>
      </w:r>
      <w:r w:rsidR="004A725F">
        <w:rPr>
          <w:rFonts w:asciiTheme="minorHAnsi" w:eastAsia="Calibri" w:hAnsiTheme="minorHAnsi" w:cs="Calibri"/>
          <w:color w:val="000000"/>
          <w:sz w:val="22"/>
          <w:szCs w:val="22"/>
          <w:lang w:eastAsia="en-GB"/>
        </w:rPr>
        <w:t xml:space="preserv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"10.1016/0927-7757(93)80308-2", "ISSN" : "09277757", "author" : [ { "dropping-particle" : "", "family" : "Oss", "given" : "C.J.", "non-dropping-particle" : "van", "parse-names" : false, "suffix" : "" } ], "container-title" : "Colloids and Surfaces A: Physicochemical and Engineering Aspects", "id" : "ITEM-1", "issued" : { "date-parts" : [ [ "1993", "10" ] ] }, "page" : "1-49", "title" : "Acid\u2014base interfacial interactions in aqueous media", "type" : "article-journal", "volume" : "78" }, "uris" : [ "http://www.mendeley.com/documents/?uuid=e55f482c-7ee5-4f8b-a8f7-2743388a4569" ] } ], "mendeley" : { "formattedCitation" : "[71]", "plainTextFormattedCitation" : "[71]", "previouslyFormattedCitation" : "[71]"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[71]</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As such, a surface is described as being a Lewis acid if it is able to accept electrons, and a Lewis base if it is able to donate electrons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"author" : [ { "dropping-particle" : "Della", "family" : "Volpe", "given" : "C", "non-dropping-particle" : "", "parse-names" : false, "suffix" : "" }, { "dropping-particle" : "", "family" : "Siboni", "given" : "S", "non-dropping-particle" : "", "parse-names" : false, "suffix" : "" } ], "container-title" : "Journal of Adhesion Science and Technology", "id" : "ITEM-1", "issue" : "2", "issued" : { "date-parts" : [ [ "2000" ] ] }, "page" : "235-272", "title" : "Acid \u2013 base surface free energies of solids and the de nition of scales in the Good \u2013 van Oss \u2013 Chaudhury theory", "type" : "article-journal", "volume" : "14" }, "uris" : [ "http://www.mendeley.com/documents/?uuid=9ba3b1be-7d25-4fb3-a8c8-c91bc659dcd8" ] } ], "mendeley" : { "formattedCitation" : "[74]", "plainTextFormattedCitation" : "[74]", "previouslyFormattedCitation" : "[74]"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[74]</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These acid-base forces have been reported to operate at interaction distances of less than 1.5 nm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"10.1016/0378-1097(87)90062-0", "ISSN" : "03781097", "author" : [ { "dropping-particle" : "", "family" : "Busscher", "given" : "H", "non-dropping-particle" : "", "parse-names" : false, "suffix" : "" } ], "container-title" : "FEMS Microbiology Letters", "id" : "ITEM-1", "issue" : "2", "issued" : { "date-parts" : [ [ "1987", "6" ] ] }, "page" : "165-173", "title" : "Specific and non-specific interactions in bacterial adhesion to solid substrata", "type" : "article-journal", "volume" : "46" }, "uris" : [ "http://www.mendeley.com/documents/?uuid=75a43812-2466-449d-83a3-d0deaa338efb" ] } ], "mendeley" : { "formattedCitation" : "[70]", "plainTextFormattedCitation" : "[70]", "previouslyFormattedCitation" : "[70]"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[70]</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although their force decreases with distance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"10.1016/0927-7757(93)80308-2", "ISSN" : "09277757", "author" : [ { "dropping-particle" : "", "family" : "Oss", "given" : "C.J.", "non-dropping-particle" : "van", "parse-names" : false, "suffix" : "" } ], "container-title" : "Colloids and Surfaces A: Physicochemical and Engineering Aspects", "id" : "ITEM-1", "issued" : { "date-parts" : [ [ "1993", "10" ] ] }, "page" : "1-49", "title" : "Acid\u2014base interfacial interactions in aqueous media", "type" : "article-journal", "volume" : "78" }, "uris" : [ "http://www.mendeley.com/documents/?uuid=e55f482c-7ee5-4f8b-a8f7-2743388a4569" ] } ], "mendeley" : { "formattedCitation" : "[71]", "plainTextFormattedCitation" : "[71]", "previouslyFormattedCitation" : "[71]"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[71]</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They can be repulsive or attractive, and take into account the hydrophobicity of surfaces, which has a large influence on initial adhesion</w:t>
      </w:r>
      <w:r w:rsidR="004A725F">
        <w:rPr>
          <w:rFonts w:asciiTheme="minorHAnsi" w:eastAsia="Calibri" w:hAnsiTheme="minorHAnsi" w:cs="Calibri"/>
          <w:color w:val="000000"/>
          <w:sz w:val="22"/>
          <w:szCs w:val="22"/>
          <w:lang w:eastAsia="en-GB"/>
        </w:rPr>
        <w:t xml:space="preserve"> </w:t>
      </w:r>
      <w:r w:rsidR="004A725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"abstract" : "The aim of this paper was to determine the adhesion of two physico-chemically characterized bacterial strains to a surface hydrophilic (CL A, water contact angle 571) and hydrophobic (CL B, water contact angle 1061) hydrogel contact lens (CL) with and without an adsorbed tear film in a parallel plate flow chamber. Hydrophobicity (by water contact angles), charge (by particulate microelectrophoresis) and elemental composition (by XPS) of the surfaces of seven bacterial strains were characterized, after which two strains were selected for further studies. On CL surfaces, hydrophobicity, elemental composition, and mean surface roughness (by AFM) were determined, as well as the protein composition of tear films adsorbed on these lenses (by sodium dodecylsulphate-polyacrylamide gel electrophoresis (SDS-PAGE)). Bacterial cell surfaces were relatively uncharged and water contact angles on lawns of different strains ranged from hydrophobic to hydrophilic. After adsorption of tear film components, N=C elemental surface concentrations increased on CL A and CL B and differences in water contact angles between both lenses reduced to range from 571 (CL A) to 691 (CL B). However, different protein compositions were inferred. The surface roughness of CL A increased from 4 to 13 nm, while it remained 16 nm for CL B. Adhesion of hydrophobic Pseudomonas aeruginosa #3 was more extensive than of hydrophilic Staphylococcus aureus 799, with no differences between both lenses. The hydrophobicity of P. aeruginosa #3 after cell surface damage decreased and its adhesion was reduced on CL A and strongly on CL B. In addition, passage of an air\u2013liquid interface yielded more detachment of S. aureus 799 than of P. aeruginosa #3 from the CL surfaces. In conclusion, the hydrophobicity of CL surfaces dictates the composition of the adsorbed tear film and therewith plays an important role in bacterial adhesion to lenses. Adhesion of hydrophobic P. aeruginosa #3 was more tenacious than of hydrophilic S. aureus 799. r", "author" : [ { "dropping-particle" : "", "family" : "Bruinsma", "given" : "G M", "non-dropping-particle" : "", "parse-names" : false, "suffix" : "" }, { "dropping-particle" : "", "family" : "Mei", "given" : "H C", "non-dropping-particle" : "Van Der", "parse-names" : false, "suffix" : "" }, { "dropping-particle" : "", "family" : "Busscher", "given" : "H J", "non-dropping-particle" : "", "parse-names" : false, "suffix" : "" } ], "container-title" : "Biomaterials", "id" : "ITEM-1", "issued" : { "date-parts" : [ [ "2001" ] ] }, "page" : "3217-3224", "title" : "Bacterial adhesion to surface hydrophilic and hydrophobic contact lenses", "type" : "article-journal", "volume" : "22" }, "uris" : [ "http://www.mendeley.com/documents/?uuid=7e7bfee2-c824-35df-a9bb-572998c8e224" ] } ], "mendeley" : { "formattedCitation" : "[75]", "plainTextFormattedCitation" : "[75]", "previouslyFormattedCitation" : "[75]" }, "properties" : { "noteIndex" : 0 }, "schema" : "https://github.com/citation-style-language/schema/raw/master/csl-citation.json" }</w:instrText>
      </w:r>
      <w:r w:rsidR="004A725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[75]</w:t>
      </w:r>
      <w:r w:rsidR="004A725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1F2573F5" w14:textId="672A04F0"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Hydrophobicity is a physical interfacial force that plays a key role in initial microbial adhesion</w:t>
      </w:r>
      <w:r w:rsidR="00BE1B46">
        <w:rPr>
          <w:rFonts w:asciiTheme="minorHAnsi" w:eastAsia="Calibri" w:hAnsiTheme="minorHAnsi" w:cs="Calibri"/>
          <w:color w:val="000000"/>
          <w:sz w:val="22"/>
          <w:szCs w:val="22"/>
          <w:lang w:eastAsia="en-GB"/>
        </w:rPr>
        <w:t xml:space="preserve">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"10.1021/cr00088a006", "ISSN" : "0009-2665", "author" : [ { "dropping-particle" : "", "family" : "Oss", "given" : "Carel J.", "non-dropping-particle" : "Van", "parse-names" : false, "suffix" : "" }, { "dropping-particle" : "", "family" : "Chaudhury", "given" : "Manoj K.", "non-dropping-particle" : "", "parse-names" : false, "suffix" : "" }, { "dropping-particle" : "", "family" : "Good", "given" : "Robert J.", "non-dropping-particle" : "", "parse-names" : false, "suffix" : "" } ], "container-title" : "Chemical Reviews", "id" : "ITEM-1", "issue" : "6", "issued" : { "date-parts" : [ [ "1988", "9" ] ] }, "page" : "927-941", "title" : "Interfacial Lifshitz-van der Waals and polar interactions in macroscopic systems", "type" : "article-journal", "volume" : "88" }, "uris" : [ "http://www.mendeley.com/documents/?uuid=fa5f49bc-e129-4817-9d97-1b55b85315c6" ] } ], "mendeley" : { "formattedCitation" : "[76]", "plainTextFormattedCitation" : "[76]", "previouslyFormattedCitation" : "[76]"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[76]</w:t>
      </w:r>
      <w:r w:rsidR="00BE1B4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Hydrophobic interactions in aqueous environments arise due to the incapability of apolar molecules to form hydrogen bonds with the sur</w:t>
      </w:r>
      <w:r w:rsidR="00BE1B46">
        <w:rPr>
          <w:rFonts w:asciiTheme="minorHAnsi" w:eastAsia="Calibri" w:hAnsiTheme="minorHAnsi" w:cs="Calibri"/>
          <w:color w:val="000000"/>
          <w:sz w:val="22"/>
          <w:szCs w:val="22"/>
          <w:lang w:eastAsia="en-GB"/>
        </w:rPr>
        <w:t>rounding polar water molecules</w:t>
      </w:r>
      <w:r w:rsidRPr="00C44D8C">
        <w:rPr>
          <w:rFonts w:asciiTheme="minorHAnsi" w:eastAsia="Calibri" w:hAnsiTheme="minorHAnsi" w:cs="Calibri"/>
          <w:color w:val="000000"/>
          <w:sz w:val="22"/>
          <w:szCs w:val="22"/>
          <w:lang w:eastAsia="en-GB"/>
        </w:rPr>
        <w:t>. This is largely a result of the strong tendency of water molecules to form hydrogen bonds with each other and their strong polar energy of cohesion</w:t>
      </w:r>
      <w:r w:rsidR="00BE1B46">
        <w:rPr>
          <w:rFonts w:asciiTheme="minorHAnsi" w:eastAsia="Calibri" w:hAnsiTheme="minorHAnsi" w:cs="Calibri"/>
          <w:color w:val="000000"/>
          <w:sz w:val="22"/>
          <w:szCs w:val="22"/>
          <w:lang w:eastAsia="en-GB"/>
        </w:rPr>
        <w:t xml:space="preserve">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"10.1016/0927-7757(93)80308-2", "ISSN" : "09277757", "author" : [ { "dropping-particle" : "", "family" : "Oss", "given" : "C.J.", "non-dropping-particle" : "van", "parse-names" : false, "suffix" : "" } ], "container-title" : "Colloids and Surfaces A: Physicochemical and Engineering Aspects", "id" : "ITEM-1", "issued" : { "date-parts" : [ [ "1993", "10" ] ] }, "page" : "1-49", "title" : "Acid\u2014base interfacial interactions in aqueous media", "type" : "article-journal", "volume" : "78" }, "uris" : [ "http://www.mendeley.com/documents/?uuid=e55f482c-7ee5-4f8b-a8f7-2743388a4569" ] } ], "mendeley" : { "formattedCitation" : "[71]", "plainTextFormattedCitation" : "[71]", "previouslyFormattedCitation" : "[71]"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[71]</w:t>
      </w:r>
      <w:r w:rsidR="00BE1B4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 presence of ‘hydrophobic’ surfaces in aqueous environments means that there is insufficient hydrogen bonding between the water molecules and the hydrophobic surface. Therefore, such surfaces are regarded as being able to detract water molecules away from the microbe-surface interface and promote microbial adhesion to the surface</w:t>
      </w:r>
      <w:r w:rsidR="00BE1B46">
        <w:rPr>
          <w:rFonts w:asciiTheme="minorHAnsi" w:eastAsia="Calibri" w:hAnsiTheme="minorHAnsi" w:cs="Calibri"/>
          <w:color w:val="000000"/>
          <w:sz w:val="22"/>
          <w:szCs w:val="22"/>
          <w:lang w:eastAsia="en-GB"/>
        </w:rPr>
        <w:t xml:space="preserve">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"10.1016/0378-1097(87)90062-0", "ISSN" : "03781097", "author" : [ { "dropping-particle" : "", "family" : "Busscher", "given" : "H", "non-dropping-particle" : "", "parse-names" : false, "suffix" : "" }, { "dropping-particle" : "", "family" : "Werkamp", "given" : "A H", "non-dropping-particle" : "", "parse-names" : false, "suffix" : "" } ], "container-title" : "FEMS Microbiology Reviews", "id" : "ITEM-1", "issue" : "2", "issued" : { "date-parts" : [ [ "1987", "6" ] ] }, "page" : "165-173", "title" : "Specific and non-specific interactions in bacterial adhesion to solid substrata", "type" : "article-journal", "volume" : "46" }, "uris" : [ "http://www.mendeley.com/documents/?uuid=f1943176-2dd8-486f-863f-481adeacce68" ] }, { "id" : "ITEM-2", "itemData" : { "DOI" : "10.1557/mrs.2011.65.Physicochemical", "author" : [ { "dropping-particle" : "", "family" : "Renner, L.D., Weibel", "given" : "D.B.", "non-dropping-particle" : "", "parse-names" : false, "suffix" : "" } ], "container-title" : "MRS Bull", "id" : "ITEM-2", "issue" : "5", "issued" : { "date-parts" : [ [ "2011" ] ] }, "page" : "347-355", "title" : "Physicochemical regulation of biofilm formation", "type" : "article-journal", "volume" : "36" }, "uris" : [ "http://www.mendeley.com/documents/?uuid=af5d872d-ec23-48e5-b7ce-b3c5845a2039" ] }, { "id" : "ITEM-3", "itemData" : { "DOI" : "10.1016/0927-7757(93)80308-2", "ISSN" : "09277757", "author" : [ { "dropping-particle" : "", "family" : "Oss", "given" : "C.J.", "non-dropping-particle" : "van", "parse-names" : false, "suffix" : "" } ], "container-title" : "Colloids and Surfaces A: Physicochemical and Engineering Aspects", "id" : "ITEM-3", "issued" : { "date-parts" : [ [ "1993", "10" ] ] }, "page" : "1-49", "title" : "Acid\u2014base interfacial interactions in aqueous media", "type" : "article-journal", "volume" : "78" }, "uris" : [ "http://www.mendeley.com/documents/?uuid=e55f482c-7ee5-4f8b-a8f7-2743388a4569" ] } ], "mendeley" : { "formattedCitation" : "[67,71,77]", "plainTextFormattedCitation" : "[67,71,77]", "previouslyFormattedCitation" : "[67,71,77]"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[67,71,77]</w:t>
      </w:r>
      <w:r w:rsidR="00BE1B46">
        <w:rPr>
          <w:rFonts w:asciiTheme="minorHAnsi" w:eastAsia="Calibri" w:hAnsiTheme="minorHAnsi" w:cs="Calibri"/>
          <w:color w:val="000000"/>
          <w:sz w:val="22"/>
          <w:szCs w:val="22"/>
          <w:lang w:eastAsia="en-GB"/>
        </w:rPr>
        <w:fldChar w:fldCharType="end"/>
      </w:r>
      <w:r w:rsidR="00BE1B46">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Hydrophobicity stems from Lewis acid-base interactions and are reported to act over a long-range of up to a distance of 80 nm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"10.1016/0927-7757(93)80308-2", "ISSN" : "09277757", "author" : [ { "dropping-particle" : "", "family" : "Oss", "given" : "C.J.", "non-dropping-particle" : "van", "parse-names" : false, "suffix" : "" } ], "container-title" : "Colloids and Surfaces A: Physicochemical and Engineering Aspects", "id" : "ITEM-1", "issued" : { "date-parts" : [ [ "1993", "10" ] ] }, "page" : "1-49", "title" : "Acid\u2014base interfacial interactions in aqueous media", "type" : "article-journal", "volume" : "78" }, "uris" : [ "http://www.mendeley.com/documents/?uuid=e55f482c-7ee5-4f8b-a8f7-2743388a4569" ] } ], "mendeley" : { "formattedCitation" : "[71]", "plainTextFormattedCitation" : "[71]", "previouslyFormattedCitation" : "[71]"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[71]</w:t>
      </w:r>
      <w:r w:rsidR="00BE1B4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They are generally attractive interfacial forces, with a force of up to two decimal orders of magnitude higher than the van der Waals and electrostatic interactions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"id" : "ITEM-2", "itemData" : { "DOI" : "10.1021/cr00088a006", "ISSN" : "0009-2665", "author" : [ { "dropping-particle" : "", "family" : "Oss", "given" : "Carel J.", "non-dropping-particle" : "Van", "parse-names" : false, "suffix" : "" }, { "dropping-particle" : "", "family" : "Chaudhury", "given" : "Manoj K.", "non-dropping-particle" : "", "parse-names" : false, "suffix" : "" }, { "dropping-particle" : "", "family" : "Good", "given" : "Robert J.", "non-dropping-particle" : "", "parse-names" : false, "suffix" : "" } ], "container-title" : "Chemical Reviews", "id" : "ITEM-2", "issue" : "6", "issued" : { "date-parts" : [ [ "1988", "9" ] ] }, "page" : "927-941", "title" : "Interfacial Lifshitz-van der Waals and polar interactions in macroscopic systems", "type" : "article-journal", "volume" : "88" }, "uris" : [ "http://www.mendeley.com/documents/?uuid=fa5f49bc-e129-4817-9d97-1b55b85315c6" ] } ], "mendeley" : { "formattedCitation" : "[76,78]", "plainTextFormattedCitation" : "[76,78]", "previouslyFormattedCitation" : "[76,78]"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[76,78]</w:t>
      </w:r>
      <w:r w:rsidR="00BE1B46">
        <w:rPr>
          <w:rFonts w:asciiTheme="minorHAnsi" w:eastAsia="Calibri" w:hAnsiTheme="minorHAnsi" w:cs="Calibri"/>
          <w:color w:val="000000"/>
          <w:sz w:val="22"/>
          <w:szCs w:val="22"/>
          <w:lang w:eastAsia="en-GB"/>
        </w:rPr>
        <w:fldChar w:fldCharType="end"/>
      </w:r>
      <w:r w:rsidR="00BE1B46">
        <w:rPr>
          <w:rFonts w:asciiTheme="minorHAnsi" w:eastAsia="Calibri" w:hAnsiTheme="minorHAnsi" w:cs="Calibri"/>
          <w:color w:val="000000"/>
          <w:sz w:val="22"/>
          <w:szCs w:val="22"/>
          <w:lang w:eastAsia="en-GB"/>
        </w:rPr>
        <w:t xml:space="preserve">. </w:t>
      </w:r>
    </w:p>
    <w:p w14:paraId="589A9502" w14:textId="3AF643E7" w:rsidR="00AB0CFE"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Despite understanding the main interfacial interactions governing adhesion between a microbial and abiotic surface, the process of initial adhesion cannot be fully described in terms of these interfacial interactions. The process of initial adhesion is further complicated by the heterogeneous nature of the microbial surface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BE1B4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Far from being a </w:t>
      </w:r>
      <w:r w:rsidRPr="00C44D8C">
        <w:rPr>
          <w:rFonts w:asciiTheme="minorHAnsi" w:eastAsia="Calibri" w:hAnsiTheme="minorHAnsi" w:cs="Calibri"/>
          <w:color w:val="000000"/>
          <w:sz w:val="22"/>
          <w:szCs w:val="22"/>
          <w:lang w:eastAsia="en-GB"/>
        </w:rPr>
        <w:lastRenderedPageBreak/>
        <w:t xml:space="preserve">rigid and homogeneously smooth surface, </w:t>
      </w:r>
      <w:r w:rsidR="002867AE">
        <w:rPr>
          <w:rFonts w:asciiTheme="minorHAnsi" w:eastAsia="Calibri" w:hAnsiTheme="minorHAnsi" w:cs="Calibri"/>
          <w:color w:val="000000"/>
          <w:sz w:val="22"/>
          <w:szCs w:val="22"/>
          <w:lang w:eastAsia="en-GB"/>
        </w:rPr>
        <w:t>microbial</w:t>
      </w:r>
      <w:r w:rsidRPr="00C44D8C">
        <w:rPr>
          <w:rFonts w:asciiTheme="minorHAnsi" w:eastAsia="Calibri" w:hAnsiTheme="minorHAnsi" w:cs="Calibri"/>
          <w:color w:val="000000"/>
          <w:sz w:val="22"/>
          <w:szCs w:val="22"/>
          <w:lang w:eastAsia="en-GB"/>
        </w:rPr>
        <w:t xml:space="preserve"> cells are covered by any number of surface structures</w:t>
      </w:r>
      <w:r w:rsidR="00BB3D6F">
        <w:rPr>
          <w:rFonts w:asciiTheme="minorHAnsi" w:eastAsia="Calibri" w:hAnsiTheme="minorHAnsi" w:cs="Calibri"/>
          <w:color w:val="000000"/>
          <w:sz w:val="22"/>
          <w:szCs w:val="22"/>
          <w:lang w:eastAsia="en-GB"/>
        </w:rPr>
        <w:t>, appendages</w:t>
      </w:r>
      <w:r w:rsidRPr="00C44D8C">
        <w:rPr>
          <w:rFonts w:asciiTheme="minorHAnsi" w:eastAsia="Calibri" w:hAnsiTheme="minorHAnsi" w:cs="Calibri"/>
          <w:color w:val="000000"/>
          <w:sz w:val="22"/>
          <w:szCs w:val="22"/>
          <w:lang w:eastAsia="en-GB"/>
        </w:rPr>
        <w:t xml:space="preserve"> and functional groups, such as polysaccharides, lipids, surface-bound proteins, flagella and pili, to name a few</w:t>
      </w:r>
      <w:r w:rsidR="00BE1B46">
        <w:rPr>
          <w:rFonts w:asciiTheme="minorHAnsi" w:eastAsia="Calibri" w:hAnsiTheme="minorHAnsi" w:cs="Calibri"/>
          <w:color w:val="000000"/>
          <w:sz w:val="22"/>
          <w:szCs w:val="22"/>
          <w:lang w:eastAsia="en-GB"/>
        </w:rPr>
        <w:t xml:space="preserve">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"id" : "ITEM-2",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"ITEM-2",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"[69,79]", "plainTextFormattedCitation" : "[69,79]", "previouslyFormattedCitation" : "[69,79]"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[69,79]</w:t>
      </w:r>
      <w:r w:rsidR="00BE1B46">
        <w:rPr>
          <w:rFonts w:asciiTheme="minorHAnsi" w:eastAsia="Calibri" w:hAnsiTheme="minorHAnsi" w:cs="Calibri"/>
          <w:color w:val="000000"/>
          <w:sz w:val="22"/>
          <w:szCs w:val="22"/>
          <w:lang w:eastAsia="en-GB"/>
        </w:rPr>
        <w:fldChar w:fldCharType="end"/>
      </w:r>
      <w:r w:rsidR="00BE1B46">
        <w:rPr>
          <w:rFonts w:asciiTheme="minorHAnsi" w:eastAsia="Calibri" w:hAnsiTheme="minorHAnsi" w:cs="Calibri"/>
          <w:color w:val="000000"/>
          <w:sz w:val="22"/>
          <w:szCs w:val="22"/>
          <w:lang w:eastAsia="en-GB"/>
        </w:rPr>
        <w:t>.</w:t>
      </w:r>
      <w:r w:rsidR="00BB3D6F">
        <w:rPr>
          <w:rFonts w:asciiTheme="minorHAnsi" w:eastAsia="Calibri" w:hAnsiTheme="minorHAnsi" w:cs="Calibri"/>
          <w:color w:val="000000"/>
          <w:sz w:val="22"/>
          <w:szCs w:val="22"/>
          <w:lang w:eastAsia="en-GB"/>
        </w:rPr>
        <w:t xml:space="preserve"> This surface appendage topography is far from smooth, and previous studies have recognised the imp</w:t>
      </w:r>
      <w:r w:rsidR="00AB0CFE">
        <w:rPr>
          <w:rFonts w:asciiTheme="minorHAnsi" w:eastAsia="Calibri" w:hAnsiTheme="minorHAnsi" w:cs="Calibri"/>
          <w:color w:val="000000"/>
          <w:sz w:val="22"/>
          <w:szCs w:val="22"/>
          <w:lang w:eastAsia="en-GB"/>
        </w:rPr>
        <w:t xml:space="preserve">ortance of </w:t>
      </w:r>
      <w:r w:rsidR="00BB3D6F">
        <w:rPr>
          <w:rFonts w:asciiTheme="minorHAnsi" w:eastAsia="Calibri" w:hAnsiTheme="minorHAnsi" w:cs="Calibri"/>
          <w:color w:val="000000"/>
          <w:sz w:val="22"/>
          <w:szCs w:val="22"/>
          <w:lang w:eastAsia="en-GB"/>
        </w:rPr>
        <w:t xml:space="preserve"> s</w:t>
      </w:r>
      <w:r w:rsidR="00BB3D6F" w:rsidRPr="00BB3D6F">
        <w:rPr>
          <w:rFonts w:asciiTheme="minorHAnsi" w:eastAsia="Calibri" w:hAnsiTheme="minorHAnsi" w:cs="Calibri"/>
          <w:color w:val="000000"/>
          <w:sz w:val="22"/>
          <w:szCs w:val="22"/>
          <w:lang w:eastAsia="en-GB"/>
        </w:rPr>
        <w:t xml:space="preserve">urface roughness </w:t>
      </w:r>
      <w:r w:rsidR="00BB3D6F">
        <w:rPr>
          <w:rFonts w:asciiTheme="minorHAnsi" w:eastAsia="Calibri" w:hAnsiTheme="minorHAnsi" w:cs="Calibri"/>
          <w:color w:val="000000"/>
          <w:sz w:val="22"/>
          <w:szCs w:val="22"/>
          <w:lang w:eastAsia="en-GB"/>
        </w:rPr>
        <w:t xml:space="preserve">in microbial adhesion </w:t>
      </w:r>
      <w:r w:rsidR="00BB3D6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"10.1557/mrs.2011.65.Physicochemical", "author" : [ { "dropping-particle" : "", "family" : "Renner, L.D., Weibel", "given" : "D.B.", "non-dropping-particle" : "", "parse-names" : false, "suffix" : "" } ], "container-title" : "MRS Bull.", "id" : "ITEM-1", "issue" : "5", "issued" : { "date-parts" : [ [ "2011" ] ] }, "page" : "347-355", "title" : "Physicochemical regulation of biofilm formation", "type" : "article-journal", "volume" : "36" }, "uris" : [ "http://www.mendeley.com/documents/?uuid=fe7686ca-3a05-43e1-a6b2-188b9a4dc1d5" ] } ], "mendeley" : { "formattedCitation" : "[80]", "plainTextFormattedCitation" : "[80]", "previouslyFormattedCitation" : "[80]" }, "properties" : { "noteIndex" : 0 }, "schema" : "https://github.com/citation-style-language/schema/raw/master/csl-citation.json" }</w:instrText>
      </w:r>
      <w:r w:rsidR="00BB3D6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[80]</w:t>
      </w:r>
      <w:r w:rsidR="00BB3D6F">
        <w:rPr>
          <w:rFonts w:asciiTheme="minorHAnsi" w:eastAsia="Calibri" w:hAnsiTheme="minorHAnsi" w:cs="Calibri"/>
          <w:color w:val="000000"/>
          <w:sz w:val="22"/>
          <w:szCs w:val="22"/>
          <w:lang w:eastAsia="en-GB"/>
        </w:rPr>
        <w:fldChar w:fldCharType="end"/>
      </w:r>
      <w:r w:rsidR="00BB3D6F">
        <w:rPr>
          <w:rFonts w:asciiTheme="minorHAnsi" w:eastAsia="Calibri" w:hAnsiTheme="minorHAnsi" w:cs="Calibri"/>
          <w:color w:val="000000"/>
          <w:sz w:val="22"/>
          <w:szCs w:val="22"/>
          <w:lang w:eastAsia="en-GB"/>
        </w:rPr>
        <w:t xml:space="preserve">. </w:t>
      </w:r>
      <w:r w:rsidR="00AB0CFE" w:rsidRPr="00AB0CFE">
        <w:rPr>
          <w:rFonts w:asciiTheme="minorHAnsi" w:eastAsia="Calibri" w:hAnsiTheme="minorHAnsi" w:cs="Calibri"/>
          <w:color w:val="000000"/>
          <w:sz w:val="22"/>
          <w:szCs w:val="22"/>
          <w:lang w:eastAsia="en-GB"/>
        </w:rPr>
        <w:t xml:space="preserve">This may happen </w:t>
      </w:r>
      <w:r w:rsidR="00AB0CFE">
        <w:rPr>
          <w:rFonts w:asciiTheme="minorHAnsi" w:eastAsia="Calibri" w:hAnsiTheme="minorHAnsi" w:cs="Calibri"/>
          <w:color w:val="000000"/>
          <w:sz w:val="22"/>
          <w:szCs w:val="22"/>
          <w:lang w:eastAsia="en-GB"/>
        </w:rPr>
        <w:t>due to a</w:t>
      </w:r>
      <w:r w:rsidR="00AB0CFE" w:rsidRPr="00AB0CFE">
        <w:rPr>
          <w:rFonts w:asciiTheme="minorHAnsi" w:eastAsia="Calibri" w:hAnsiTheme="minorHAnsi" w:cs="Calibri"/>
          <w:color w:val="000000"/>
          <w:sz w:val="22"/>
          <w:szCs w:val="22"/>
          <w:lang w:eastAsia="en-GB"/>
        </w:rPr>
        <w:t xml:space="preserve"> rough surface </w:t>
      </w:r>
      <w:r w:rsidR="00AB0CFE">
        <w:rPr>
          <w:rFonts w:asciiTheme="minorHAnsi" w:eastAsia="Calibri" w:hAnsiTheme="minorHAnsi" w:cs="Calibri"/>
          <w:color w:val="000000"/>
          <w:sz w:val="22"/>
          <w:szCs w:val="22"/>
          <w:lang w:eastAsia="en-GB"/>
        </w:rPr>
        <w:t xml:space="preserve">having a </w:t>
      </w:r>
      <w:r w:rsidR="00AB0CFE" w:rsidRPr="00AB0CFE">
        <w:rPr>
          <w:rFonts w:asciiTheme="minorHAnsi" w:eastAsia="Calibri" w:hAnsiTheme="minorHAnsi" w:cs="Calibri"/>
          <w:color w:val="000000"/>
          <w:sz w:val="22"/>
          <w:szCs w:val="22"/>
          <w:lang w:eastAsia="en-GB"/>
        </w:rPr>
        <w:t xml:space="preserve">greater surface area and </w:t>
      </w:r>
      <w:r w:rsidR="00AB0CFE">
        <w:rPr>
          <w:rFonts w:asciiTheme="minorHAnsi" w:eastAsia="Calibri" w:hAnsiTheme="minorHAnsi" w:cs="Calibri"/>
          <w:color w:val="000000"/>
          <w:sz w:val="22"/>
          <w:szCs w:val="22"/>
          <w:lang w:eastAsia="en-GB"/>
        </w:rPr>
        <w:t xml:space="preserve">the presence of surface </w:t>
      </w:r>
      <w:r w:rsidR="00AB0CFE" w:rsidRPr="00AB0CFE">
        <w:rPr>
          <w:rFonts w:asciiTheme="minorHAnsi" w:eastAsia="Calibri" w:hAnsiTheme="minorHAnsi" w:cs="Calibri"/>
          <w:color w:val="000000"/>
          <w:sz w:val="22"/>
          <w:szCs w:val="22"/>
          <w:lang w:eastAsia="en-GB"/>
        </w:rPr>
        <w:t xml:space="preserve">depressions </w:t>
      </w:r>
      <w:r w:rsidR="00AB0CFE">
        <w:rPr>
          <w:rFonts w:asciiTheme="minorHAnsi" w:eastAsia="Calibri" w:hAnsiTheme="minorHAnsi" w:cs="Calibri"/>
          <w:color w:val="000000"/>
          <w:sz w:val="22"/>
          <w:szCs w:val="22"/>
          <w:lang w:eastAsia="en-GB"/>
        </w:rPr>
        <w:t xml:space="preserve">for favourable attachment </w:t>
      </w:r>
      <w:r w:rsidR="00AB0CFE">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"ISSN" : "1473-2262", "PMID" : "15593018", "abstract" : "This article reviews the mechanisms of bacterial adhesion to biomaterial surfaces, the factors affecting the adhesion, the techniques used in estimating bacteria-material interactions and the models that have been developed in order to predict adhesion. The process of bacterial adhesion includes an initial physicochemical interaction phase and a late molecular and cellular one. It is a complicated process influenced by many factors, including the bacterial properties, the material surface characteristics, the environmental factors, such as the presence of serum proteins and the associated flow conditions. Two categories of techniques used in estimating bacteria-material interactions are described: those that utilize fluid flowing against the adhered bacteria and counting the percentage of bacteria that detach, and those that manipulate single bacteria in various configurations which lend themselves to more specific force application and provide the basis for theoretical analysis of the receptor-ligand interactions. The theories that are reviewed are the Derjaguin-Landau-Verwey-Overbeek (DLVO) theory, the thermodynamic approach and the extended DLVO theory. Over the years, significant work has been done to investigate the process of bacterial adhesion to biomaterial surfaces, however a lot of questions still remain unanswered.", "author" : [ { "dropping-particle" : "", "family" : "Katsikogianni", "given" : "M", "non-dropping-particle" : "", "parse-names" : false, "suffix" : "" }, { "dropping-particle" : "", "family" : "Missirlis", "given" : "Y F", "non-dropping-particle" : "", "parse-names" : false, "suffix" : "" } ], "container-title" : "European cells &amp; materials", "id" : "ITEM-1", "issued" : { "date-parts" : [ [ "2004", "12", "7" ] ] }, "page" : "37-57", "title" : "Concise review of mechanisms of bacterial adhesion to biomaterials and of techniques used in estimating bacteria-material interactions.", "type" : "article-journal", "volume" : "8" }, "uris" : [ "http://www.mendeley.com/documents/?uuid=4eda8098-d6b0-46bf-a937-897b50c8ad2c" ] } ], "mendeley" : { "formattedCitation" : "[66]", "plainTextFormattedCitation" : "[66]", "previouslyFormattedCitation" : "[66]" }, "properties" : { "noteIndex" : 0 }, "schema" : "https://github.com/citation-style-language/schema/raw/master/csl-citation.json" }</w:instrText>
      </w:r>
      <w:r w:rsidR="00AB0CFE">
        <w:rPr>
          <w:rFonts w:asciiTheme="minorHAnsi" w:eastAsia="Calibri" w:hAnsiTheme="minorHAnsi" w:cs="Calibri"/>
          <w:color w:val="000000"/>
          <w:sz w:val="22"/>
          <w:szCs w:val="22"/>
          <w:lang w:eastAsia="en-GB"/>
        </w:rPr>
        <w:fldChar w:fldCharType="separate"/>
      </w:r>
      <w:r w:rsidR="00AB0CFE" w:rsidRPr="00AB0CFE">
        <w:rPr>
          <w:rFonts w:asciiTheme="minorHAnsi" w:eastAsia="Calibri" w:hAnsiTheme="minorHAnsi" w:cs="Calibri"/>
          <w:noProof/>
          <w:color w:val="000000"/>
          <w:sz w:val="22"/>
          <w:szCs w:val="22"/>
          <w:lang w:eastAsia="en-GB"/>
        </w:rPr>
        <w:t>[66]</w:t>
      </w:r>
      <w:r w:rsidR="00AB0CFE">
        <w:rPr>
          <w:rFonts w:asciiTheme="minorHAnsi" w:eastAsia="Calibri" w:hAnsiTheme="minorHAnsi" w:cs="Calibri"/>
          <w:color w:val="000000"/>
          <w:sz w:val="22"/>
          <w:szCs w:val="22"/>
          <w:lang w:eastAsia="en-GB"/>
        </w:rPr>
        <w:fldChar w:fldCharType="end"/>
      </w:r>
      <w:r w:rsidR="00AB0CFE">
        <w:rPr>
          <w:rFonts w:asciiTheme="minorHAnsi" w:eastAsia="Calibri" w:hAnsiTheme="minorHAnsi" w:cs="Calibri"/>
          <w:color w:val="000000"/>
          <w:sz w:val="22"/>
          <w:szCs w:val="22"/>
          <w:lang w:eastAsia="en-GB"/>
        </w:rPr>
        <w:t xml:space="preserve">. However, </w:t>
      </w:r>
      <w:r w:rsidR="00BB3D6F" w:rsidRPr="00BB3D6F">
        <w:rPr>
          <w:rFonts w:asciiTheme="minorHAnsi" w:eastAsia="Calibri" w:hAnsiTheme="minorHAnsi" w:cs="Calibri"/>
          <w:color w:val="000000"/>
          <w:sz w:val="22"/>
          <w:szCs w:val="22"/>
          <w:lang w:eastAsia="en-GB"/>
        </w:rPr>
        <w:t xml:space="preserve">the mechanisms by which surface </w:t>
      </w:r>
      <w:r w:rsidR="00AB0CFE">
        <w:rPr>
          <w:rFonts w:asciiTheme="minorHAnsi" w:eastAsia="Calibri" w:hAnsiTheme="minorHAnsi" w:cs="Calibri"/>
          <w:color w:val="000000"/>
          <w:sz w:val="22"/>
          <w:szCs w:val="22"/>
          <w:lang w:eastAsia="en-GB"/>
        </w:rPr>
        <w:t>roughness</w:t>
      </w:r>
      <w:r w:rsidR="00BB3D6F" w:rsidRPr="00BB3D6F">
        <w:rPr>
          <w:rFonts w:asciiTheme="minorHAnsi" w:eastAsia="Calibri" w:hAnsiTheme="minorHAnsi" w:cs="Calibri"/>
          <w:color w:val="000000"/>
          <w:sz w:val="22"/>
          <w:szCs w:val="22"/>
          <w:lang w:eastAsia="en-GB"/>
        </w:rPr>
        <w:t xml:space="preserve"> influence</w:t>
      </w:r>
      <w:r w:rsidR="00AB0CFE">
        <w:rPr>
          <w:rFonts w:asciiTheme="minorHAnsi" w:eastAsia="Calibri" w:hAnsiTheme="minorHAnsi" w:cs="Calibri"/>
          <w:color w:val="000000"/>
          <w:sz w:val="22"/>
          <w:szCs w:val="22"/>
          <w:lang w:eastAsia="en-GB"/>
        </w:rPr>
        <w:t xml:space="preserve">s microbial adhesion are still not well understood </w:t>
      </w:r>
      <w:r w:rsidR="00AB0CFE">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"10.1557/mrs.2011.65.Physicochemical", "author" : [ { "dropping-particle" : "", "family" : "Renner, L.D., Weibel", "given" : "D.B.", "non-dropping-particle" : "", "parse-names" : false, "suffix" : "" } ], "container-title" : "MRS Bull.", "id" : "ITEM-1", "issue" : "5", "issued" : { "date-parts" : [ [ "2011" ] ] }, "page" : "347-355", "title" : "Physicochemical regulation of biofilm formation", "type" : "article-journal", "volume" : "36" }, "uris" : [ "http://www.mendeley.com/documents/?uuid=fe7686ca-3a05-43e1-a6b2-188b9a4dc1d5" ] } ], "mendeley" : { "formattedCitation" : "[80]", "plainTextFormattedCitation" : "[80]", "previouslyFormattedCitation" : "[80]" }, "properties" : { "noteIndex" : 0 }, "schema" : "https://github.com/citation-style-language/schema/raw/master/csl-citation.json" }</w:instrText>
      </w:r>
      <w:r w:rsidR="00AB0CFE">
        <w:rPr>
          <w:rFonts w:asciiTheme="minorHAnsi" w:eastAsia="Calibri" w:hAnsiTheme="minorHAnsi" w:cs="Calibri"/>
          <w:color w:val="000000"/>
          <w:sz w:val="22"/>
          <w:szCs w:val="22"/>
          <w:lang w:eastAsia="en-GB"/>
        </w:rPr>
        <w:fldChar w:fldCharType="separate"/>
      </w:r>
      <w:r w:rsidR="00AB0CFE" w:rsidRPr="00AB0CFE">
        <w:rPr>
          <w:rFonts w:asciiTheme="minorHAnsi" w:eastAsia="Calibri" w:hAnsiTheme="minorHAnsi" w:cs="Calibri"/>
          <w:noProof/>
          <w:color w:val="000000"/>
          <w:sz w:val="22"/>
          <w:szCs w:val="22"/>
          <w:lang w:eastAsia="en-GB"/>
        </w:rPr>
        <w:t>[80]</w:t>
      </w:r>
      <w:r w:rsidR="00AB0CFE">
        <w:rPr>
          <w:rFonts w:asciiTheme="minorHAnsi" w:eastAsia="Calibri" w:hAnsiTheme="minorHAnsi" w:cs="Calibri"/>
          <w:color w:val="000000"/>
          <w:sz w:val="22"/>
          <w:szCs w:val="22"/>
          <w:lang w:eastAsia="en-GB"/>
        </w:rPr>
        <w:fldChar w:fldCharType="end"/>
      </w:r>
      <w:r w:rsidR="00AB0CFE">
        <w:rPr>
          <w:rFonts w:asciiTheme="minorHAnsi" w:eastAsia="Calibri" w:hAnsiTheme="minorHAnsi" w:cs="Calibri"/>
          <w:color w:val="000000"/>
          <w:sz w:val="22"/>
          <w:szCs w:val="22"/>
          <w:lang w:eastAsia="en-GB"/>
        </w:rPr>
        <w:t>.</w:t>
      </w:r>
      <w:r w:rsidR="00BB3D6F" w:rsidRPr="00BB3D6F">
        <w:rPr>
          <w:rFonts w:asciiTheme="minorHAnsi" w:eastAsia="Calibri" w:hAnsiTheme="minorHAnsi" w:cs="Calibri"/>
          <w:color w:val="000000"/>
          <w:sz w:val="22"/>
          <w:szCs w:val="22"/>
          <w:lang w:eastAsia="en-GB"/>
        </w:rPr>
        <w:t xml:space="preserve"> </w:t>
      </w:r>
    </w:p>
    <w:p w14:paraId="619C2F2A" w14:textId="419EB430" w:rsidR="007D6081" w:rsidRDefault="00AB0CFE" w:rsidP="00AB0CFE">
      <w:pPr>
        <w:spacing w:line="360" w:lineRule="auto"/>
        <w:ind w:firstLine="720"/>
        <w:rPr>
          <w:rFonts w:asciiTheme="minorHAnsi" w:eastAsia="Calibri" w:hAnsiTheme="minorHAnsi" w:cs="Calibri"/>
          <w:color w:val="000000"/>
          <w:sz w:val="22"/>
          <w:szCs w:val="22"/>
          <w:lang w:eastAsia="en-GB"/>
        </w:rPr>
      </w:pPr>
      <w:r>
        <w:rPr>
          <w:rFonts w:asciiTheme="minorHAnsi" w:eastAsia="Calibri" w:hAnsiTheme="minorHAnsi" w:cs="Calibri"/>
          <w:color w:val="000000"/>
          <w:sz w:val="22"/>
          <w:szCs w:val="22"/>
          <w:lang w:eastAsia="en-GB"/>
        </w:rPr>
        <w:t xml:space="preserve">These cell </w:t>
      </w:r>
      <w:r w:rsidR="00436CD0" w:rsidRPr="00C44D8C">
        <w:rPr>
          <w:rFonts w:asciiTheme="minorHAnsi" w:eastAsia="Calibri" w:hAnsiTheme="minorHAnsi" w:cs="Calibri"/>
          <w:color w:val="000000"/>
          <w:sz w:val="22"/>
          <w:szCs w:val="22"/>
          <w:lang w:eastAsia="en-GB"/>
        </w:rPr>
        <w:t>surface structures and molecular groups can</w:t>
      </w:r>
      <w:r>
        <w:rPr>
          <w:rFonts w:asciiTheme="minorHAnsi" w:eastAsia="Calibri" w:hAnsiTheme="minorHAnsi" w:cs="Calibri"/>
          <w:color w:val="000000"/>
          <w:sz w:val="22"/>
          <w:szCs w:val="22"/>
          <w:lang w:eastAsia="en-GB"/>
        </w:rPr>
        <w:t xml:space="preserve"> also</w:t>
      </w:r>
      <w:r w:rsidR="00BB3D6F">
        <w:rPr>
          <w:rFonts w:asciiTheme="minorHAnsi" w:eastAsia="Calibri" w:hAnsiTheme="minorHAnsi" w:cs="Calibri"/>
          <w:color w:val="000000"/>
          <w:sz w:val="22"/>
          <w:szCs w:val="22"/>
          <w:lang w:eastAsia="en-GB"/>
        </w:rPr>
        <w:t xml:space="preserve"> </w:t>
      </w:r>
      <w:r w:rsidR="00436CD0" w:rsidRPr="00C44D8C">
        <w:rPr>
          <w:rFonts w:asciiTheme="minorHAnsi" w:eastAsia="Calibri" w:hAnsiTheme="minorHAnsi" w:cs="Calibri"/>
          <w:color w:val="000000"/>
          <w:sz w:val="22"/>
          <w:szCs w:val="22"/>
          <w:lang w:eastAsia="en-GB"/>
        </w:rPr>
        <w:t>impart a significant influence on the physicochemical properties of the cell surface, such as the surface charge, surface hydrophobicity and surface free energy</w:t>
      </w:r>
      <w:r w:rsidR="00BE1B46">
        <w:rPr>
          <w:rFonts w:asciiTheme="minorHAnsi" w:eastAsia="Calibri" w:hAnsiTheme="minorHAnsi" w:cs="Calibri"/>
          <w:color w:val="000000"/>
          <w:sz w:val="22"/>
          <w:szCs w:val="22"/>
          <w:lang w:eastAsia="en-GB"/>
        </w:rPr>
        <w:t xml:space="preserve">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"mendeley" : { "formattedCitation" : "[72]", "plainTextFormattedCitation" : "[72]", "previouslyFormattedCitation" : "[72]"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[72]</w:t>
      </w:r>
      <w:r w:rsidR="00BE1B46">
        <w:rPr>
          <w:rFonts w:asciiTheme="minorHAnsi" w:eastAsia="Calibri" w:hAnsiTheme="minorHAnsi" w:cs="Calibri"/>
          <w:color w:val="000000"/>
          <w:sz w:val="22"/>
          <w:szCs w:val="22"/>
          <w:lang w:eastAsia="en-GB"/>
        </w:rPr>
        <w:fldChar w:fldCharType="end"/>
      </w:r>
      <w:r w:rsidR="00436CD0" w:rsidRPr="00C44D8C">
        <w:rPr>
          <w:rFonts w:asciiTheme="minorHAnsi" w:eastAsia="Calibri" w:hAnsiTheme="minorHAnsi" w:cs="Calibri"/>
          <w:color w:val="000000"/>
          <w:sz w:val="22"/>
          <w:szCs w:val="22"/>
          <w:lang w:eastAsia="en-GB"/>
        </w:rPr>
        <w:t xml:space="preserve">. </w:t>
      </w:r>
      <w:r>
        <w:rPr>
          <w:rFonts w:asciiTheme="minorHAnsi" w:eastAsia="Calibri" w:hAnsiTheme="minorHAnsi" w:cs="Calibri"/>
          <w:color w:val="000000"/>
          <w:sz w:val="22"/>
          <w:szCs w:val="22"/>
          <w:lang w:eastAsia="en-GB"/>
        </w:rPr>
        <w:t>C</w:t>
      </w:r>
      <w:r w:rsidR="00436CD0" w:rsidRPr="00C44D8C">
        <w:rPr>
          <w:rFonts w:asciiTheme="minorHAnsi" w:eastAsia="Calibri" w:hAnsiTheme="minorHAnsi" w:cs="Calibri"/>
          <w:color w:val="000000"/>
          <w:sz w:val="22"/>
          <w:szCs w:val="22"/>
          <w:lang w:eastAsia="en-GB"/>
        </w:rPr>
        <w:t>hanges in the pH can induce the dissociation or protonation of carboxyl</w:t>
      </w:r>
      <w:r w:rsidR="002867AE">
        <w:rPr>
          <w:rFonts w:asciiTheme="minorHAnsi" w:eastAsia="Calibri" w:hAnsiTheme="minorHAnsi" w:cs="Calibri"/>
          <w:color w:val="000000"/>
          <w:sz w:val="22"/>
          <w:szCs w:val="22"/>
          <w:lang w:eastAsia="en-GB"/>
        </w:rPr>
        <w:t xml:space="preserve"> (COO</w:t>
      </w:r>
      <w:r w:rsidR="002867AE">
        <w:rPr>
          <w:rFonts w:asciiTheme="minorHAnsi" w:eastAsia="Calibri" w:hAnsiTheme="minorHAnsi" w:cs="Calibri"/>
          <w:color w:val="000000"/>
          <w:sz w:val="22"/>
          <w:szCs w:val="22"/>
          <w:vertAlign w:val="superscript"/>
          <w:lang w:eastAsia="en-GB"/>
        </w:rPr>
        <w:t>-</w:t>
      </w:r>
      <w:r w:rsidR="002867AE">
        <w:rPr>
          <w:rFonts w:asciiTheme="minorHAnsi" w:eastAsia="Calibri" w:hAnsiTheme="minorHAnsi" w:cs="Calibri"/>
          <w:color w:val="000000"/>
          <w:sz w:val="22"/>
          <w:szCs w:val="22"/>
          <w:lang w:eastAsia="en-GB"/>
        </w:rPr>
        <w:t>)</w:t>
      </w:r>
      <w:r w:rsidR="00436CD0" w:rsidRPr="00C44D8C">
        <w:rPr>
          <w:rFonts w:asciiTheme="minorHAnsi" w:eastAsia="Calibri" w:hAnsiTheme="minorHAnsi" w:cs="Calibri"/>
          <w:color w:val="000000"/>
          <w:sz w:val="22"/>
          <w:szCs w:val="22"/>
          <w:lang w:eastAsia="en-GB"/>
        </w:rPr>
        <w:t xml:space="preserve">, phosphate and amino surface functional groups on the microbial and abiotic surface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"mendeley" : { "formattedCitation" : "[72]", "plainTextFormattedCitation" : "[72]", "previouslyFormattedCitation" : "[72]"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[72]</w:t>
      </w:r>
      <w:r w:rsidR="00BE1B46">
        <w:rPr>
          <w:rFonts w:asciiTheme="minorHAnsi" w:eastAsia="Calibri" w:hAnsiTheme="minorHAnsi" w:cs="Calibri"/>
          <w:color w:val="000000"/>
          <w:sz w:val="22"/>
          <w:szCs w:val="22"/>
          <w:lang w:eastAsia="en-GB"/>
        </w:rPr>
        <w:fldChar w:fldCharType="end"/>
      </w:r>
      <w:r w:rsidR="00436CD0" w:rsidRPr="00C44D8C">
        <w:rPr>
          <w:rFonts w:asciiTheme="minorHAnsi" w:eastAsia="Calibri" w:hAnsiTheme="minorHAnsi" w:cs="Calibri"/>
          <w:color w:val="000000"/>
          <w:sz w:val="22"/>
          <w:szCs w:val="22"/>
          <w:lang w:eastAsia="en-GB"/>
        </w:rPr>
        <w:t xml:space="preserve">, which can significantly alter the surface charge. High ionic strengths can suppress the effect of microbial and abiotic surface charges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BE1B46">
        <w:rPr>
          <w:rFonts w:asciiTheme="minorHAnsi" w:eastAsia="Calibri" w:hAnsiTheme="minorHAnsi" w:cs="Calibri"/>
          <w:color w:val="000000"/>
          <w:sz w:val="22"/>
          <w:szCs w:val="22"/>
          <w:lang w:eastAsia="en-GB"/>
        </w:rPr>
        <w:fldChar w:fldCharType="end"/>
      </w:r>
      <w:r w:rsidR="00436CD0" w:rsidRPr="00C44D8C">
        <w:rPr>
          <w:rFonts w:asciiTheme="minorHAnsi" w:eastAsia="Calibri" w:hAnsiTheme="minorHAnsi" w:cs="Calibri"/>
          <w:color w:val="000000"/>
          <w:sz w:val="22"/>
          <w:szCs w:val="22"/>
          <w:lang w:eastAsia="en-GB"/>
        </w:rPr>
        <w:t>. Various studies have demonstrated a difference in the level of initial attachment and preferential microbial attachment to</w:t>
      </w:r>
      <w:r w:rsidR="00BE1B46">
        <w:rPr>
          <w:rFonts w:asciiTheme="minorHAnsi" w:eastAsia="Calibri" w:hAnsiTheme="minorHAnsi" w:cs="Calibri"/>
          <w:color w:val="000000"/>
          <w:sz w:val="22"/>
          <w:szCs w:val="22"/>
          <w:lang w:eastAsia="en-GB"/>
        </w:rPr>
        <w:t xml:space="preserve"> solid surfaces at specific pHs, </w:t>
      </w:r>
      <w:r w:rsidR="00436CD0" w:rsidRPr="00C44D8C">
        <w:rPr>
          <w:rFonts w:asciiTheme="minorHAnsi" w:eastAsia="Calibri" w:hAnsiTheme="minorHAnsi" w:cs="Calibri"/>
          <w:color w:val="000000"/>
          <w:sz w:val="22"/>
          <w:szCs w:val="22"/>
          <w:lang w:eastAsia="en-GB"/>
        </w:rPr>
        <w:t xml:space="preserve">and at different ionic strengths </w:t>
      </w:r>
      <w:r w:rsidR="00BE1B46">
        <w:rPr>
          <w:rFonts w:asciiTheme="minorHAnsi" w:eastAsia="Calibri" w:hAnsiTheme="minorHAnsi" w:cs="Calibri"/>
          <w:color w:val="000000"/>
          <w:sz w:val="22"/>
          <w:szCs w:val="22"/>
          <w:lang w:eastAsia="en-GB"/>
        </w:rPr>
        <w:fldChar w:fldCharType="begin" w:fldLock="1"/>
      </w:r>
      <w:r>
        <w:rPr>
          <w:rFonts w:asciiTheme="minorHAnsi" w:eastAsia="Calibri" w:hAnsiTheme="minorHAnsi" w:cs="Calibri"/>
          <w:color w:val="000000"/>
          <w:sz w:val="22"/>
          <w:szCs w:val="22"/>
          <w:lang w:eastAsia="en-GB"/>
        </w:rPr>
        <w:instrText>ADDIN CSL_CITATION { "citationItems" : [ { "id" : "ITEM-1", "itemData" : { "DOI" : "10.1016/j.colsurfb.2004.05.006", "ISSN" : "0927-7765", "PMID" : "15261011", "abstract" : "Metal oxides can increase the adhesion of negatively-charged bacteria to surfaces primarily due to their positive charge. However, the hydrophobicity of a metal-oxide surface can also increase adhesion of bacteria. In order to understand the relative contribution of charge and hydrophobicity to bacterial adhesion, we measured the adhesion of 8 strains of bacteria, under conditions of low and high-ionic strength (1 and 100 mM, respectively) to 11 different surfaces and examined adhesion as a function of charge, hydrophobicity (water contact angle) and surface energy. Inorganic surfaces included three uncoated glass surfaces and eight metal-oxide thin films prepared on the upper (non-tin-exposed) side of float glass by chemical vapor deposition. The Gram-negative bacteria differed in lengths of lipopolysaccharides on their outer surface (three Escherichia coli strains), the amounts of exopolysaccharides (two Pseudomonas aeruginosa strains), and their known relative adhesion to sand grains (two Burkholderia cepacia strains). One Gram positive bacterium was also used that had a lower adhesion to glass than these other bacteria (Bacillus subtilis). For all eight bacteria, there was a consistent increase in adhesion between with the type of inorganic surface in the order: float glass exposed to tin (coded here as Si-Sn), glass microscope slide (Si-m), uncoated air-side float glass surface (Si-a), followed by thin films of (Co(1-y-z)Fe(y)Cr(z))3O4, Ti/Fe/O, TiO2, SnO2, SnO2:F, SnO2:Sb, A1(2)O3, and Fe2O3 (the colon indicates metal doping, a slash indicates that the metal is a major component, while the dash is used to distinguish surfaces). Increasing the ionic strength from 1 to 100 mM increased adhesion by a factor of 2.0 +/- 0.6 (73% of the sample results were within the 95% CI) showing electrostatic charge was important in adhesion. However, adhesion was not significantly correlated with bacterial charge and contact angle. Adhesion (A) of the eight strains was significantly (P &lt; 10(-25)) correlated with total adhesion free energy (U) between the bacteria and surface (A = 2162e(-1.8U)). Although the correlation was significant, agreement between the model and data was poor for the low energy surfaces (R2 = 0.68), indicating that better models or additional methods to characterize bacteria and surfaces are still needed to more accurately describe initial bacterial adhesion to inorganic surfaces.", "author" : [ { "dropping-particle" : "", "family" : "Li", "given" : "Baikun", "non-dropping-particle" : "", "parse-names" : false, "suffix" : "" }, { "dropping-particle" : "", "family" : "Logan", "given" : "Bruce E", "non-dropping-particle" : "", "parse-names" : false, "suffix" : "" } ], "container-title" : "Colloids and surfaces. B, Biointerfaces", "id" : "ITEM-1", "issue" : "2", "issued" : { "date-parts" : [ [ "2004", "7", "15" ] ] }, "page" : "81-90", "title" : "Bacterial adhesion to glass and metal-oxide surfaces.", "type" : "article-journal", "volume" : "36" }, "uris" : [ "http://www.mendeley.com/documents/?uuid=764f0666-2ed1-45a4-a189-ecfa827aa04d" ] }, { "id" : "ITEM-2", "itemData" : { "DOI" : "10.1016/j.jcis.2012.08.048", "ISSN" : "1095-7103", "PMID" : "23010316", "abstract" : "The adhesion energies between pathogenic Listeria monocytogenes EGDe to a model surface of silicon nitride were quantified using atomic force microscopy (AFM) in water for cells grown in pure media (as the control) and in media of four different ionic strengths of added NaCl (IS of 0.05 M, 0.1 M, 0.3 M and 0.5 M NaCl). The physiochemical properties of L. monocytogenes EGDe surface brushes were shown to have a strong influence on the adhesion of the microbe to the silicon nitride surface. The transitions in the adhesion energies, physiochemical properties, and the structure of bacterial surface polyelectrolyte brushes were observed for the cells grown in the media of 0.1M added NaCl. Our results suggested that the highest long-range electrostatic repulsion which was partially balanced by the Liftshitz-van der Waals attraction for the cells grown at 0.1M was responsible for the highest energy barrier to adhesion for these cells as predicted by the soft-particle analysis of DLVO theory and the lower adhesion measured by AFM.", "author" : [ { "dropping-particle" : "", "family" : "Gordesli", "given" : "Fatma Pinar", "non-dropping-particle" : "", "parse-names" : false, "suffix" : "" }, { "dropping-particle" : "", "family" : "Abu-Lail", "given" : "Nehal I", "non-dropping-particle" : "", "parse-names" : false, "suffix" : "" } ], "container-title" : "Journal of colloid and interface science", "id" : "ITEM-2", "issue" : "1", "issued" : { "date-parts" : [ [ "2012", "12", "15" ] ] }, "page" : "257-67", "publisher" : "Elsevier Inc.", "title" : "Impact of ionic strength of growth on the physiochemical properties, structure, and adhesion of Listeria monocytogenes polyelectrolyte brushes to a silicon nitride surface in water.", "type" : "article-journal", "volume" : "388" }, "uris" : [ "http://www.mendeley.com/documents/?uuid=511f3bfc-b8d0-46a0-b7e6-cf942917efe7" ] }, { "id" : "ITEM-3", "itemData" : { "DOI" : "10.1016/j.colsurfb.2008.01.012", "ISSN" : "0927-7765", "PMID" : "18313276", "abstract" : "Zeolites adsorb microbial cells on their surfaces and selective adsorption for specific microorganisms was seen with certain zeolites. Tests for the adsorption ability of zeolites were conducted using various established microbial cell lines. Specific cell lines were shown to selectively absorb to certain zeolites, species to species. In order to understand the selectivity of adsorption, we tested adsorption under various pH conditions and determined the zeta-potentials of zeolites and cells. The adsorption of some cell lines depended on the pH, and some microorganisms were preferentially adsorbed at acidic pH. The values of zeta-potentials were used for calculating the electric double layer interaction energy between zeolites and microbial cells. There was a correlation between the experimental adsorption results and the interaction energy. Moreover, we evaluated the surface hydrophobicity of bacterial cells by using the microbial adherence to hydrocarbon (MATH) assay. In addition, we also applied this method for zeolites to quantify relative surface hydrophobicity. As a result, we found a correlation between the adsorption results and the hydrophobicity of bacterial cells and zeolites. These results suggested that adsorption could be explained mainly by electric double layer interactions and hydrophobic interactions. Finally, by using the zeolites Na-BEA and H-Y, we succeeded in clearly separating three representative microbes from a mixture of Escherichia coli, Bacillus subtilis and Staphylococcus aureus. Zeolites could adsorb each of the bacterial cell species with high selectivity even from a mixed suspension. Zeolites can therefore be used as effective carrier materials to provide an easy, rapid and accurate method for cell separation.", "author" : [ { "dropping-particle" : "", "family" : "Kubota", "given" : "Munehiro", "non-dropping-particle" : "", "parse-names" : false, "suffix" : "" }, { "dropping-particle" : "", "family" : "Nakabayashi", "given" : "Tadashi", "non-dropping-particle" : "", "parse-names" : false, "suffix" : "" }, { "dropping-particle" : "", "family" : "Matsumoto", "given" : "Yuki", "non-dropping-particle" : "", "parse-names" : false, "suffix" : "" }, { "dropping-particle" : "", "family" : "Shiomi", "given" : "Tohru", "non-dropping-particle" : "", "parse-names" : false, "suffix" : "" }, { "dropping-particle" : "", "family" : "Yamada", "given" : "Yusuke", "non-dropping-particle" : "", "parse-names" : false, "suffix" : "" }, { "dropping-particle" : "", "family" : "Ino", "given" : "Keita", "non-dropping-particle" : "", "parse-names" : false, "suffix" : "" }, { "dropping-particle" : "", "family" : "Yamanokuchi", "given" : "Hiroyuki", "non-dropping-particle" : "", "parse-names" : false, "suffix" : "" }, { "dropping-particle" : "", "family" : "Matsui", "given" : "Masayoshi", "non-dropping-particle" : "", "parse-names" : false, "suffix" : "" }, { "dropping-particle" : "", "family" : "Tsunoda", "given" : "Tatsuo", "non-dropping-particle" : "", "parse-names" : false, "suffix" : "" }, { "dropping-particle" : "", "family" : "Mizukami", "given" : "Fujio", "non-dropping-particle" : "", "parse-names" : false, "suffix" : "" }, { "dropping-particle" : "", "family" : "Sakaguchi", "given" : "Kengo", "non-dropping-particle" : "", "parse-names" : false, "suffix" : "" } ], "container-title" : "Colloids and surfaces. B, Biointerfaces", "id" : "ITEM-3", "issue" : "1", "issued" : { "date-parts" : [ [ "2008", "6", "15" ] ] }, "page" : "88-97", "title" : "Selective adsorption of bacterial cells onto zeolites.", "type" : "article-journal", "volume" : "64" }, "uris" : [ "http://www.mendeley.com/documents/?uuid=bf43ccfb-6871-4819-b151-e1cb4a0d1171" ] } ], "mendeley" : { "formattedCitation" : "[81\u201383]", "plainTextFormattedCitation" : "[81\u201383]", "previouslyFormattedCitation" : "[81\u201383]"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[81–83]</w:t>
      </w:r>
      <w:r w:rsidR="00BE1B46">
        <w:rPr>
          <w:rFonts w:asciiTheme="minorHAnsi" w:eastAsia="Calibri" w:hAnsiTheme="minorHAnsi" w:cs="Calibri"/>
          <w:color w:val="000000"/>
          <w:sz w:val="22"/>
          <w:szCs w:val="22"/>
          <w:lang w:eastAsia="en-GB"/>
        </w:rPr>
        <w:fldChar w:fldCharType="end"/>
      </w:r>
      <w:r w:rsidR="00BE1B46">
        <w:rPr>
          <w:rFonts w:asciiTheme="minorHAnsi" w:eastAsia="Calibri" w:hAnsiTheme="minorHAnsi" w:cs="Calibri"/>
          <w:color w:val="000000"/>
          <w:sz w:val="22"/>
          <w:szCs w:val="22"/>
          <w:lang w:eastAsia="en-GB"/>
        </w:rPr>
        <w:t xml:space="preserve">. </w:t>
      </w:r>
    </w:p>
    <w:p w14:paraId="59347FFC" w14:textId="73A678AD" w:rsidR="00436CD0" w:rsidRPr="007D6081" w:rsidRDefault="00436CD0" w:rsidP="007D6081">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Therefore, the immediate environment has an influential role on the resultant physicochemical properties of both the microbial and abiotic surface, which in turn, has an effect on the interfacial interactions and initial adhesion</w:t>
      </w:r>
      <w:r w:rsidR="00BE1B46">
        <w:rPr>
          <w:rFonts w:asciiTheme="minorHAnsi" w:eastAsia="Calibri" w:hAnsiTheme="minorHAnsi" w:cs="Calibri"/>
          <w:color w:val="000000"/>
          <w:sz w:val="22"/>
          <w:szCs w:val="22"/>
          <w:lang w:eastAsia="en-GB"/>
        </w:rPr>
        <w:t xml:space="preserve"> </w:t>
      </w:r>
      <w:r w:rsidR="00BE1B46">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"id" : "ITEM-2",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"ITEM-2", "issue" : "1", "issued" : { "date-parts" : [ [ "2003", "5" ] ] }, "page" : "21-38", "title" : "Adhesion of Paenibacillus polymyxa on chalcopyrite and pyrite: surface thermodynamics and extended DLVO theory", "type" : "article-journal", "volume" : "29" }, "uris" : [ "http://www.mendeley.com/documents/?uuid=dc496922-52f3-46dd-b3d5-1df7a00a598f" ] }, { "id" : "ITEM-3",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"ITEM-3", "issue" : "1", "issued" : { "date-parts" : [ [ "2002", "6" ] ] }, "page" : "1-32", "title" : "Electric double layer interactions in bacterial adhesion to surfaces", "type" : "article-journal", "volume" : "47" }, "uris" : [ "http://www.mendeley.com/documents/?uuid=9f7a7ce8-5377-4cc5-a187-a84ad6b0f675" ] } ], "mendeley" : { "formattedCitation" : "[63,69,72]", "plainTextFormattedCitation" : "[63,69,72]", "previouslyFormattedCitation" : "[63,69,72]" }, "properties" : { "noteIndex" : 0 }, "schema" : "https://github.com/citation-style-language/schema/raw/master/csl-citation.json" }</w:instrText>
      </w:r>
      <w:r w:rsidR="00BE1B46">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[63,69,72]</w:t>
      </w:r>
      <w:r w:rsidR="00BE1B46">
        <w:rPr>
          <w:rFonts w:asciiTheme="minorHAnsi" w:eastAsia="Calibri" w:hAnsiTheme="minorHAnsi" w:cs="Calibri"/>
          <w:color w:val="000000"/>
          <w:sz w:val="22"/>
          <w:szCs w:val="22"/>
          <w:lang w:eastAsia="en-GB"/>
        </w:rPr>
        <w:fldChar w:fldCharType="end"/>
      </w:r>
      <w:r w:rsidR="00BE1B46">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With the physicochemical surface properties of both surfaces being in a state of constant flux, this can affect initial adhesion and highlights the complexity of this first step in biofilm formation.</w:t>
      </w:r>
    </w:p>
    <w:p w14:paraId="4E1ED07F" w14:textId="77777777" w:rsidR="00FE1A56" w:rsidRPr="00C44D8C" w:rsidRDefault="00FE1A56" w:rsidP="00436CD0">
      <w:pPr>
        <w:spacing w:line="360" w:lineRule="auto"/>
        <w:ind w:firstLine="720"/>
        <w:rPr>
          <w:rFonts w:asciiTheme="minorHAnsi" w:eastAsia="Arial" w:hAnsiTheme="minorHAnsi" w:cs="Arial"/>
          <w:color w:val="000000"/>
          <w:sz w:val="22"/>
          <w:szCs w:val="22"/>
          <w:lang w:eastAsia="en-GB"/>
        </w:rPr>
      </w:pPr>
    </w:p>
    <w:p w14:paraId="0F316BD6" w14:textId="20ADFC17" w:rsidR="00436CD0" w:rsidRPr="00C44D8C" w:rsidRDefault="00B94D0C" w:rsidP="00B94D0C">
      <w:pPr>
        <w:pStyle w:val="Heading6"/>
        <w:rPr>
          <w:rFonts w:eastAsia="Arial" w:cs="Arial"/>
          <w:lang w:eastAsia="en-GB"/>
        </w:rPr>
      </w:pPr>
      <w:bookmarkStart w:id="48" w:name="_Toc462575265"/>
      <w:r>
        <w:rPr>
          <w:rFonts w:eastAsia="Calibri"/>
          <w:lang w:eastAsia="en-GB"/>
        </w:rPr>
        <w:t>2.3.2</w:t>
      </w:r>
      <w:r w:rsidR="00436CD0" w:rsidRPr="00C44D8C">
        <w:rPr>
          <w:rFonts w:eastAsia="Calibri"/>
          <w:lang w:eastAsia="en-GB"/>
        </w:rPr>
        <w:t>. Irreversible adhesion</w:t>
      </w:r>
      <w:bookmarkEnd w:id="48"/>
      <w:r w:rsidR="00436CD0" w:rsidRPr="00C44D8C">
        <w:rPr>
          <w:rFonts w:eastAsia="Calibri"/>
          <w:lang w:eastAsia="en-GB"/>
        </w:rPr>
        <w:t xml:space="preserve"> </w:t>
      </w:r>
    </w:p>
    <w:p w14:paraId="7602A018" w14:textId="6D240E5B"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second phase of microbial attachment occurs over a longer time-scale and relies on the secretion of a polymeric mixture by the cells themselves, or the use of microbial surface appendages, such as pili and fimbriae </w:t>
      </w:r>
      <w:r w:rsidR="00A97F4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A97F4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to facilitate a more irreversible adhesion of cells to an abiotic surface.  </w:t>
      </w:r>
    </w:p>
    <w:p w14:paraId="5DC4B121" w14:textId="567DE853"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Irreversible adhesion is mainly governed by the cellular secretion of EPS outside the cell, consisting of an external network of polysaccharides, DNA, proteins and amphiphilic molecules</w:t>
      </w:r>
      <w:r w:rsidR="00A97F4F">
        <w:rPr>
          <w:rFonts w:asciiTheme="minorHAnsi" w:eastAsia="Calibri" w:hAnsiTheme="minorHAnsi" w:cs="Calibri"/>
          <w:color w:val="000000"/>
          <w:sz w:val="22"/>
          <w:szCs w:val="22"/>
          <w:lang w:eastAsia="en-GB"/>
        </w:rPr>
        <w:t xml:space="preserve"> </w:t>
      </w:r>
      <w:r w:rsidR="00A97F4F">
        <w:rPr>
          <w:rFonts w:asciiTheme="minorHAnsi" w:eastAsia="Calibri" w:hAnsiTheme="minorHAnsi" w:cs="Calibri"/>
          <w:color w:val="000000"/>
          <w:sz w:val="22"/>
          <w:szCs w:val="22"/>
          <w:lang w:eastAsia="en-GB"/>
        </w:rPr>
        <w:fldChar w:fldCharType="begin" w:fldLock="1"/>
      </w:r>
      <w:r w:rsidR="00A97F4F">
        <w:rPr>
          <w:rFonts w:asciiTheme="minorHAnsi" w:eastAsia="Calibri" w:hAnsiTheme="minorHAnsi" w:cs="Calibri"/>
          <w:color w:val="000000"/>
          <w:sz w:val="22"/>
          <w:szCs w:val="22"/>
          <w:lang w:eastAsia="en-GB"/>
        </w:rPr>
        <w:instrText>ADDIN CSL_CITATION { "citationItems" : [ { "id" : "ITEM-1", "itemData" : { "DOI" : "10.1038/nrmicro2415", "ISSN" : "1740-1534", "PMID" : "20676145", "abstract" :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 "author" : [ { "dropping-particle" : "", "family" : "Flemming", "given" : "Hans-Curt", "non-dropping-particle" : "", "parse-names" : false, "suffix" : "" }, { "dropping-particle" : "", "family" : "Wingender", "given" : "Jost", "non-dropping-particle" : "", "parse-names" : false, "suffix" : "" } ], "container-title" : "Nature reviews. Microbiology", "id" : "ITEM-1", "issue" : "9", "issued" : { "date-parts" : [ [ "2010", "9" ] ] }, "page" : "623-33", "publisher" : "Nature Publishing Group", "title" : "The biofilm matrix.", "type" : "article-journal", "volume" : "8" }, "uris" : [ "http://www.mendeley.com/documents/?uuid=fe9f960b-59a2-4bd8-8a0d-3a3ef1a6a342" ] } ], "mendeley" : { "formattedCitation" : "[23]", "plainTextFormattedCitation" : "[23]", "previouslyFormattedCitation" : "[23]"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A97F4F" w:rsidRPr="00A97F4F">
        <w:rPr>
          <w:rFonts w:asciiTheme="minorHAnsi" w:eastAsia="Calibri" w:hAnsiTheme="minorHAnsi" w:cs="Calibri"/>
          <w:noProof/>
          <w:color w:val="000000"/>
          <w:sz w:val="22"/>
          <w:szCs w:val="22"/>
          <w:lang w:eastAsia="en-GB"/>
        </w:rPr>
        <w:t>[23]</w:t>
      </w:r>
      <w:r w:rsidR="00A97F4F">
        <w:rPr>
          <w:rFonts w:asciiTheme="minorHAnsi" w:eastAsia="Calibri" w:hAnsiTheme="minorHAnsi" w:cs="Calibri"/>
          <w:color w:val="000000"/>
          <w:sz w:val="22"/>
          <w:szCs w:val="22"/>
          <w:lang w:eastAsia="en-GB"/>
        </w:rPr>
        <w:fldChar w:fldCharType="end"/>
      </w:r>
      <w:r w:rsidR="00A97F4F">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EPS is widely recognised to play a role in adhesion, as well as facilitating cell-cell communication, mass transfer of nutrients and substrates within the biofilm, and act as a protective barrier against hostile external environments</w:t>
      </w:r>
      <w:r w:rsidR="00A97F4F">
        <w:rPr>
          <w:rFonts w:asciiTheme="minorHAnsi" w:eastAsia="Calibri" w:hAnsiTheme="minorHAnsi" w:cs="Calibri"/>
          <w:color w:val="000000"/>
          <w:sz w:val="22"/>
          <w:szCs w:val="22"/>
          <w:lang w:eastAsia="en-GB"/>
        </w:rPr>
        <w:t xml:space="preserve"> </w:t>
      </w:r>
      <w:r w:rsidR="00A97F4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"10.1016/j.biotechadv.2009.05.020", "ISSN" : "1873-1899", "PMID" : "19464355", "abstract" : "Microbial granules play an important role in the field of biological wastewater treatment due to their advantages over the conventional sludge flocs, such as a denser and stronger aggregate structure, better settleability and ensured solid-effluent separation, higher biomass concentration, and greater ability to withstand shock loadings. A better understanding of microbial granules may help in engineering biological wastewater treatment systems. Recent studies have greatly expanded our vision over the physicochemical characteristics of microbial granules. This paper provides an up-to-date review on recent work in the understanding of physicochemical characteristics of both anaerobic and aerobic granules with regard to settleability, permeability, morphology, mechanical stability, rheology, porosity, surface adsorbability, surface hydrophobicity and thermodynamics, and extracellular polymeric substances. Our growing knowledge on such characteristics might facilitate the engineering and optimization of microbial granulation as one of the most promising techniques in biological wastewater treatment.", "author" : [ { "dropping-particle" : "", "family" : "Liu", "given" : "Xian-Wei", "non-dropping-particle" : "", "parse-names" : false, "suffix" : "" }, { "dropping-particle" : "", "family" : "Sheng", "given" : "Guo-Ping", "non-dropping-particle" : "", "parse-names" : false, "suffix" : "" }, { "dropping-particle" : "", "family" : "Yu", "given" : "Han-Qing", "non-dropping-particle" : "", "parse-names" : false, "suffix" : "" } ], "container-title" : "Biotechnology advances", "id" : "ITEM-1", "issue" : "6", "issued" : { "date-parts" : [ [ "2009" ] ] }, "page" : "1061-70", "publisher" : "Elsevier Inc.", "title" : "Physicochemical characteristics of microbial granules.", "type" : "article-journal", "volume" : "27" }, "uris" : [ "http://www.mendeley.com/documents/?uuid=04b28dce-d584-46af-98a6-ada902e8b595" ] }, { "id" : "ITEM-2", "itemData" : { "ISSN" : "1350-0872", "PMID" : "11160795", "author" : [ { "dropping-particle" : "", "family" : "Sutherland", "given" : "I", "non-dropping-particle" : "", "parse-names" : false, "suffix" : "" } ], "container-title" : "Microbiology (Reading, England)", "id" : "ITEM-2", "issue" : "Pt 1", "issued" : { "date-parts" : [ [ "2001", "1" ] ] }, "page" : "3-9", "title" : "Biofilm exopolysaccharides: a strong and sticky framework.", "type" : "article-journal", "volume" : "147" }, "uris" : [ "http://www.mendeley.com/documents/?uuid=f90cdf2e-6f01-4f64-9182-74521c4abfe9" ] } ], "mendeley" : { "formattedCitation" : "[84,85]", "plainTextFormattedCitation" : "[84,85]", "previouslyFormattedCitation" : "[84,85]"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[84,85]</w:t>
      </w:r>
      <w:r w:rsidR="00A97F4F">
        <w:rPr>
          <w:rFonts w:asciiTheme="minorHAnsi" w:eastAsia="Calibri" w:hAnsiTheme="minorHAnsi" w:cs="Calibri"/>
          <w:color w:val="000000"/>
          <w:sz w:val="22"/>
          <w:szCs w:val="22"/>
          <w:lang w:eastAsia="en-GB"/>
        </w:rPr>
        <w:fldChar w:fldCharType="end"/>
      </w:r>
      <w:r w:rsidR="00A97F4F">
        <w:rPr>
          <w:rFonts w:asciiTheme="minorHAnsi" w:eastAsia="Calibri" w:hAnsiTheme="minorHAnsi" w:cs="Calibri"/>
          <w:color w:val="000000"/>
          <w:sz w:val="22"/>
          <w:szCs w:val="22"/>
          <w:lang w:eastAsia="en-GB"/>
        </w:rPr>
        <w:t xml:space="preserve">. </w:t>
      </w:r>
    </w:p>
    <w:p w14:paraId="5DCC14EE" w14:textId="7D2F9324"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lastRenderedPageBreak/>
        <w:t xml:space="preserve">EPS production is an important facet of irreversible adhesion to a surface, and provides mechanical stability to mature biofilms by way of intermolecular binding, through </w:t>
      </w:r>
      <w:r w:rsidRPr="00C44D8C">
        <w:rPr>
          <w:rFonts w:asciiTheme="minorHAnsi" w:eastAsia="Arial" w:hAnsiTheme="minorHAnsi" w:cs="Arial"/>
          <w:color w:val="000000"/>
          <w:sz w:val="22"/>
          <w:szCs w:val="22"/>
          <w:lang w:eastAsia="en-GB"/>
        </w:rPr>
        <w:t>electrostatic, polar, van der Waals and hydrogen bonding</w:t>
      </w:r>
      <w:r w:rsidR="00A97F4F">
        <w:rPr>
          <w:rFonts w:asciiTheme="minorHAnsi" w:eastAsia="Arial" w:hAnsiTheme="minorHAnsi" w:cs="Arial"/>
          <w:color w:val="000000"/>
          <w:sz w:val="22"/>
          <w:szCs w:val="22"/>
          <w:lang w:eastAsia="en-GB"/>
        </w:rPr>
        <w:t xml:space="preserve"> </w:t>
      </w:r>
      <w:r w:rsidR="00A97F4F">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"author" : [ { "dropping-particle" : "", "family" : "Mayer", "given" : "C", "non-dropping-particle" : "", "parse-names" : false, "suffix" : "" }, { "dropping-particle" : "", "family" : "Moritz", "given" : "R", "non-dropping-particle" : "", "parse-names" : false, "suffix" : "" }, { "dropping-particle" : "", "family" : "Kirschner", "given" : "C", "non-dropping-particle" : "", "parse-names" : false, "suffix" : "" } ], "container-title" : "International journal of  \u2026", "id" : "ITEM-1", "issued" : { "date-parts" : [ [ "1999" ] ] }, "page" : "3-16", "title" : "The role of intermolecular interactions: studies on model systems for bacterial biofilms", "type" : "article-journal", "volume" : "26" }, "uris" : [ "http://www.mendeley.com/documents/?uuid=722745bd-817e-4dc1-b9de-4fe727783baf" ] } ], "mendeley" : { "formattedCitation" : "[86]", "plainTextFormattedCitation" : "[86]", "previouslyFormattedCitation" : "[86]" }, "properties" : { "noteIndex" : 0 }, "schema" : "https://github.com/citation-style-language/schema/raw/master/csl-citation.json" }</w:instrText>
      </w:r>
      <w:r w:rsidR="00A97F4F">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[86]</w:t>
      </w:r>
      <w:r w:rsidR="00A97F4F">
        <w:rPr>
          <w:rFonts w:asciiTheme="minorHAnsi" w:eastAsia="Arial" w:hAnsiTheme="minorHAnsi" w:cs="Arial"/>
          <w:color w:val="000000"/>
          <w:sz w:val="22"/>
          <w:szCs w:val="22"/>
          <w:lang w:eastAsia="en-GB"/>
        </w:rPr>
        <w:fldChar w:fldCharType="end"/>
      </w:r>
      <w:r w:rsidRPr="00C44D8C">
        <w:rPr>
          <w:rFonts w:asciiTheme="minorHAnsi" w:eastAsia="Arial" w:hAnsiTheme="minorHAnsi" w:cs="Arial"/>
          <w:bCs/>
          <w:i/>
          <w:iCs/>
          <w:color w:val="000000"/>
          <w:sz w:val="22"/>
          <w:szCs w:val="22"/>
          <w:lang w:eastAsia="en-GB"/>
        </w:rPr>
        <w:t xml:space="preserve">. </w:t>
      </w:r>
      <w:r w:rsidRPr="00C44D8C">
        <w:rPr>
          <w:rFonts w:asciiTheme="minorHAnsi" w:eastAsia="Calibri" w:hAnsiTheme="minorHAnsi" w:cs="Calibri"/>
          <w:color w:val="000000"/>
          <w:sz w:val="22"/>
          <w:szCs w:val="22"/>
          <w:lang w:eastAsia="en-GB"/>
        </w:rPr>
        <w:t>The polysaccharides of the EPS play a key role in cementing the cells and biofilm together by way of electrostatic and hydrogen bonding</w:t>
      </w:r>
      <w:r w:rsidR="00A97F4F">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 and interact with other macromolecular components within a biofilm to create a network of interacting polysaccharides, proteins, lipids, cells and cell products </w:t>
      </w:r>
      <w:r w:rsidR="00A97F4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"ISSN" : "1350-0872", "PMID" : "11160795", "author" : [ { "dropping-particle" : "", "family" : "Sutherland", "given" : "I", "non-dropping-particle" : "", "parse-names" : false, "suffix" : "" } ], "container-title" : "Microbiology (Reading, England)", "id" : "ITEM-1", "issue" : "Pt 1", "issued" : { "date-parts" : [ [ "2001", "1" ] ] }, "page" : "3-9", "title" : "Biofilm exopolysaccharides: a strong and sticky framework.", "type" : "article-journal", "volume" : "147" }, "uris" : [ "http://www.mendeley.com/documents/?uuid=f90cdf2e-6f01-4f64-9182-74521c4abfe9" ] } ], "mendeley" : { "formattedCitation" : "[85]", "plainTextFormattedCitation" : "[85]", "previouslyFormattedCitation" : "[85]"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[85]</w:t>
      </w:r>
      <w:r w:rsidR="00A97F4F">
        <w:rPr>
          <w:rFonts w:asciiTheme="minorHAnsi" w:eastAsia="Calibri" w:hAnsiTheme="minorHAnsi" w:cs="Calibri"/>
          <w:color w:val="000000"/>
          <w:sz w:val="22"/>
          <w:szCs w:val="22"/>
          <w:lang w:eastAsia="en-GB"/>
        </w:rPr>
        <w:fldChar w:fldCharType="end"/>
      </w:r>
      <w:r w:rsidR="00A97F4F">
        <w:rPr>
          <w:rFonts w:asciiTheme="minorHAnsi" w:eastAsia="Calibri" w:hAnsiTheme="minorHAnsi" w:cs="Calibri"/>
          <w:color w:val="000000"/>
          <w:sz w:val="22"/>
          <w:szCs w:val="22"/>
          <w:lang w:eastAsia="en-GB"/>
        </w:rPr>
        <w:t>.</w:t>
      </w:r>
    </w:p>
    <w:p w14:paraId="794BD569" w14:textId="65CBDC1F"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EPS production is strictly genetically regulated, and it varies as a function of microbial species, mode of growth, environmental conditions, as well as to the type of support material </w:t>
      </w:r>
      <w:r w:rsidR="00A97F4F">
        <w:rPr>
          <w:rFonts w:asciiTheme="minorHAnsi" w:eastAsia="Calibri" w:hAnsiTheme="minorHAnsi" w:cs="Calibri"/>
          <w:color w:val="000000"/>
          <w:sz w:val="22"/>
          <w:szCs w:val="22"/>
          <w:lang w:eastAsia="en-GB"/>
        </w:rPr>
        <w:fldChar w:fldCharType="begin" w:fldLock="1"/>
      </w:r>
      <w:r w:rsidR="00A97F4F">
        <w:rPr>
          <w:rFonts w:asciiTheme="minorHAnsi" w:eastAsia="Calibri" w:hAnsiTheme="minorHAnsi" w:cs="Calibri"/>
          <w:color w:val="000000"/>
          <w:sz w:val="22"/>
          <w:szCs w:val="22"/>
          <w:lang w:eastAsia="en-GB"/>
        </w:rPr>
        <w:instrText>ADDIN CSL_CITATION { "citationItems" : [ { "id" : "ITEM-1", "itemData" : { "DOI" : "10.3201/eid0809.020063", "ISSN" : "1080-6040", "PMID" : "12194761", "abstract" : "Microorganisms attach to surfaces and develop biofilms. Biofilm-associated cells can be differentiated from their suspended counterparts by generation of an extracellular polymeric substance (EPS) matrix, reduced growth rates, and the up- and down- 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 "author" : [ { "dropping-particle" : "", "family" : "Donlan", "given" : "Rodney M", "non-dropping-particle" : "", "parse-names" : false, "suffix" : "" } ], "container-title" : "Emerging infectious diseases", "id" : "ITEM-1", "issue" : "9", "issued" : { "date-parts" : [ [ "2002", "9" ] ] }, "page" : "881-90", "title" : "Biofilms: microbial life on surfaces.", "type" : "article-journal", "volume" : "8" }, "uris" : [ "http://www.mendeley.com/documents/?uuid=8943dd6f-6881-45d5-a353-dd8530283284" ] }, { "id" : "ITEM-2",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"ITEM-2", "issue" : "4", "issued" : { "date-parts" : [ [ "2000", "12" ] ] }, "page" : "847-67", "title" : "Microbial biofilms: from ecology to molecular genetics.", "type" : "article-journal", "volume" : "64" }, "uris" : [ "http://www.mendeley.com/documents/?uuid=b3c073e3-3e7c-47d0-bd4d-a0b3baf36aee" ] } ], "mendeley" : { "formattedCitation" : "[22,24]", "plainTextFormattedCitation" : "[22,24]", "previouslyFormattedCitation" : "[22,24]"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A97F4F" w:rsidRPr="00A97F4F">
        <w:rPr>
          <w:rFonts w:asciiTheme="minorHAnsi" w:eastAsia="Calibri" w:hAnsiTheme="minorHAnsi" w:cs="Calibri"/>
          <w:noProof/>
          <w:color w:val="000000"/>
          <w:sz w:val="22"/>
          <w:szCs w:val="22"/>
          <w:lang w:eastAsia="en-GB"/>
        </w:rPr>
        <w:t>[22,24]</w:t>
      </w:r>
      <w:r w:rsidR="00A97F4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 previous study showed that the choice of support material within a biofilm reactor treating synthetic inorganic wastewater influenced biofilm and EPS formation</w:t>
      </w:r>
      <w:r w:rsidR="00094D54">
        <w:rPr>
          <w:rFonts w:asciiTheme="minorHAnsi" w:eastAsia="Calibri" w:hAnsiTheme="minorHAnsi" w:cs="Calibri"/>
          <w:color w:val="000000"/>
          <w:sz w:val="22"/>
          <w:szCs w:val="22"/>
          <w:lang w:eastAsia="en-GB"/>
        </w:rPr>
        <w:t>. S</w:t>
      </w:r>
      <w:r w:rsidRPr="00C44D8C">
        <w:rPr>
          <w:rFonts w:asciiTheme="minorHAnsi" w:eastAsia="Calibri" w:hAnsiTheme="minorHAnsi" w:cs="Calibri"/>
          <w:color w:val="000000"/>
          <w:sz w:val="22"/>
          <w:szCs w:val="22"/>
          <w:lang w:eastAsia="en-GB"/>
        </w:rPr>
        <w:t>oft combination packing</w:t>
      </w:r>
      <w:r w:rsidR="00094D54">
        <w:rPr>
          <w:rFonts w:asciiTheme="minorHAnsi" w:eastAsia="Calibri" w:hAnsiTheme="minorHAnsi" w:cs="Calibri"/>
          <w:color w:val="000000"/>
          <w:sz w:val="22"/>
          <w:szCs w:val="22"/>
          <w:lang w:eastAsia="en-GB"/>
        </w:rPr>
        <w:t>, a fibre material primarily composed of polyvinyl formal, was found to</w:t>
      </w:r>
      <w:r w:rsidRPr="00C44D8C">
        <w:rPr>
          <w:rFonts w:asciiTheme="minorHAnsi" w:eastAsia="Calibri" w:hAnsiTheme="minorHAnsi" w:cs="Calibri"/>
          <w:color w:val="000000"/>
          <w:sz w:val="22"/>
          <w:szCs w:val="22"/>
          <w:lang w:eastAsia="en-GB"/>
        </w:rPr>
        <w:t xml:space="preserve"> promot</w:t>
      </w:r>
      <w:r w:rsidR="00094D54">
        <w:rPr>
          <w:rFonts w:asciiTheme="minorHAnsi" w:eastAsia="Calibri" w:hAnsiTheme="minorHAnsi" w:cs="Calibri"/>
          <w:color w:val="000000"/>
          <w:sz w:val="22"/>
          <w:szCs w:val="22"/>
          <w:lang w:eastAsia="en-GB"/>
        </w:rPr>
        <w:t>e</w:t>
      </w:r>
      <w:r w:rsidRPr="00C44D8C">
        <w:rPr>
          <w:rFonts w:asciiTheme="minorHAnsi" w:eastAsia="Calibri" w:hAnsiTheme="minorHAnsi" w:cs="Calibri"/>
          <w:color w:val="000000"/>
          <w:sz w:val="22"/>
          <w:szCs w:val="22"/>
          <w:lang w:eastAsia="en-GB"/>
        </w:rPr>
        <w:t xml:space="preserve"> higher biofilm and EPS biomass than activated carbon fibre </w:t>
      </w:r>
      <w:r w:rsidR="00A97F4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"10.1016/j.chemosphere.2013.01.059", "ISSN" : "1879-1298", "PMID" : "23466089", "abstract" : "This study investigated extracellular polymeric substances (EPSs), including soluble EPS, loosely bound EPS and tightly bound EPS (TB-EPS), in biofilms growing on different carriers from a CANON system to elucidate their different compositions and characteristics. The zeta potentials of all EPS fractions of the two samples were decreased systematically. The soft combination packing (SCP) was more hydrophilic than activated carbon fiber (ACF), and it obtained a significantly higher biomass. However, Raman spectroscopy and Fourier transform infrared spectroscopy revealed the same EPS fraction had similar functional groups between two carriers. Especially for the TB-EPS, total amount and the contents of proteins and polysaccharides in the SCP sample were much higher than those in the ACF sample. Moreover, the TB-EPS fraction of the SCP sample had better bioflocculation activity compared with that of the ACF sample. Therefore the result demonstrated that the characteristics of EPS varied from carrier to carrier.", "author" : [ { "dropping-particle" : "", "family" : "Chen", "given" : "You-Peng", "non-dropping-particle" : "", "parse-names" : false, "suffix" : "" }, { "dropping-particle" : "", "family" : "Zhang", "given" : "Peng", "non-dropping-particle" : "", "parse-names" : false, "suffix" : "" }, { "dropping-particle" : "", "family" : "Guo", "given" : "Jin-Song", "non-dropping-particle" : "", "parse-names" : false, "suffix" : "" }, { "dropping-particle" : "", "family" : "Fang", "given" : "Fang", "non-dropping-particle" : "", "parse-names" : false, "suffix" : "" }, { "dropping-particle" : "", "family" : "Gao", "given" : "Xu", "non-dropping-particle" : "", "parse-names" : false, "suffix" : "" }, { "dropping-particle" : "", "family" : "Li", "given" : "Chun", "non-dropping-particle" : "", "parse-names" : false, "suffix" : "" } ], "container-title" : "Chemosphere", "id" : "ITEM-1", "issue" : "6", "issued" : { "date-parts" : [ [ "2013", "7" ] ] }, "page" : "633-8", "publisher" : "Elsevier Ltd", "title" : "Functional groups characteristics of EPS in biofilm growing on different carriers.", "type" : "article-journal", "volume" : "92" }, "uris" : [ "http://www.mendeley.com/documents/?uuid=d72dc189-d2cf-4cf9-8557-f28978666536" ] } ], "mendeley" : { "formattedCitation" : "[87]", "plainTextFormattedCitation" : "[87]", "previouslyFormattedCitation" : "[87]"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[87]</w:t>
      </w:r>
      <w:r w:rsidR="00A97F4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6D470D03" w14:textId="30CFE9F5" w:rsidR="00436CD0" w:rsidRPr="00C44D8C" w:rsidRDefault="00436CD0" w:rsidP="00436CD0">
      <w:pPr>
        <w:spacing w:line="360" w:lineRule="auto"/>
        <w:ind w:firstLine="720"/>
        <w:rPr>
          <w:rFonts w:asciiTheme="minorHAnsi" w:eastAsia="Calibri" w:hAnsiTheme="minorHAnsi" w:cs="Calibri"/>
          <w:i/>
          <w:color w:val="000000"/>
          <w:sz w:val="22"/>
          <w:szCs w:val="22"/>
          <w:lang w:eastAsia="en-GB"/>
        </w:rPr>
      </w:pPr>
      <w:r w:rsidRPr="00C44D8C">
        <w:rPr>
          <w:rFonts w:asciiTheme="minorHAnsi" w:eastAsia="Calibri" w:hAnsiTheme="minorHAnsi" w:cs="Calibri"/>
          <w:color w:val="000000"/>
          <w:sz w:val="22"/>
          <w:szCs w:val="22"/>
          <w:lang w:eastAsia="en-GB"/>
        </w:rPr>
        <w:t>A stud</w:t>
      </w:r>
      <w:r w:rsidR="00A97F4F">
        <w:rPr>
          <w:rFonts w:asciiTheme="minorHAnsi" w:eastAsia="Calibri" w:hAnsiTheme="minorHAnsi" w:cs="Calibri"/>
          <w:color w:val="000000"/>
          <w:sz w:val="22"/>
          <w:szCs w:val="22"/>
          <w:lang w:eastAsia="en-GB"/>
        </w:rPr>
        <w:t xml:space="preserve">y by Veiga and colleagues </w:t>
      </w:r>
      <w:r w:rsidR="00A97F4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"ISSN" : "00992240", "PMID" : "16535504", "abstract" : "Methanobacterium formicicum and Methanosarcina mazeii are two prevalent species isolated from an anaerobic granular consortium grown on a fatty acid mixture. The extracellular polysaccharides (EPS) were extracted from Methanobacterium formicicum and Methanosarcina mazeii and from the methanogenic granules to examine their role in granular development. The EPS made up approximately 20 to 14% of the extracellular polymer extracted from the granules, Methanobacterium formicicum, and Methanosarcina mazeii. The EPS produced by Methanobacterium formicicum was composed mainly of rhamnose, mannose, galactose, glucose, and amino sugars, while that produced by Methanosarcina mazeii contained ribose, galactose, glucose, and glucosamine. The same sugars were also present in the EPS produced by the granules. These results indicate that the two methanogens, especially Methanobacterium formicicum, contributed significantly to the production of the extracellular polymer of the anaerobic granules. Growth temperature, substrates (formate and H(inf2)-CO(inf2)), and the key nutrients (nitrogen and phosphate concentrations) affected polymer production by Methanobacterium formicicum.", "author" : [ { "dropping-particle" : "", "family" : "Veiga", "given" : "Maria C.", "non-dropping-particle" : "", "parse-names" : false, "suffix" : "" }, { "dropping-particle" : "", "family" : "Jain", "given" : "Mahendra K.", "non-dropping-particle" : "", "parse-names" : false, "suffix" : "" }, { "dropping-particle" : "", "family" : "Wu", "given" : "Wei Min", "non-dropping-particle" : "", "parse-names" : false, "suffix" : "" }, { "dropping-particle" : "", "family" : "Hollingsworth", "given" : "Rawle I.", "non-dropping-particle" : "", "parse-names" : false, "suffix" : "" }, { "dropping-particle" : "", "family" : "Zeikus", "given" : "J. Gregory", "non-dropping-particle" : "", "parse-names" : false, "suffix" : "" } ], "container-title" : "Applied and Environmental Microbiology", "id" : "ITEM-1", "issue" : "2", "issued" : { "date-parts" : [ [ "1997" ] ] }, "page" : "403-407", "title" : "Composition and role of extracellular polymers in methanogenic granules", "type" : "article-journal", "volume" : "63" }, "uris" : [ "http://www.mendeley.com/documents/?uuid=ef225fa2-6106-4415-83de-36f47d0042fc" ] } ], "mendeley" : { "formattedCitation" : "[88]", "plainTextFormattedCitation" : "[88]", "previouslyFormattedCitation" : "[88]"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[88]</w:t>
      </w:r>
      <w:r w:rsidR="00A97F4F">
        <w:rPr>
          <w:rFonts w:asciiTheme="minorHAnsi" w:eastAsia="Calibri" w:hAnsiTheme="minorHAnsi" w:cs="Calibri"/>
          <w:color w:val="000000"/>
          <w:sz w:val="22"/>
          <w:szCs w:val="22"/>
          <w:lang w:eastAsia="en-GB"/>
        </w:rPr>
        <w:fldChar w:fldCharType="end"/>
      </w:r>
      <w:r w:rsidR="00A97F4F">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found that the secreted EPS from anaerobic granules formed within a lab-scale AD reactor treating fatty acid media consisted mainly of rhamnose, mannose, galactose, glucose, and glucosamine from two methanogens, </w:t>
      </w:r>
      <w:r w:rsidRPr="00C44D8C">
        <w:rPr>
          <w:rFonts w:asciiTheme="minorHAnsi" w:eastAsia="Calibri" w:hAnsiTheme="minorHAnsi" w:cs="Calibri"/>
          <w:i/>
          <w:color w:val="000000"/>
          <w:sz w:val="22"/>
          <w:szCs w:val="22"/>
          <w:lang w:eastAsia="en-GB"/>
        </w:rPr>
        <w:t xml:space="preserve">Methanobacterium formicicum </w:t>
      </w:r>
      <w:r w:rsidRPr="00C44D8C">
        <w:rPr>
          <w:rFonts w:asciiTheme="minorHAnsi" w:eastAsia="Calibri" w:hAnsiTheme="minorHAnsi" w:cs="Calibri"/>
          <w:color w:val="000000"/>
          <w:sz w:val="22"/>
          <w:szCs w:val="22"/>
          <w:lang w:eastAsia="en-GB"/>
        </w:rPr>
        <w:t xml:space="preserve">and </w:t>
      </w:r>
      <w:r w:rsidRPr="00C44D8C">
        <w:rPr>
          <w:rFonts w:asciiTheme="minorHAnsi" w:eastAsia="Calibri" w:hAnsiTheme="minorHAnsi" w:cs="Calibri"/>
          <w:i/>
          <w:color w:val="000000"/>
          <w:sz w:val="22"/>
          <w:szCs w:val="22"/>
          <w:lang w:eastAsia="en-GB"/>
        </w:rPr>
        <w:t>M. mazeii</w:t>
      </w:r>
      <w:r w:rsidRPr="00C44D8C">
        <w:rPr>
          <w:rFonts w:asciiTheme="minorHAnsi" w:eastAsia="Calibri" w:hAnsiTheme="minorHAnsi" w:cs="Calibri"/>
          <w:color w:val="000000"/>
          <w:sz w:val="22"/>
          <w:szCs w:val="22"/>
          <w:lang w:eastAsia="en-GB"/>
        </w:rPr>
        <w:t xml:space="preserve">. The polysaccharide content secreted from both methanogens made up almost a third of the total EPS extracted from the anaerobic granules, highlighting the important role of methanogenic exopolysaccharides in binding these granular biofilms together. In particular, the temperature, type of feedstock and nitrogen and phosphate concentrations had a significant effect on the level of EPS production from </w:t>
      </w:r>
      <w:r w:rsidRPr="00C44D8C">
        <w:rPr>
          <w:rFonts w:asciiTheme="minorHAnsi" w:eastAsia="Calibri" w:hAnsiTheme="minorHAnsi" w:cs="Calibri"/>
          <w:i/>
          <w:color w:val="000000"/>
          <w:sz w:val="22"/>
          <w:szCs w:val="22"/>
          <w:lang w:eastAsia="en-GB"/>
        </w:rPr>
        <w:t xml:space="preserve">M. formicicum. </w:t>
      </w:r>
    </w:p>
    <w:p w14:paraId="59CB0D45" w14:textId="46FF38CB" w:rsidR="00436CD0" w:rsidRPr="00C44D8C" w:rsidRDefault="00436CD0" w:rsidP="00436CD0">
      <w:pPr>
        <w:spacing w:line="360" w:lineRule="auto"/>
        <w:ind w:firstLine="720"/>
        <w:rPr>
          <w:rFonts w:asciiTheme="minorHAnsi" w:eastAsia="Calibri" w:hAnsiTheme="minorHAnsi" w:cs="Calibri"/>
          <w:i/>
          <w:color w:val="000000"/>
          <w:sz w:val="22"/>
          <w:szCs w:val="22"/>
          <w:lang w:eastAsia="en-GB"/>
        </w:rPr>
      </w:pPr>
      <w:r w:rsidRPr="00C44D8C">
        <w:rPr>
          <w:rFonts w:asciiTheme="minorHAnsi" w:eastAsia="Calibri" w:hAnsiTheme="minorHAnsi" w:cs="Calibri"/>
          <w:color w:val="000000"/>
          <w:sz w:val="22"/>
          <w:szCs w:val="22"/>
          <w:lang w:eastAsia="en-GB"/>
        </w:rPr>
        <w:t>Irreversible microbial adhesion to a surface can</w:t>
      </w:r>
      <w:r w:rsidR="007D6081">
        <w:rPr>
          <w:rFonts w:asciiTheme="minorHAnsi" w:eastAsia="Calibri" w:hAnsiTheme="minorHAnsi" w:cs="Calibri"/>
          <w:color w:val="000000"/>
          <w:sz w:val="22"/>
          <w:szCs w:val="22"/>
          <w:lang w:eastAsia="en-GB"/>
        </w:rPr>
        <w:t xml:space="preserve"> also</w:t>
      </w:r>
      <w:r w:rsidRPr="00C44D8C">
        <w:rPr>
          <w:rFonts w:asciiTheme="minorHAnsi" w:eastAsia="Calibri" w:hAnsiTheme="minorHAnsi" w:cs="Calibri"/>
          <w:color w:val="000000"/>
          <w:sz w:val="22"/>
          <w:szCs w:val="22"/>
          <w:lang w:eastAsia="en-GB"/>
        </w:rPr>
        <w:t xml:space="preserve"> incur significant modifications to the </w:t>
      </w:r>
      <w:r w:rsidR="007D6081">
        <w:rPr>
          <w:rFonts w:asciiTheme="minorHAnsi" w:eastAsia="Calibri" w:hAnsiTheme="minorHAnsi" w:cs="Calibri"/>
          <w:sz w:val="22"/>
          <w:szCs w:val="22"/>
          <w:lang w:eastAsia="en-GB"/>
        </w:rPr>
        <w:t>cell surface</w:t>
      </w:r>
      <w:r w:rsidRPr="00C44D8C">
        <w:rPr>
          <w:rFonts w:asciiTheme="minorHAnsi" w:eastAsia="Calibri" w:hAnsiTheme="minorHAnsi" w:cs="Calibri"/>
          <w:sz w:val="22"/>
          <w:szCs w:val="22"/>
          <w:lang w:eastAsia="en-GB"/>
        </w:rPr>
        <w:t xml:space="preserve"> and differential levels of protein expression to adapt cells to a biofilm lifestyle </w:t>
      </w:r>
      <w:r w:rsidR="00A97F4F">
        <w:rPr>
          <w:rFonts w:asciiTheme="minorHAnsi" w:eastAsia="Calibri" w:hAnsiTheme="minorHAnsi" w:cs="Calibri"/>
          <w:sz w:val="22"/>
          <w:szCs w:val="22"/>
          <w:lang w:eastAsia="en-GB"/>
        </w:rPr>
        <w:fldChar w:fldCharType="begin" w:fldLock="1"/>
      </w:r>
      <w:r w:rsidR="00AF47D2">
        <w:rPr>
          <w:rFonts w:asciiTheme="minorHAnsi" w:eastAsia="Calibri" w:hAnsiTheme="minorHAnsi" w:cs="Calibri"/>
          <w:sz w:val="22"/>
          <w:szCs w:val="22"/>
          <w:lang w:eastAsia="en-GB"/>
        </w:rPr>
        <w:instrText>ADDIN CSL_CITATION { "citationItems" : [ { "id" : "ITEM-1", "itemData" : { "DOI" : "10.1016/S0958-1669(02)00318-X", "ISBN" : "0958-1669", "ISSN" : "09581669", "PMID" : "12180097", "abstract" : "Sophisticated molecular and microscopic methods used to study biofilm formation are rapidly broadening our understanding of surface-attached microbial communities in a wide variety of organisms. Regulatory mechanisms involved in the attachment and subsequent development of mature biofilms are being elucidated. Common themes are beginning to emerge, providing promise for the development of sophisticated control strategies.", "author" : [ { "dropping-particle" : "", "family" : "Hall-Stoodley", "given" : "Luanne", "non-dropping-particle" : "", "parse-names" : false, "suffix" : "" }, { "dropping-particle" : "", "family" : "Stoodley", "given" : "Paul", "non-dropping-particle" : "", "parse-names" : false, "suffix" : "" } ], "container-title" : "Current Opinion in Biotechnology", "id" : "ITEM-1", "issue" : "3", "issued" : { "date-parts" : [ [ "2002" ] ] }, "page" : "228-233", "title" : "Developmental regulation of microbial biofilms", "type" : "article-journal", "volume" : "13" }, "uris" : [ "http://www.mendeley.com/documents/?uuid=27d0e551-b7db-46d6-bfba-0bddef4c0814" ] } ], "mendeley" : { "formattedCitation" : "[62]", "plainTextFormattedCitation" : "[62]", "previouslyFormattedCitation" : "[62]" }, "properties" : { "noteIndex" : 0 }, "schema" : "https://github.com/citation-style-language/schema/raw/master/csl-citation.json" }</w:instrText>
      </w:r>
      <w:r w:rsidR="00A97F4F">
        <w:rPr>
          <w:rFonts w:asciiTheme="minorHAnsi" w:eastAsia="Calibri" w:hAnsiTheme="minorHAnsi" w:cs="Calibri"/>
          <w:sz w:val="22"/>
          <w:szCs w:val="22"/>
          <w:lang w:eastAsia="en-GB"/>
        </w:rPr>
        <w:fldChar w:fldCharType="separate"/>
      </w:r>
      <w:r w:rsidR="00AF47D2" w:rsidRPr="00AF47D2">
        <w:rPr>
          <w:rFonts w:asciiTheme="minorHAnsi" w:eastAsia="Calibri" w:hAnsiTheme="minorHAnsi" w:cs="Calibri"/>
          <w:noProof/>
          <w:sz w:val="22"/>
          <w:szCs w:val="22"/>
          <w:lang w:eastAsia="en-GB"/>
        </w:rPr>
        <w:t>[62]</w:t>
      </w:r>
      <w:r w:rsidR="00A97F4F">
        <w:rPr>
          <w:rFonts w:asciiTheme="minorHAnsi" w:eastAsia="Calibri" w:hAnsiTheme="minorHAnsi" w:cs="Calibri"/>
          <w:sz w:val="22"/>
          <w:szCs w:val="22"/>
          <w:lang w:eastAsia="en-GB"/>
        </w:rPr>
        <w:fldChar w:fldCharType="end"/>
      </w:r>
      <w:r w:rsidRPr="00C44D8C">
        <w:rPr>
          <w:rFonts w:asciiTheme="minorHAnsi" w:eastAsia="Calibri" w:hAnsiTheme="minorHAnsi" w:cs="Calibri"/>
          <w:sz w:val="22"/>
          <w:szCs w:val="22"/>
          <w:lang w:eastAsia="en-GB"/>
        </w:rPr>
        <w:t xml:space="preserve">, and are important indicators of biofilm formation. </w:t>
      </w:r>
      <w:r w:rsidR="007D6081">
        <w:rPr>
          <w:rFonts w:asciiTheme="minorHAnsi" w:eastAsia="Calibri" w:hAnsiTheme="minorHAnsi" w:cs="Calibri"/>
          <w:sz w:val="22"/>
          <w:szCs w:val="22"/>
          <w:lang w:eastAsia="en-GB"/>
        </w:rPr>
        <w:t>K</w:t>
      </w:r>
      <w:r w:rsidRPr="00C44D8C">
        <w:rPr>
          <w:rFonts w:asciiTheme="minorHAnsi" w:eastAsia="Calibri" w:hAnsiTheme="minorHAnsi" w:cs="Calibri"/>
          <w:sz w:val="22"/>
          <w:szCs w:val="22"/>
          <w:lang w:eastAsia="en-GB"/>
        </w:rPr>
        <w:t xml:space="preserve">ey cell </w:t>
      </w:r>
      <w:r w:rsidR="007D6081">
        <w:rPr>
          <w:rFonts w:asciiTheme="minorHAnsi" w:eastAsia="Calibri" w:hAnsiTheme="minorHAnsi" w:cs="Calibri"/>
          <w:sz w:val="22"/>
          <w:szCs w:val="22"/>
          <w:lang w:eastAsia="en-GB"/>
        </w:rPr>
        <w:t xml:space="preserve">surface and intracellular </w:t>
      </w:r>
      <w:r w:rsidRPr="00C44D8C">
        <w:rPr>
          <w:rFonts w:asciiTheme="minorHAnsi" w:eastAsia="Calibri" w:hAnsiTheme="minorHAnsi" w:cs="Calibri"/>
          <w:sz w:val="22"/>
          <w:szCs w:val="22"/>
          <w:lang w:eastAsia="en-GB"/>
        </w:rPr>
        <w:t xml:space="preserve">changes during biofilm formation have been demonstrated in a wide range of microbial systems </w:t>
      </w:r>
      <w:r w:rsidR="00A97F4F">
        <w:rPr>
          <w:rFonts w:asciiTheme="minorHAnsi" w:eastAsia="Calibri" w:hAnsiTheme="minorHAnsi" w:cs="Calibri"/>
          <w:sz w:val="22"/>
          <w:szCs w:val="22"/>
          <w:lang w:eastAsia="en-GB"/>
        </w:rPr>
        <w:fldChar w:fldCharType="begin" w:fldLock="1"/>
      </w:r>
      <w:r w:rsidR="00AB0CFE">
        <w:rPr>
          <w:rFonts w:asciiTheme="minorHAnsi" w:eastAsia="Calibri" w:hAnsiTheme="minorHAnsi" w:cs="Calibri"/>
          <w:sz w:val="22"/>
          <w:szCs w:val="22"/>
          <w:lang w:eastAsia="en-GB"/>
        </w:rPr>
        <w:instrText>ADDIN CSL_CITATION { "citationItems" : [ { "id" : "ITEM-1",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"ITEM-1",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"id" : "ITEM-2", "itemData" : { "DOI" : "10.1128/JB.184.4.1140", "author" : [ { "dropping-particle" : "", "family" : "Sauer", "given" : "Karin", "non-dropping-particle" : "", "parse-names" : false, "suffix" : "" }, { "dropping-particle" : "", "family" : "Camper", "given" : "Anne K", "non-dropping-particle" : "", "parse-names" : false, "suffix" : "" }, { "dropping-particle" : "", "family" : "Ehrlich", "given" : "Garth D", "non-dropping-particle" : "", "parse-names" : false, "suffix" : "" }, { "dropping-particle" : "", "family" : "Costerton", "given" : "J William", "non-dropping-particle" : "", "parse-names" : false, "suffix" : "" }, { "dropping-particle" : "", "family" : "Davies", "given" : "David G", "non-dropping-particle" : "", "parse-names" : false, "suffix" : "" } ], "container-title" : "Journal of bacteriology", "id" : "ITEM-2", "issue" : "4", "issued" : { "date-parts" : [ [ "2002" ] ] }, "page" : "1140-1154", "title" : "Pseudomonas aeruginosa Displays Multiple Phenotypes during Development as a Biofilm", "type" : "article-journal", "volume" : "184" }, "uris" : [ "http://www.mendeley.com/documents/?uuid=e60e637a-d417-4100-956a-1f1ed9275792" ] }, { "id" : "ITEM-3", "itemData" : { "DOI" : "10.1073/pnas.042521699", "ISBN" : "0027-8424 (Print)\\n0027-8424 (Linking)", "ISSN" : "00278424", "PMID" : "11830644", "abstract" : "Bacterial adhesion is an important initial step in biofilm formation, which may cause problems in medical, environmental, and industrial settings. In spite of obvious phenotypic differences between attached and planktonic cells, knowledge about the genetic basis for these differences and how adhesion-induced changes are mediated is limited. The Cpx two-component signal transduction pathway responds specifically to stress caused by disturbances in the cell envelope and activates genes encoding periplasmic protein folding and degrading factors. Here, we address the role of the Cpx-signaling pathway in sensing and responding to the physical change occurring during adhesion of Escherichia coli to surfaces. We present evidence that the expression of Cpx-regulated genes is induced during initial adhesion of E. coli to abiotic surfaces. This induction is specifically observed upon attachment of stationary-phase cells to hydrophobic surfaces. Moreover, surface-induced activity of the Cpx response requires NlpE, an outer membrane lipoprotein, which has previously been shown to induce the Cpx system when overproduced. The importance of a functional Cpx response during adhesion is further supported by the fact that a dramatically lower number of cells attach to the surface and dynamic cell-surface interactions as measured by a quartz crystal microbalance technique are altered when the CpxRA pathway is disrupted. The defects in adhesion exhibited by the cpxR and nlpE mutants were strikingly similar to those of wild-type cells in which protein synthesis was inhibited, suggesting that the Cpx pathway plays a key role in the regulation of adhesion-induced gene expression.", "author" : [ { "dropping-particle" : "", "family" : "Otto", "given" : "Karen", "non-dropping-particle" : "", "parse-names" : false, "suffix" : "" }, { "dropping-particle" : "", "family" : "Silhavy", "given" : "Thomas J", "non-dropping-particle" : "", "parse-names" : false, "suffix" : "" } ], "container-title" : "Proceedings of the National Academy of Sciences of the United States of America", "id" : "ITEM-3", "issue" : "4", "issued" : { "date-parts" : [ [ "2002" ] ] }, "page" : "2287-2292", "title" : "Surface sensing and adhesion of Escherichia coli controlled by the Cpx-signaling pathway.", "type" : "article-journal", "volume" : "99" }, "uris" : [ "http://www.mendeley.com/documents/?uuid=13ea6281-9e60-4220-ae39-bbd5e55f77e3" ] }, { "id" : "ITEM-4", "itemData" : { "author" : [ { "dropping-particle" : "", "family" : "Mukherjee, J., Karunakaran, E., Biggs", "given" : "C.A.", "non-dropping-particle" : "", "parse-names" : false, "suffix" : "" } ], "container-title" : "Biofouling", "id" : "ITEM-4",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"mendeley" : { "formattedCitation" : "[89\u201392]", "plainTextFormattedCitation" : "[89\u201392]", "previouslyFormattedCitation" : "[89\u201392]" }, "properties" : { "noteIndex" : 0 }, "schema" : "https://github.com/citation-style-language/schema/raw/master/csl-citation.json" }</w:instrText>
      </w:r>
      <w:r w:rsidR="00A97F4F">
        <w:rPr>
          <w:rFonts w:asciiTheme="minorHAnsi" w:eastAsia="Calibri" w:hAnsiTheme="minorHAnsi" w:cs="Calibri"/>
          <w:sz w:val="22"/>
          <w:szCs w:val="22"/>
          <w:lang w:eastAsia="en-GB"/>
        </w:rPr>
        <w:fldChar w:fldCharType="separate"/>
      </w:r>
      <w:r w:rsidR="00BB3D6F" w:rsidRPr="00BB3D6F">
        <w:rPr>
          <w:rFonts w:asciiTheme="minorHAnsi" w:eastAsia="Calibri" w:hAnsiTheme="minorHAnsi" w:cs="Calibri"/>
          <w:noProof/>
          <w:sz w:val="22"/>
          <w:szCs w:val="22"/>
          <w:lang w:eastAsia="en-GB"/>
        </w:rPr>
        <w:t>[89–92]</w:t>
      </w:r>
      <w:r w:rsidR="00A97F4F">
        <w:rPr>
          <w:rFonts w:asciiTheme="minorHAnsi" w:eastAsia="Calibri" w:hAnsiTheme="minorHAnsi" w:cs="Calibri"/>
          <w:sz w:val="22"/>
          <w:szCs w:val="22"/>
          <w:lang w:eastAsia="en-GB"/>
        </w:rPr>
        <w:fldChar w:fldCharType="end"/>
      </w:r>
      <w:r w:rsidR="00A97F4F">
        <w:rPr>
          <w:rFonts w:asciiTheme="minorHAnsi" w:eastAsia="Calibri" w:hAnsiTheme="minorHAnsi" w:cs="Calibri"/>
          <w:sz w:val="22"/>
          <w:szCs w:val="22"/>
          <w:lang w:eastAsia="en-GB"/>
        </w:rPr>
        <w:t xml:space="preserve">, </w:t>
      </w:r>
      <w:r w:rsidRPr="00C44D8C">
        <w:rPr>
          <w:rFonts w:asciiTheme="minorHAnsi" w:eastAsia="Calibri" w:hAnsiTheme="minorHAnsi" w:cs="Calibri"/>
          <w:sz w:val="22"/>
          <w:szCs w:val="22"/>
          <w:lang w:eastAsia="en-GB"/>
        </w:rPr>
        <w:t xml:space="preserve">and highlight </w:t>
      </w:r>
      <w:r w:rsidR="007D6081">
        <w:rPr>
          <w:rFonts w:asciiTheme="minorHAnsi" w:eastAsia="Calibri" w:hAnsiTheme="minorHAnsi" w:cs="Calibri"/>
          <w:sz w:val="22"/>
          <w:szCs w:val="22"/>
          <w:lang w:eastAsia="en-GB"/>
        </w:rPr>
        <w:t xml:space="preserve">some of </w:t>
      </w:r>
      <w:r w:rsidRPr="00C44D8C">
        <w:rPr>
          <w:rFonts w:asciiTheme="minorHAnsi" w:eastAsia="Calibri" w:hAnsiTheme="minorHAnsi" w:cs="Calibri"/>
          <w:sz w:val="22"/>
          <w:szCs w:val="22"/>
          <w:lang w:eastAsia="en-GB"/>
        </w:rPr>
        <w:t xml:space="preserve">the importance </w:t>
      </w:r>
      <w:r w:rsidR="007D6081">
        <w:rPr>
          <w:rFonts w:asciiTheme="minorHAnsi" w:eastAsia="Calibri" w:hAnsiTheme="minorHAnsi" w:cs="Calibri"/>
          <w:sz w:val="22"/>
          <w:szCs w:val="22"/>
          <w:lang w:eastAsia="en-GB"/>
        </w:rPr>
        <w:t xml:space="preserve">transitions that cells undergo in order to become </w:t>
      </w:r>
      <w:r w:rsidRPr="00C44D8C">
        <w:rPr>
          <w:rFonts w:asciiTheme="minorHAnsi" w:eastAsia="Calibri" w:hAnsiTheme="minorHAnsi" w:cs="Calibri"/>
          <w:sz w:val="22"/>
          <w:szCs w:val="22"/>
          <w:lang w:eastAsia="en-GB"/>
        </w:rPr>
        <w:t xml:space="preserve">more irreversibly attached </w:t>
      </w:r>
      <w:r w:rsidR="007D6081">
        <w:rPr>
          <w:rFonts w:asciiTheme="minorHAnsi" w:eastAsia="Calibri" w:hAnsiTheme="minorHAnsi" w:cs="Calibri"/>
          <w:sz w:val="22"/>
          <w:szCs w:val="22"/>
          <w:lang w:eastAsia="en-GB"/>
        </w:rPr>
        <w:t>to a surface</w:t>
      </w:r>
      <w:r w:rsidRPr="00C44D8C">
        <w:rPr>
          <w:rFonts w:asciiTheme="minorHAnsi" w:eastAsia="Calibri" w:hAnsiTheme="minorHAnsi" w:cs="Calibri"/>
          <w:sz w:val="22"/>
          <w:szCs w:val="22"/>
          <w:lang w:eastAsia="en-GB"/>
        </w:rPr>
        <w:t xml:space="preserve">. </w:t>
      </w:r>
    </w:p>
    <w:p w14:paraId="032653E7" w14:textId="1C08A300" w:rsidR="00436CD0" w:rsidRPr="00C44D8C" w:rsidRDefault="00436CD0" w:rsidP="00B94D0C">
      <w:pPr>
        <w:pStyle w:val="Heading1"/>
        <w:rPr>
          <w:rFonts w:eastAsia="Arial" w:cs="Arial"/>
          <w:lang w:eastAsia="en-GB"/>
        </w:rPr>
      </w:pPr>
      <w:bookmarkStart w:id="49" w:name="_Toc462575266"/>
      <w:r w:rsidRPr="00C44D8C">
        <w:rPr>
          <w:lang w:eastAsia="en-GB"/>
        </w:rPr>
        <w:t>2.4. Selective immobilisation of methanogens onto support material</w:t>
      </w:r>
      <w:bookmarkEnd w:id="49"/>
      <w:r w:rsidRPr="00C44D8C">
        <w:rPr>
          <w:lang w:eastAsia="en-GB"/>
        </w:rPr>
        <w:t xml:space="preserve"> </w:t>
      </w:r>
    </w:p>
    <w:p w14:paraId="706D6702" w14:textId="49AF6DBA" w:rsidR="00436CD0" w:rsidRPr="00C44D8C" w:rsidRDefault="00436CD0" w:rsidP="00A97F4F">
      <w:pPr>
        <w:tabs>
          <w:tab w:val="left" w:pos="4111"/>
        </w:tabs>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Given the significant influence of the physicochemical properties of both the microbial and abiotic surface in initial adhesion and consequent biofilm formation in many natural and engineered </w:t>
      </w:r>
      <w:r w:rsidR="007D6081">
        <w:rPr>
          <w:rFonts w:asciiTheme="minorHAnsi" w:eastAsia="Calibri" w:hAnsiTheme="minorHAnsi" w:cs="Calibri"/>
          <w:color w:val="000000"/>
          <w:sz w:val="22"/>
          <w:szCs w:val="22"/>
          <w:lang w:eastAsia="en-GB"/>
        </w:rPr>
        <w:t>b</w:t>
      </w:r>
      <w:r w:rsidR="00A97F4F">
        <w:rPr>
          <w:rFonts w:asciiTheme="minorHAnsi" w:eastAsia="Calibri" w:hAnsiTheme="minorHAnsi" w:cs="Calibri"/>
          <w:color w:val="000000"/>
          <w:sz w:val="22"/>
          <w:szCs w:val="22"/>
          <w:lang w:eastAsia="en-GB"/>
        </w:rPr>
        <w:t xml:space="preserve">iosystems </w:t>
      </w:r>
      <w:r w:rsidR="00A97F4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A97F4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it is clear that the choice of abiotic material is an important design parameter for retaining microbial biomass within AD reactors</w:t>
      </w:r>
      <w:r w:rsidR="00A97F4F">
        <w:rPr>
          <w:rFonts w:asciiTheme="minorHAnsi" w:eastAsia="Calibri" w:hAnsiTheme="minorHAnsi" w:cs="Calibri"/>
          <w:color w:val="000000"/>
          <w:sz w:val="22"/>
          <w:szCs w:val="22"/>
          <w:lang w:eastAsia="en-GB"/>
        </w:rPr>
        <w:t xml:space="preserve"> </w:t>
      </w:r>
      <w:r w:rsidR="00A97F4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"10.1016/j.anaerobe.2005.12.003", "ISBN" : "1075-9964", "ISSN" : "10759964", "PMID" : "16701621", "abstract" : "This paper reports on the adhesion of sulfate-reducing bacteria (SRB) and methanogenic archaea on polyurethane foam (PU), vegetal carbon (VC), low-density polyethylene (PE) and alumina-based ceramics (CE). Anaerobic differential reactors fed with a sulfate-rich synthetic wastewater were used to evaluate the formation of a biofilm. The PU presented the highest specific biomass concentration throughout the experiment, achieving 872 mg TVS/g support, while 84 mg TVS/g support was the maximum value obtained for the other materials. FISH results showed that bacterial cells rather than archaeal cells were predominant on the biofilms. These cells, detected with EUB338 probe, accounted for 76.2% (??1.6%), 79.7% (??1.3%), 84.4% (??1.4%) and 60.2% (??1.0%) in PU, VC, PE and CE, respectively, of the 4???6-diamidino-2- phenylindole (DAPI)-stained cells. From these percentages, 44.8% (??2.1%), 55.4% (??1.2%), 32.7% (??1.4%) and 18.1% (??1.1%), respectively, represented the SRB group. Archaeal cells, detected with ARC915 probe, accounted for 33.1% (??1.6%), 25.4% (??1.3%), 22.6% (??1.1%) and 41.9% (??1.0%) in PU, VC, PE and CE, respectively, of the DAPI-stained cells. Sulfate reduction efficiencies of 39% and 45% and mean chemical oxygen demand (COD) removal efficiencies of 86% and 90% were achieved for PU and VC, respectively. The other two supports, PE and CE, provided mean COD removal efficiencies of 84% and 86%, respectively. However, no sulfate reduction was observed with these supports. ?? 2006 Elsevier Ltd. All rights reserved.", "author" : [ { "dropping-particle" : "", "family" : "Silva", "given" : "A", "non-dropping-particle" : "", "parse-names" : false, "suffix" : "" }, { "dropping-particle" : "", "family" : "J.", "given" : ".", "non-dropping-particle" : "", "parse-names" : false, "suffix" : "" }, { "dropping-particle" : "", "family" : "Hirasawa", "given" : "J. S.", "non-dropping-particle" : "", "parse-names" : false, "suffix" : "" }, { "dropping-particle" : "", "family" : "Varesche", "given" : "M. B.", "non-dropping-particle" : "", "parse-names" : false, "suffix" : "" }, { "dropping-particle" : "", "family" : "Foresti", "given" : "E.", "non-dropping-particle" : "", "parse-names" : false, "suffix" : "" }, { "dropping-particle" : "", "family" : "Zaiat", "given" : "M.", "non-dropping-particle" : "", "parse-names" : false, "suffix" : "" } ], "container-title" : "Anaerobe", "id" : "ITEM-1", "issue" : "2", "issued" : { "date-parts" : [ [ "2006" ] ] }, "page" : "93-98", "title" : "Evaluation of support materials for the immobilization of sulfate-reducing bacteria and methanogenic archaea", "type" : "article-journal", "volume" : "12" }, "uris" : [ "http://www.mendeley.com/documents/?uuid=f566fb25-ce4f-4c76-9835-c69fc51d58e8" ] } ], "mendeley" : { "formattedCitation" : "[93]", "plainTextFormattedCitation" : "[93]", "previouslyFormattedCitation" : "[93]"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[93]</w:t>
      </w:r>
      <w:r w:rsidR="00A97F4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Different support materials possess variable physicochemical properties that have a differential effect on </w:t>
      </w:r>
      <w:r w:rsidRPr="00C44D8C">
        <w:rPr>
          <w:rFonts w:asciiTheme="minorHAnsi" w:eastAsia="Calibri" w:hAnsiTheme="minorHAnsi" w:cs="Calibri"/>
          <w:color w:val="000000"/>
          <w:sz w:val="22"/>
          <w:szCs w:val="22"/>
          <w:lang w:eastAsia="en-GB"/>
        </w:rPr>
        <w:lastRenderedPageBreak/>
        <w:t>initial microbial adhesion and biofilm formation</w:t>
      </w:r>
      <w:r w:rsidR="00A97F4F">
        <w:rPr>
          <w:rFonts w:asciiTheme="minorHAnsi" w:eastAsia="Calibri" w:hAnsiTheme="minorHAnsi" w:cs="Calibri"/>
          <w:color w:val="000000"/>
          <w:sz w:val="22"/>
          <w:szCs w:val="22"/>
          <w:lang w:eastAsia="en-GB"/>
        </w:rPr>
        <w:t xml:space="preserve"> </w:t>
      </w:r>
      <w:r w:rsidR="00A97F4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A97F4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r w:rsidR="00202E24" w:rsidRPr="00202E24">
        <w:rPr>
          <w:rFonts w:asciiTheme="minorHAnsi" w:eastAsia="Calibri" w:hAnsiTheme="minorHAnsi" w:cs="Calibri"/>
          <w:color w:val="000000"/>
          <w:sz w:val="22"/>
          <w:szCs w:val="22"/>
          <w:lang w:eastAsia="en-GB"/>
        </w:rPr>
        <w:t xml:space="preserve"> </w:t>
      </w:r>
      <w:r w:rsidR="00202E24" w:rsidRPr="00C44D8C">
        <w:rPr>
          <w:rFonts w:asciiTheme="minorHAnsi" w:eastAsia="Calibri" w:hAnsiTheme="minorHAnsi" w:cs="Calibri"/>
          <w:color w:val="000000"/>
          <w:sz w:val="22"/>
          <w:szCs w:val="22"/>
          <w:lang w:eastAsia="en-GB"/>
        </w:rPr>
        <w:t>It is becoming widely recognised that the use of appropriately chosen support materials in fixed-film AD reactors can enrich AD reactors with selective methanogenic biofilms, which has potential to increase the efficiency of the AD process, as well as AD performance</w:t>
      </w:r>
      <w:r w:rsidR="00202E24">
        <w:rPr>
          <w:rFonts w:asciiTheme="minorHAnsi" w:eastAsia="Calibri" w:hAnsiTheme="minorHAnsi" w:cs="Calibri"/>
          <w:color w:val="000000"/>
          <w:sz w:val="22"/>
          <w:szCs w:val="22"/>
          <w:lang w:eastAsia="en-GB"/>
        </w:rPr>
        <w:t xml:space="preserve"> </w:t>
      </w:r>
      <w:r w:rsidR="00202E2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"10.1016/j.biortech.2010.12.023", "ISSN" : "1873-2976", "PMID" : "21211965", "abstract" : "In anaerobic wastewater treatment systems, the complex microbial biomass including Archaea and Bacteria can be retained as a biofilm attached to solid supports. The aim of this study was to evaluate the impact of specific properties of support material on early microbial adhesion. Seven different substrata are described in terms of topography and surface energy. Adhesion of a methanogenic consortium to these substrata was tested, the adhesion was quantified as a percentage of the surface area covered and the bacterial and archaeal community structures was assessed by molecular fingerprinting profiles (CE-SSCP). As expected, the overall adhesion on the supports was influenced mainly by total surface energy. Moreover, the adhered communities were different from the parent inocula, including the Archaea/Bacteria ratio. This could have a significant impact on the start-up of anaerobic digesters for which supports favoring Archaea adhesion, responsible for the limiting reaction of the process, should be preferred.", "author" : [ { "dropping-particle" : "", "family" : "Habouzit", "given" : "Fr\u00e9d\u00e9ric", "non-dropping-particle" : "", "parse-names" : false, "suffix" : "" }, { "dropping-particle" : "", "family" : "G\u00e9vaudan", "given" : "Ga\u00eblle", "non-dropping-particle" : "", "parse-names" : false, "suffix" : "" }, { "dropping-particle" : "", "family" : "Hamelin", "given" : "J\u00e9r\u00f4me", "non-dropping-particle" : "", "parse-names" : false, "suffix" : "" }, { "dropping-particle" : "", "family" : "Steyer", "given" : "Jean-Philippe", "non-dropping-particle" : "", "parse-names" : false, "suffix" : "" }, { "dropping-particle" : "", "family" : "Bernet", "given" : "Nicolas", "non-dropping-particle" : "", "parse-names" : false, "suffix" : "" } ], "container-title" : "Bioresource technology", "id" : "ITEM-1", "issue" : "5", "issued" : { "date-parts" : [ [ "2011", "3" ] ] }, "page" : "4054-60", "title" : "Influence of support material properties on the potential selection of Archaea during initial adhesion of a methanogenic consortium.", "type" : "article-journal", "volume" : "102" }, "uris" : [ "http://www.mendeley.com/documents/?uuid=4bf566e3-042c-46b5-9d07-ed10ce554bbb" ] }, { "id" : "ITEM-2",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"ITEM-2", "issue" : "1", "issued" : { "date-parts" : [ [ "1995", "1" ] ] }, "page" : "3-28", "title" : "Anaerobic digestion and wastewater treatment systems.", "type" : "article-journal", "volume" : "67" }, "uris" : [ "http://www.mendeley.com/documents/?uuid=2c6b4f1b-c663-49cc-a188-61b592307d2d" ] } ], "mendeley" : { "formattedCitation" : "[16,94]", "plainTextFormattedCitation" : "[16,94]", "previouslyFormattedCitation" : "[16,94]" }, "properties" : { "noteIndex" : 0 }, "schema" : "https://github.com/citation-style-language/schema/raw/master/csl-citation.json" }</w:instrText>
      </w:r>
      <w:r w:rsidR="00202E2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[16,94]</w:t>
      </w:r>
      <w:r w:rsidR="00202E24">
        <w:rPr>
          <w:rFonts w:asciiTheme="minorHAnsi" w:eastAsia="Calibri" w:hAnsiTheme="minorHAnsi" w:cs="Calibri"/>
          <w:color w:val="000000"/>
          <w:sz w:val="22"/>
          <w:szCs w:val="22"/>
          <w:lang w:eastAsia="en-GB"/>
        </w:rPr>
        <w:fldChar w:fldCharType="end"/>
      </w:r>
      <w:r w:rsidR="00202E24">
        <w:rPr>
          <w:rFonts w:asciiTheme="minorHAnsi" w:eastAsia="Calibri" w:hAnsiTheme="minorHAnsi" w:cs="Calibri"/>
          <w:color w:val="000000"/>
          <w:sz w:val="22"/>
          <w:szCs w:val="22"/>
          <w:lang w:eastAsia="en-GB"/>
        </w:rPr>
        <w:t xml:space="preserve">. </w:t>
      </w:r>
      <w:r w:rsidR="002B7CD7">
        <w:rPr>
          <w:rFonts w:asciiTheme="minorHAnsi" w:eastAsia="Calibri" w:hAnsiTheme="minorHAnsi" w:cs="Calibri"/>
          <w:color w:val="000000"/>
          <w:sz w:val="22"/>
          <w:szCs w:val="22"/>
          <w:lang w:eastAsia="en-GB"/>
        </w:rPr>
        <w:t>Fixed</w:t>
      </w:r>
      <w:r w:rsidR="00F62E1E">
        <w:rPr>
          <w:rFonts w:asciiTheme="minorHAnsi" w:eastAsia="Calibri" w:hAnsiTheme="minorHAnsi" w:cs="Calibri"/>
          <w:color w:val="000000"/>
          <w:sz w:val="22"/>
          <w:szCs w:val="22"/>
          <w:lang w:eastAsia="en-GB"/>
        </w:rPr>
        <w:t xml:space="preserve">-film AD reactors span different technologies such as the upflow anaerobic sludge blanket (UASB), fluidised bed and anaerobic filters </w:t>
      </w:r>
      <w:r w:rsidR="00F62E1E">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"10.1016/j.rser.2008.08.006", "ISSN" : "13640321", "author" : [ { "dropping-particle" : "", "family" : "Singh", "given" : "S.P.", "non-dropping-particle" : "", "parse-names" : false, "suffix" : "" }, { "dropping-particle" : "", "family" : "Prerna", "given" : "Pandey", "non-dropping-particle" : "", "parse-names" : false, "suffix" : "" } ], "container-title" : "Renewable and Sustainable Energy Reviews", "id" : "ITEM-1", "issue" : "6-7", "issued" : { "date-parts" : [ [ "2009", "8" ] ] }, "page" : "1569-1575", "title" : "Review of recent advances in anaerobic packed-bed biogas reactors", "type" : "article-journal", "volume" : "13" }, "uris" : [ "http://www.mendeley.com/documents/?uuid=59866e5b-8c07-4e8f-9111-d87af250ce4c" ] } ], "mendeley" : { "formattedCitation" : "[13]", "plainTextFormattedCitation" : "[13]", "previouslyFormattedCitation" : "[13]" }, "properties" : { "noteIndex" : 0 }, "schema" : "https://github.com/citation-style-language/schema/raw/master/csl-citation.json" }</w:instrText>
      </w:r>
      <w:r w:rsidR="00F62E1E">
        <w:rPr>
          <w:rFonts w:asciiTheme="minorHAnsi" w:eastAsia="Calibri" w:hAnsiTheme="minorHAnsi" w:cs="Calibri"/>
          <w:color w:val="000000"/>
          <w:sz w:val="22"/>
          <w:szCs w:val="22"/>
          <w:lang w:eastAsia="en-GB"/>
        </w:rPr>
        <w:fldChar w:fldCharType="separate"/>
      </w:r>
      <w:r w:rsidR="00F62E1E" w:rsidRPr="00F62E1E">
        <w:rPr>
          <w:rFonts w:asciiTheme="minorHAnsi" w:eastAsia="Calibri" w:hAnsiTheme="minorHAnsi" w:cs="Calibri"/>
          <w:noProof/>
          <w:color w:val="000000"/>
          <w:sz w:val="22"/>
          <w:szCs w:val="22"/>
          <w:lang w:eastAsia="en-GB"/>
        </w:rPr>
        <w:t>[13]</w:t>
      </w:r>
      <w:r w:rsidR="00F62E1E">
        <w:rPr>
          <w:rFonts w:asciiTheme="minorHAnsi" w:eastAsia="Calibri" w:hAnsiTheme="minorHAnsi" w:cs="Calibri"/>
          <w:color w:val="000000"/>
          <w:sz w:val="22"/>
          <w:szCs w:val="22"/>
          <w:lang w:eastAsia="en-GB"/>
        </w:rPr>
        <w:fldChar w:fldCharType="end"/>
      </w:r>
      <w:r w:rsidR="00F62E1E">
        <w:rPr>
          <w:rFonts w:asciiTheme="minorHAnsi" w:eastAsia="Calibri" w:hAnsiTheme="minorHAnsi" w:cs="Calibri"/>
          <w:color w:val="000000"/>
          <w:sz w:val="22"/>
          <w:szCs w:val="22"/>
          <w:lang w:eastAsia="en-GB"/>
        </w:rPr>
        <w:t xml:space="preserve">, which all enhance the performance of AD by providing an increased surface area for adhesion from microbial biomass. </w:t>
      </w:r>
    </w:p>
    <w:p w14:paraId="3015AA5F" w14:textId="6B70FECE"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Different support materials for selective microbial immobilisation have been examined in fixed-film AD reactors, ranging from plasti</w:t>
      </w:r>
      <w:r w:rsidR="00A97F4F">
        <w:rPr>
          <w:rFonts w:asciiTheme="minorHAnsi" w:eastAsia="Calibri" w:hAnsiTheme="minorHAnsi" w:cs="Calibri"/>
          <w:color w:val="000000"/>
          <w:sz w:val="22"/>
          <w:szCs w:val="22"/>
          <w:lang w:eastAsia="en-GB"/>
        </w:rPr>
        <w:t>c polymers, to zeolites, to</w:t>
      </w:r>
      <w:r w:rsidRPr="00C44D8C">
        <w:rPr>
          <w:rFonts w:asciiTheme="minorHAnsi" w:eastAsia="Calibri" w:hAnsiTheme="minorHAnsi" w:cs="Calibri"/>
          <w:color w:val="000000"/>
          <w:sz w:val="22"/>
          <w:szCs w:val="22"/>
          <w:lang w:eastAsia="en-GB"/>
        </w:rPr>
        <w:t xml:space="preserve"> carbon fibre </w:t>
      </w:r>
      <w:r w:rsidR="00A97F4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"10.1016/j.energy.2011.03.068", "ISSN" : "03605442", "author" : [ { "dropping-particle" : "", "family" : "Gong", "given" : "Wei-jia", "non-dropping-particle" : "", "parse-names" : false, "suffix" : "" }, { "dropping-particle" : "", "family" : "Liang", "given" : "Heng", "non-dropping-particle" : "", "parse-names" : false, "suffix" : "" }, { "dropping-particle" : "", "family" : "Li", "given" : "Wen-zhe", "non-dropping-particle" : "", "parse-names" : false, "suffix" : "" }, { "dropping-particle" : "", "family" : "Wang", "given" : "Zhen-zhen", "non-dropping-particle" : "", "parse-names" : false, "suffix" : "" } ], "container-title" : "Energy", "id" : "ITEM-1", "issue" : "5", "issued" : { "date-parts" : [ [ "2011", "5" ] ] }, "page" : "3572-3578", "publisher" : "Elsevier Ltd", "title" : "Selection and evaluation of biofilm carrier in anaerobic digestion treatment of cattle manure", "type" : "article-journal", "volume" : "36" }, "uris" : [ "http://www.mendeley.com/documents/?uuid=b9fcefda-449d-47c6-b11b-37a0d0560b03" ] }, { "id" : "ITEM-2", "itemData" : { "DOI" : "10.1021/es3020502", "ISSN" : "1520-5851", "PMID" : "22906194", "abstract" : "Fibrous materials made of carbon fiber (CF), aromatic polyamide (AP), preoxidized polyacrylonitrile (PAN), and polyethylene (PE), which are widely used in the textile industry, were evaluated as biofilm supports for wastewater treatment. We found that CF has a high capacity for adsorbing nitrifying bacterial sludge. The adhesion rate of four pure strains-Cytophaga hutchinsonii, Alcaligenes faecalis, Bacillus subtilis, and Escherichia coli-was highest to CF. The \u03b6-potentials of the fibrous supports, and the cell surface potentials of these bacteria on the basis of the soft particle theory, were experimentally determined. Bacterial cell adhesion to the fibrous supports could be explained by Derjaguin-Landau-Verwey-Overbeek theory. Interaction energy profiles based on this theory indicated the disappearance of the energy barrier in bacterial cell adhesion to the CF support, whereas an insurmountable energy barrier was observed in the adhesion to the other fibrous supports. This result was attributed to the less negative \u03b6-potential of CF and the relatively large Hamaker constant for the CF/bacterium interaction in water; through simulations, the latter factor was found to make a greater contribution to lowering the energy barrier. In practice and theory, CF is an excellent material as a microbial and biofilm support for wastewater treatment.", "author" : [ { "dropping-particle" : "", "family" : "Matsumoto", "given" : "Shinya", "non-dropping-particle" : "", "parse-names" : false, "suffix" : "" }, { "dropping-particle" : "", "family" : "Ohtaki", "given" : "Akihito", "non-dropping-particle" : "", "parse-names" : false, "suffix" : "" }, { "dropping-particle" : "", "family" : "Hori", "given" : "Katsutoshi", "non-dropping-particle" : "", "parse-names" : false, "suffix" : "" } ], "container-title" : "Environmental science &amp; technology", "id" : "ITEM-2", "issue" : "18", "issued" : { "date-parts" : [ [ "2012", "9", "18" ] ] }, "page" : "10175-81", "title" : "Carbon fiber as an excellent support material for wastewater treatment biofilms.", "type" : "article-journal", "volume" : "46" }, "uris" : [ "http://www.mendeley.com/documents/?uuid=2ba5ed86-fd0d-471b-aff1-a892a235a610" ] }, { "id" : "ITEM-3", "itemData" : { "DOI" : "10.1016/j.biortech.2010.12.023", "ISSN" : "1873-2976", "PMID" : "21211965", "abstract" : "In anaerobic wastewater treatment systems, the complex microbial biomass including Archaea and Bacteria can be retained as a biofilm attached to solid supports. The aim of this study was to evaluate the impact of specific properties of support material on early microbial adhesion. Seven different substrata are described in terms of topography and surface energy. Adhesion of a methanogenic consortium to these substrata was tested, the adhesion was quantified as a percentage of the surface area covered and the bacterial and archaeal community structures was assessed by molecular fingerprinting profiles (CE-SSCP). As expected, the overall adhesion on the supports was influenced mainly by total surface energy. Moreover, the adhered communities were different from the parent inocula, including the Archaea/Bacteria ratio. This could have a significant impact on the start-up of anaerobic digesters for which supports favoring Archaea adhesion, responsible for the limiting reaction of the process, should be preferred.", "author" : [ { "dropping-particle" : "", "family" : "Habouzit", "given" : "Fr\u00e9d\u00e9ric", "non-dropping-particle" : "", "parse-names" : false, "suffix" : "" }, { "dropping-particle" : "", "family" : "G\u00e9vaudan", "given" : "Ga\u00eblle", "non-dropping-particle" : "", "parse-names" : false, "suffix" : "" }, { "dropping-particle" : "", "family" : "Hamelin", "given" : "J\u00e9r\u00f4me", "non-dropping-particle" : "", "parse-names" : false, "suffix" : "" }, { "dropping-particle" : "", "family" : "Steyer", "given" : "Jean-Philippe", "non-dropping-particle" : "", "parse-names" : false, "suffix" : "" }, { "dropping-particle" : "", "family" : "Bernet", "given" : "Nicolas", "non-dropping-particle" : "", "parse-names" : false, "suffix" : "" } ], "container-title" : "Bioresource technology", "id" : "ITEM-3", "issue" : "5", "issued" : { "date-parts" : [ [ "2011", "3" ] ] }, "page" : "4054-60", "title" : "Influence of support material properties on the potential selection of Archaea during initial adhesion of a methanogenic consortium.", "type" : "article-journal", "volume" : "102" }, "uris" : [ "http://www.mendeley.com/documents/?uuid=4bf566e3-042c-46b5-9d07-ed10ce554bbb" ] } ], "mendeley" : { "formattedCitation" : "[42,94,95]", "plainTextFormattedCitation" : "[42,94,95]", "previouslyFormattedCitation" : "[42,94,95]"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[42,94,95]</w:t>
      </w:r>
      <w:r w:rsidR="00A97F4F">
        <w:rPr>
          <w:rFonts w:asciiTheme="minorHAnsi" w:eastAsia="Calibri" w:hAnsiTheme="minorHAnsi" w:cs="Calibri"/>
          <w:color w:val="000000"/>
          <w:sz w:val="22"/>
          <w:szCs w:val="22"/>
          <w:lang w:eastAsia="en-GB"/>
        </w:rPr>
        <w:fldChar w:fldCharType="end"/>
      </w:r>
      <w:r w:rsidR="00A97F4F">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Support materials applicable to effective microbial immobilisation in AD consist of those made from non-biodegradable materials to ensure high durability in the face of high shear and high rate flows, and those that exhibit a large surface area and high porosity </w:t>
      </w:r>
      <w:r w:rsidR="00A97F4F">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"10.1016/j.energy.2011.03.068", "ISSN" : "03605442", "author" : [ { "dropping-particle" : "", "family" : "Gong", "given" : "Wei-jia", "non-dropping-particle" : "", "parse-names" : false, "suffix" : "" }, { "dropping-particle" : "", "family" : "Liang", "given" : "Heng", "non-dropping-particle" : "", "parse-names" : false, "suffix" : "" }, { "dropping-particle" : "", "family" : "Li", "given" : "Wen-zhe", "non-dropping-particle" : "", "parse-names" : false, "suffix" : "" }, { "dropping-particle" : "", "family" : "Wang", "given" : "Zhen-zhen", "non-dropping-particle" : "", "parse-names" : false, "suffix" : "" } ], "container-title" : "Energy", "id" : "ITEM-1", "issue" : "5", "issued" : { "date-parts" : [ [ "2011", "5" ] ] }, "page" : "3572-3578", "publisher" : "Elsevier Ltd", "title" : "Selection and evaluation of biofilm carrier in anaerobic digestion treatment of cattle manure", "type" : "article-journal", "volume" : "36" }, "uris" : [ "http://www.mendeley.com/documents/?uuid=b9fcefda-449d-47c6-b11b-37a0d0560b03" ] } ], "mendeley" : { "formattedCitation" : "[42]", "plainTextFormattedCitation" : "[42]", "previouslyFormattedCitation" : "[42]"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[42]</w:t>
      </w:r>
      <w:r w:rsidR="00A97F4F">
        <w:rPr>
          <w:rFonts w:asciiTheme="minorHAnsi" w:eastAsia="Calibri" w:hAnsiTheme="minorHAnsi" w:cs="Calibri"/>
          <w:color w:val="000000"/>
          <w:sz w:val="22"/>
          <w:szCs w:val="22"/>
          <w:lang w:eastAsia="en-GB"/>
        </w:rPr>
        <w:fldChar w:fldCharType="end"/>
      </w:r>
      <w:r w:rsidR="00A97F4F">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to enhance biofilm formation</w:t>
      </w:r>
      <w:r w:rsidRPr="00C44D8C">
        <w:rPr>
          <w:rFonts w:asciiTheme="minorHAnsi" w:eastAsia="Calibri" w:hAnsiTheme="minorHAnsi" w:cs="Calibri"/>
          <w:i/>
          <w:color w:val="000000"/>
          <w:sz w:val="22"/>
          <w:szCs w:val="22"/>
          <w:lang w:eastAsia="en-GB"/>
        </w:rPr>
        <w:t>.</w:t>
      </w:r>
    </w:p>
    <w:p w14:paraId="4A35C59E" w14:textId="353D3A02"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However, owing to the variable experimental parameters and feedstocks tested in the literature, it is a challenge to select an obvious set of high performing materials to use as support structures in fixed-film AD reactors. In addition, the enormous diversity of biological and physicochemical mechanisms governing biofilm formation can make it difficult to define the ideal conditions required for optimal initial adhesion and biofilm formation</w:t>
      </w:r>
      <w:r w:rsidR="00A97F4F">
        <w:rPr>
          <w:rFonts w:asciiTheme="minorHAnsi" w:eastAsia="Calibri" w:hAnsiTheme="minorHAnsi" w:cs="Calibri"/>
          <w:color w:val="000000"/>
          <w:sz w:val="22"/>
          <w:szCs w:val="22"/>
          <w:lang w:eastAsia="en-GB"/>
        </w:rPr>
        <w:t xml:space="preserve"> </w:t>
      </w:r>
      <w:r w:rsidR="00A97F4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"1473-2262", "PMID" : "15593018", "abstract" : "This article reviews the mechanisms of bacterial adhesion to biomaterial surfaces, the factors affecting the adhesion, the techniques used in estimating bacteria-material interactions and the models that have been developed in order to predict adhesion. The process of bacterial adhesion includes an initial physicochemical interaction phase and a late molecular and cellular one. It is a complicated process influenced by many factors, including the bacterial properties, the material surface characteristics, the environmental factors, such as the presence of serum proteins and the associated flow conditions. Two categories of techniques used in estimating bacteria-material interactions are described: those that utilize fluid flowing against the adhered bacteria and counting the percentage of bacteria that detach, and those that manipulate single bacteria in various configurations which lend themselves to more specific force application and provide the basis for theoretical analysis of the receptor-ligand interactions. The theories that are reviewed are the Derjaguin-Landau-Verwey-Overbeek (DLVO) theory, the thermodynamic approach and the extended DLVO theory. Over the years, significant work has been done to investigate the process of bacterial adhesion to biomaterial surfaces, however a lot of questions still remain unanswered.", "author" : [ { "dropping-particle" : "", "family" : "Katsikogianni", "given" : "M", "non-dropping-particle" : "", "parse-names" : false, "suffix" : "" }, { "dropping-particle" : "", "family" : "Missirlis", "given" : "Y F", "non-dropping-particle" : "", "parse-names" : false, "suffix" : "" } ], "container-title" : "European cells &amp; materials", "id" : "ITEM-1", "issued" : { "date-parts" : [ [ "2004", "12", "7" ] ] }, "page" : "37-57", "title" : "Concise review of mechanisms of bacterial adhesion to biomaterials and of techniques used in estimating bacteria-material interactions.", "type" : "article-journal", "volume" : "8" }, "uris" : [ "http://www.mendeley.com/documents/?uuid=4eda8098-d6b0-46bf-a937-897b50c8ad2c" ] } ], "mendeley" : { "formattedCitation" : "[66]", "plainTextFormattedCitation" : "[66]", "previouslyFormattedCitation" : "[66]"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[66]</w:t>
      </w:r>
      <w:r w:rsidR="00A97F4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Yet, studies have reported a correlation between the selective adhesion of methanogenic archaea to particular support materials based on microbial and abiotic physicochemical surface properties </w:t>
      </w:r>
      <w:r w:rsidR="00A97F4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"Verrier", "given" : "D.", "non-dropping-particle" : "", "parse-names" : false, "suffix" : "" }, { "dropping-particle" : "", "family" : "MORTIER", "given" : "B.", "non-dropping-particle" : "", "parse-names" : false, "suffix" : "" }, { "dropping-particle" : "", "family" : "Albagnac", "given" : "G.", "non-dropping-particle" : "", "parse-names" : false, "suffix" : "" } ], "container-title" : "Biotechnology Letters", "id" : "ITEM-1", "issue" : "10", "issued" : { "date-parts" : [ [ "1987" ] ] }, "page" : "735-740", "title" : "INITIAL ADHESION OF METHANOGENIC BACTERIA TO POLYMERS", "type" : "article-journal", "volume" : "9" }, "uris" : [ "http://www.mendeley.com/documents/?uuid=0930b16e-69fc-4a28-8a97-9211d32a600c" ] }, { "id" : "ITEM-2", "itemData" : { "DOI" : "10.1111/1751-7915.12115", "ISSN" : "1751-7915", "PMID" : "24612643", "abstract" : "To evaluate the impact of the nature of the support material on its colonization by a methanogenic consortium, four substrata made of different materials: polyvinyl chloride, 2 polyethylene and polypropylene were tested during the start-up of lab-scale fixed-film reactors. The reactor performances were evaluated and compared together with the analysis of the biofilms. Biofilm growth was quantified and the structure of bacterial and archaeal communities were characterized by molecular fingerprinting profiles (capillary electrophoresis-single strand conformation polymorphism). The composition of the inoculum was shown to have a major impact on the bacterial composition of the biofilm, whatever the nature of the support material or the organic loading rate applied to the reactors during the start-up period. In contrast, the biofilm archaeal populations were independent of the inoculum used but highly dependent on the support material. Supports favouring Archaea colonization, the limiting factor in the overall process, should be preferred.", "author" : [ { "dropping-particle" : "", "family" : "Habouzit", "given" : "Fr\u00e9d\u00e9ric", "non-dropping-particle" : "", "parse-names" : false, "suffix" : "" }, { "dropping-particle" : "", "family" : "Hamelin", "given" : "J\u00e9r\u00f4me", "non-dropping-particle" : "", "parse-names" : false, "suffix" : "" }, { "dropping-particle" : "", "family" : "Santa-Catalina", "given" : "Ga\u00eblle", "non-dropping-particle" : "", "parse-names" : false, "suffix" : "" }, { "dropping-particle" : "", "family" : "Steyer", "given" : "Jean-P", "non-dropping-particle" : "", "parse-names" : false, "suffix" : "" }, { "dropping-particle" : "", "family" : "Bernet", "given" : "Nicolas", "non-dropping-particle" : "", "parse-names" : false, "suffix" : "" } ], "container-title" : "Microbial biotechnology", "id" : "ITEM-2", "issue" : "3", "issued" : { "date-parts" : [ [ "2014", "5" ] ] }, "page" : "257-64", "title" : "Biofilm development during the start-up period of anaerobic biofilm reactors: the biofilm Archaea community is highly dependent on the support material.", "type" : "article-journal", "volume" : "7" }, "uris" : [ "http://www.mendeley.com/documents/?uuid=5b3a22a0-d45a-4db7-9716-88119ba1ceb8" ] }, { "id" : "ITEM-3", "itemData" : { "DOI" : "10.1016/j.jenvman.2007.07.015", "ISSN" : "0301-4797", "PMID" : "17765390", "abstract" : "The objective of this study was to determine the best performance of an anaerobic sequencing batch biofilm reactor (AnSBBR) based on the use of four different bed materials as support for biomass immobilization. The bed materials utilized were polyurethane foam (PU), vegetal carbon (VC), synthetic pumice (SP), and recycled low-density polyethylene (PE). The AnSBBR, with a total volume of 7.2L, was operated in 8-h batch cycles over 10 months, and fed with domestic sewage with an average influent chemical oxygen demand (COD) of 358+/-110 mg/L. The average effluent COD values were 121+/-31, 208+/-54, 233+/-52, and 227+/-51 mg/L, for PU, VC, SP, and PE, respectively. A modified first-order kinetic model was adjusted to temporal profiles of COD during a batch cycle, and the apparent kinetic constants were 0.52+/-0.05, 0.37+/-0.05, 0.80+/-0.04, and 0.30+/-0.02 h(-1) for PU, VC, SP, and PE, respectively. Specific substrate utilization rates of 1.08, 0.11, and 0.86 mg COD/mg VS day were obtained for PU, VC, and PE, respectively. Although SP yielded the highest kinetic coefficient, PU was considered the best support, since SP presented loss of chemical constituents during the reactor's operational phase. In addition, findings on the microbial community were associated with the reactor's performance data. Although PE did not show a satisfactory performance, an interesting microbial diversity was found on its surface. Based on the morphology and denaturing gradient gel electrophoresis (DGGE) results, PE showed the best capacity for promoting the attachment of methanogenic organisms, and is therefore a material that merits further analysis. PU was considered the most suitable material showing the best performance in terms of efficiency of solids and COD removal.", "author" : [ { "dropping-particle" : "", "family" : "Garcia", "given" : "M L", "non-dropping-particle" : "", "parse-names" : false, "suffix" : "" }, { "dropping-particle" : "", "family" : "Lapa", "given" : "K R", "non-dropping-particle" : "", "parse-names" : false, "suffix" : "" }, { "dropping-particle" : "", "family" : "Foresti", "given" : "E", "non-dropping-particle" : "", "parse-names" : false, "suffix" : "" }, { "dropping-particle" : "", "family" : "Zaiat", "given" : "M", "non-dropping-particle" : "", "parse-names" : false, "suffix" : "" } ], "container-title" : "Journal of environmental management", "id" : "ITEM-3", "issue" : "4", "issued" : { "date-parts" : [ [ "2008", "9" ] ] }, "page" : "1471-7", "title" : "Effects of bed materials on the performance of an anaerobic sequencing batch biofilm reactor treating domestic sewage.", "type" : "article-journal", "volume" : "88" }, "uris" : [ "http://www.mendeley.com/documents/?uuid=f8bd6ae4-2353-4d34-8a8f-3d70bc24b090" ] } ], "mendeley" : { "formattedCitation" : "[45,96,97]", "plainTextFormattedCitation" : "[45,96,97]", "previouslyFormattedCitation" : "[45,96,97]"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[45,96,97]</w:t>
      </w:r>
      <w:r w:rsidR="00A97F4F">
        <w:rPr>
          <w:rFonts w:asciiTheme="minorHAnsi" w:eastAsia="Calibri" w:hAnsiTheme="minorHAnsi" w:cs="Calibri"/>
          <w:color w:val="000000"/>
          <w:sz w:val="22"/>
          <w:szCs w:val="22"/>
          <w:lang w:eastAsia="en-GB"/>
        </w:rPr>
        <w:fldChar w:fldCharType="end"/>
      </w:r>
      <w:r w:rsidR="00A97F4F">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This information can provide a better insight into the processes underlying selective biofilm formation of methanogens to a surface.</w:t>
      </w:r>
    </w:p>
    <w:p w14:paraId="0BEB26B4" w14:textId="0707870E"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ab/>
      </w:r>
      <w:r w:rsidRPr="00A97F4F">
        <w:rPr>
          <w:rFonts w:asciiTheme="minorHAnsi" w:eastAsia="Calibri" w:hAnsiTheme="minorHAnsi" w:cs="Calibri"/>
          <w:color w:val="000000"/>
          <w:sz w:val="22"/>
          <w:szCs w:val="22"/>
          <w:lang w:eastAsia="en-GB"/>
        </w:rPr>
        <w:t xml:space="preserve">Sanchez </w:t>
      </w:r>
      <w:r w:rsidRPr="00A97F4F">
        <w:rPr>
          <w:rFonts w:asciiTheme="minorHAnsi" w:eastAsia="Calibri" w:hAnsiTheme="minorHAnsi" w:cs="Calibri"/>
          <w:i/>
          <w:color w:val="000000"/>
          <w:sz w:val="22"/>
          <w:szCs w:val="22"/>
          <w:lang w:eastAsia="en-GB"/>
        </w:rPr>
        <w:t xml:space="preserve">et al. </w:t>
      </w:r>
      <w:r w:rsidRPr="00A97F4F">
        <w:rPr>
          <w:rFonts w:asciiTheme="minorHAnsi" w:eastAsia="Calibri" w:hAnsiTheme="minorHAnsi" w:cs="Calibri"/>
          <w:color w:val="000000"/>
          <w:sz w:val="22"/>
          <w:szCs w:val="22"/>
          <w:lang w:eastAsia="en-GB"/>
        </w:rPr>
        <w:t>(1994) demonstrated</w:t>
      </w:r>
      <w:r w:rsidRPr="00C44D8C">
        <w:rPr>
          <w:rFonts w:asciiTheme="minorHAnsi" w:eastAsia="Calibri" w:hAnsiTheme="minorHAnsi" w:cs="Calibri"/>
          <w:color w:val="000000"/>
          <w:sz w:val="22"/>
          <w:szCs w:val="22"/>
          <w:lang w:eastAsia="en-GB"/>
        </w:rPr>
        <w:t xml:space="preserve"> that sepiolite and dibase attracted a higher attached cell density of methanogens and methane production from domestic sewage after 8 days of incubation, compared to polyvinylchloride (PVC), polyurethane and bentonite. Each of these support materials selected for different species of attached bacteria and methanogens, thus providing a specific localised environment for particular species and types of biofilms to form</w:t>
      </w:r>
      <w:r w:rsidR="00A97F4F">
        <w:rPr>
          <w:rFonts w:asciiTheme="minorHAnsi" w:eastAsia="Calibri" w:hAnsiTheme="minorHAnsi" w:cs="Calibri"/>
          <w:color w:val="000000"/>
          <w:sz w:val="22"/>
          <w:szCs w:val="22"/>
          <w:lang w:eastAsia="en-GB"/>
        </w:rPr>
        <w:t xml:space="preserve"> </w:t>
      </w:r>
      <w:r w:rsidR="00A97F4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"10.1007/s002530050177", "ISBN" : "0175-7598", "ISSN" : "01757598", "abstract" : "Microbial colonization of the different support materials used to enhance methane production in anaerobic digesters is rapid and occurs in the first 24 h of sludge incubation. Scanning electron microscopy studies reveal a predominant presence of filamentous methanogenic forms, closely resembling Methanosaeta (Methanothrix), which are located on the outer layer and in the bacterial framework of the biofilm. These findings are consistent with the results obtained from microbial counts using both the most probable number and epifluorescence microscopic techniques, which show an increase in the numbers of aceticlastic methanogens compared to other microbial groups involved, such as sulphate-reducing bacteria, the numbers of which are similar to those obtained under the initial conditions. Moreover, a sharp increase in the bacterial counts is observed by using the epifluorescence microscopic technique applied to homogenized samples, probably due to the count of bacteria released from the support materials.", "author" : [ { "dropping-particle" : "", "family" : "Sanchez", "given" : "J. M.", "non-dropping-particle" : "", "parse-names" : false, "suffix" : "" }, { "dropping-particle" : "", "family" : "Arijo", "given" : "S.", "non-dropping-particle" : "", "parse-names" : false, "suffix" : "" }, { "dropping-particle" : "", "family" : "Munoz", "given" : "M. a.", "non-dropping-particle" : "", "parse-names" : false, "suffix" : "" }, { "dropping-particle" : "", "family" : "Morinigo", "given" : "M. a.", "non-dropping-particle" : "", "parse-names" : false, "suffix" : "" }, { "dropping-particle" : "", "family" : "Borrego", "given" : "J. J.", "non-dropping-particle" : "", "parse-names" : false, "suffix" : "" } ], "container-title" : "Applied Microbiology and Biotechnology", "id" : "ITEM-1", "issued" : { "date-parts" : [ [ "1994" ] ] }, "page" : "480-486", "title" : "Microbial colonization of different support materials used to enhance the methanogenic process", "type" : "article-journal", "volume" : "41" }, "uris" : [ "http://www.mendeley.com/documents/?uuid=6e0670aa-a5da-4e94-a7de-e7d8a826396b" ] } ], "mendeley" : { "formattedCitation" : "[98]", "plainTextFormattedCitation" : "[98]", "previouslyFormattedCitation" : "[98]"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[98]</w:t>
      </w:r>
      <w:r w:rsidR="00A97F4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573874DF" w14:textId="63E66D45"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ab/>
      </w:r>
      <w:r w:rsidR="00795988">
        <w:rPr>
          <w:rFonts w:asciiTheme="minorHAnsi" w:eastAsia="Calibri" w:hAnsiTheme="minorHAnsi" w:cs="Calibri"/>
          <w:color w:val="000000"/>
          <w:sz w:val="22"/>
          <w:szCs w:val="22"/>
          <w:lang w:eastAsia="en-GB"/>
        </w:rPr>
        <w:t>In another study, t</w:t>
      </w:r>
      <w:r w:rsidRPr="00C44D8C">
        <w:rPr>
          <w:rFonts w:asciiTheme="minorHAnsi" w:eastAsia="Calibri" w:hAnsiTheme="minorHAnsi" w:cs="Calibri"/>
          <w:color w:val="000000"/>
          <w:sz w:val="22"/>
          <w:szCs w:val="22"/>
          <w:lang w:eastAsia="en-GB"/>
        </w:rPr>
        <w:t>he polymeric materials, PVC and polypropylene (PP) supported the highest attachment of methanogenic archaea in a pilot-scale AD reactor treating anaerobic sludge, resulting in higher COD removal rates. The findings suggested a strong influence of the support material on the archaeal population, whereas this specificity was not significant in the bacterial population</w:t>
      </w:r>
      <w:r w:rsidR="00A97F4F">
        <w:rPr>
          <w:rFonts w:asciiTheme="minorHAnsi" w:eastAsia="Calibri" w:hAnsiTheme="minorHAnsi" w:cs="Calibri"/>
          <w:color w:val="000000"/>
          <w:sz w:val="22"/>
          <w:szCs w:val="22"/>
          <w:lang w:eastAsia="en-GB"/>
        </w:rPr>
        <w:t xml:space="preserve"> </w:t>
      </w:r>
      <w:r w:rsidR="00A97F4F">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"10.1111/1751-7915.12115", "ISSN" : "1751-7915", "PMID" : "24612643", "abstract" : "To evaluate the impact of the nature of the support material on its colonization by a methanogenic consortium, four substrata made of different materials: polyvinyl chloride, 2 polyethylene and polypropylene were tested during the start-up of lab-scale fixed-film reactors. The reactor performances were evaluated and compared together with the analysis of the biofilms. Biofilm growth was quantified and the structure of bacterial and archaeal communities were characterized by molecular fingerprinting profiles (capillary electrophoresis-single strand conformation polymorphism). The composition of the inoculum was shown to have a major impact on the bacterial composition of the biofilm, whatever the nature of the support material or the organic loading rate applied to the reactors during the start-up period. In contrast, the biofilm archaeal populations were independent of the inoculum used but highly dependent on the support material. Supports favouring Archaea colonization, the limiting factor in the overall process, should be preferred.", "author" : [ { "dropping-particle" : "", "family" : "Habouzit", "given" : "Fr\u00e9d\u00e9ric", "non-dropping-particle" : "", "parse-names" : false, "suffix" : "" }, { "dropping-particle" : "", "family" : "Hamelin", "given" : "J\u00e9r\u00f4me", "non-dropping-particle" : "", "parse-names" : false, "suffix" : "" }, { "dropping-particle" : "", "family" : "Santa-Catalina", "given" : "Ga\u00eblle", "non-dropping-particle" : "", "parse-names" : false, "suffix" : "" }, { "dropping-particle" : "", "family" : "Steyer", "given" : "Jean-P", "non-dropping-particle" : "", "parse-names" : false, "suffix" : "" }, { "dropping-particle" : "", "family" : "Bernet", "given" : "Nicolas", "non-dropping-particle" : "", "parse-names" : false, "suffix" : "" } ], "container-title" : "Microbial biotechnology", "id" : "ITEM-1", "issue" : "3", "issued" : { "date-parts" : [ [ "2014", "5" ] ] }, "page" : "257-64", "title" : "Biofilm development during the start-up period of anaerobic biofilm reactors: the biofilm Archaea community is highly dependent on the support material.", "type" : "article-journal", "volume" : "7" }, "uris" : [ "http://www.mendeley.com/documents/?uuid=5b3a22a0-d45a-4db7-9716-88119ba1ceb8" ] } ], "mendeley" : { "formattedCitation" : "[45]", "plainTextFormattedCitation" : "[45]", "previouslyFormattedCitation" : "[45]" }, "properties" : { "noteIndex" : 0 }, "schema" : "https://github.com/citation-style-language/schema/raw/master/csl-citation.json" }</w:instrText>
      </w:r>
      <w:r w:rsidR="00A97F4F">
        <w:rPr>
          <w:rFonts w:asciiTheme="minorHAnsi" w:eastAsia="Calibri" w:hAnsiTheme="minorHAnsi" w:cs="Calibri"/>
          <w:color w:val="000000"/>
          <w:sz w:val="22"/>
          <w:szCs w:val="22"/>
          <w:lang w:eastAsia="en-GB"/>
        </w:rPr>
        <w:fldChar w:fldCharType="separate"/>
      </w:r>
      <w:r w:rsidR="003250CB" w:rsidRPr="003250CB">
        <w:rPr>
          <w:rFonts w:asciiTheme="minorHAnsi" w:eastAsia="Calibri" w:hAnsiTheme="minorHAnsi" w:cs="Calibri"/>
          <w:noProof/>
          <w:color w:val="000000"/>
          <w:sz w:val="22"/>
          <w:szCs w:val="22"/>
          <w:lang w:eastAsia="en-GB"/>
        </w:rPr>
        <w:t>[45]</w:t>
      </w:r>
      <w:r w:rsidR="00A97F4F">
        <w:rPr>
          <w:rFonts w:asciiTheme="minorHAnsi" w:eastAsia="Calibri" w:hAnsiTheme="minorHAnsi" w:cs="Calibri"/>
          <w:color w:val="000000"/>
          <w:sz w:val="22"/>
          <w:szCs w:val="22"/>
          <w:lang w:eastAsia="en-GB"/>
        </w:rPr>
        <w:fldChar w:fldCharType="end"/>
      </w:r>
      <w:r w:rsidR="00A97F4F">
        <w:rPr>
          <w:rFonts w:asciiTheme="minorHAnsi" w:eastAsia="Calibri" w:hAnsiTheme="minorHAnsi" w:cs="Calibri"/>
          <w:color w:val="000000"/>
          <w:sz w:val="22"/>
          <w:szCs w:val="22"/>
          <w:lang w:eastAsia="en-GB"/>
        </w:rPr>
        <w:t>.</w:t>
      </w:r>
    </w:p>
    <w:p w14:paraId="2BE872AB" w14:textId="088ADF4E"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ab/>
        <w:t xml:space="preserve">Similarly, </w:t>
      </w:r>
      <w:r w:rsidR="00A97F4F">
        <w:rPr>
          <w:rFonts w:asciiTheme="minorHAnsi" w:eastAsia="Calibri" w:hAnsiTheme="minorHAnsi" w:cs="Calibri"/>
          <w:color w:val="000000"/>
          <w:sz w:val="22"/>
          <w:szCs w:val="22"/>
          <w:lang w:eastAsia="en-GB"/>
        </w:rPr>
        <w:t>a study</w:t>
      </w:r>
      <w:r w:rsidRPr="00C44D8C">
        <w:rPr>
          <w:rFonts w:asciiTheme="minorHAnsi" w:eastAsia="Calibri" w:hAnsiTheme="minorHAnsi" w:cs="Calibri"/>
          <w:color w:val="000000"/>
          <w:sz w:val="22"/>
          <w:szCs w:val="22"/>
          <w:lang w:eastAsia="en-GB"/>
        </w:rPr>
        <w:t xml:space="preserve"> demonstrated the selective adhesion of </w:t>
      </w:r>
      <w:r w:rsidRPr="00C44D8C">
        <w:rPr>
          <w:rFonts w:asciiTheme="minorHAnsi" w:eastAsia="Calibri" w:hAnsiTheme="minorHAnsi" w:cs="Calibri"/>
          <w:i/>
          <w:color w:val="000000"/>
          <w:sz w:val="22"/>
          <w:szCs w:val="22"/>
          <w:lang w:eastAsia="en-GB"/>
        </w:rPr>
        <w:t>M. concilii</w:t>
      </w:r>
      <w:r w:rsidRPr="00C44D8C">
        <w:rPr>
          <w:rFonts w:asciiTheme="minorHAnsi" w:eastAsia="Calibri" w:hAnsiTheme="minorHAnsi" w:cs="Calibri"/>
          <w:color w:val="000000"/>
          <w:sz w:val="22"/>
          <w:szCs w:val="22"/>
          <w:lang w:eastAsia="en-GB"/>
        </w:rPr>
        <w:t xml:space="preserve"> to polytetrafluoroethylene (PTFE), PP and polyethylene (PE), whereas no cell adhesion was </w:t>
      </w:r>
      <w:r w:rsidRPr="00C44D8C">
        <w:rPr>
          <w:rFonts w:asciiTheme="minorHAnsi" w:eastAsia="Calibri" w:hAnsiTheme="minorHAnsi" w:cs="Calibri"/>
          <w:color w:val="000000"/>
          <w:sz w:val="22"/>
          <w:szCs w:val="22"/>
          <w:lang w:eastAsia="en-GB"/>
        </w:rPr>
        <w:lastRenderedPageBreak/>
        <w:t xml:space="preserve">observed on polyamide. </w:t>
      </w:r>
      <w:r w:rsidRPr="00C44D8C">
        <w:rPr>
          <w:rFonts w:asciiTheme="minorHAnsi" w:eastAsia="Calibri" w:hAnsiTheme="minorHAnsi" w:cs="Calibri"/>
          <w:i/>
          <w:color w:val="000000"/>
          <w:sz w:val="22"/>
          <w:szCs w:val="22"/>
          <w:lang w:eastAsia="en-GB"/>
        </w:rPr>
        <w:t xml:space="preserve">M. mazei </w:t>
      </w:r>
      <w:r w:rsidRPr="00C44D8C">
        <w:rPr>
          <w:rFonts w:asciiTheme="minorHAnsi" w:eastAsia="Calibri" w:hAnsiTheme="minorHAnsi" w:cs="Calibri"/>
          <w:color w:val="000000"/>
          <w:sz w:val="22"/>
          <w:szCs w:val="22"/>
          <w:lang w:eastAsia="en-GB"/>
        </w:rPr>
        <w:t xml:space="preserve">did not adhere to any of the tested polymer surfaces, potentially due to the highly hydrophilic nature of its secreted EPS, whereas </w:t>
      </w:r>
      <w:r w:rsidRPr="00C44D8C">
        <w:rPr>
          <w:rFonts w:asciiTheme="minorHAnsi" w:eastAsia="Calibri" w:hAnsiTheme="minorHAnsi" w:cs="Calibri"/>
          <w:i/>
          <w:color w:val="000000"/>
          <w:sz w:val="22"/>
          <w:szCs w:val="22"/>
          <w:lang w:eastAsia="en-GB"/>
        </w:rPr>
        <w:t xml:space="preserve">M. hungatei </w:t>
      </w:r>
      <w:r w:rsidRPr="00C44D8C">
        <w:rPr>
          <w:rFonts w:asciiTheme="minorHAnsi" w:eastAsia="Calibri" w:hAnsiTheme="minorHAnsi" w:cs="Calibri"/>
          <w:color w:val="000000"/>
          <w:sz w:val="22"/>
          <w:szCs w:val="22"/>
          <w:lang w:eastAsia="en-GB"/>
        </w:rPr>
        <w:t>selectively attached to polyacetal and PVC</w:t>
      </w:r>
      <w:r w:rsidR="00E3620D">
        <w:rPr>
          <w:rFonts w:asciiTheme="minorHAnsi" w:eastAsia="Calibri" w:hAnsiTheme="minorHAnsi" w:cs="Calibri"/>
          <w:color w:val="000000"/>
          <w:sz w:val="22"/>
          <w:szCs w:val="22"/>
          <w:lang w:eastAsia="en-GB"/>
        </w:rPr>
        <w:t xml:space="preserve"> </w:t>
      </w:r>
      <w:r w:rsidR="00E362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"Verrier", "given" : "D.", "non-dropping-particle" : "", "parse-names" : false, "suffix" : "" }, { "dropping-particle" : "", "family" : "MORTIER", "given" : "B.", "non-dropping-particle" : "", "parse-names" : false, "suffix" : "" }, { "dropping-particle" : "", "family" : "Albagnac", "given" : "G.", "non-dropping-particle" : "", "parse-names" : false, "suffix" : "" } ], "container-title" : "Biotechnology Letters", "id" : "ITEM-1", "issue" : "10", "issued" : { "date-parts" : [ [ "1987" ] ] }, "page" : "735-740", "title" : "INITIAL ADHESION OF METHANOGENIC BACTERIA TO POLYMERS", "type" : "article-journal", "volume" : "9" }, "uris" : [ "http://www.mendeley.com/documents/?uuid=0930b16e-69fc-4a28-8a97-9211d32a600c" ] } ], "mendeley" : { "formattedCitation" : "[96]", "plainTextFormattedCitation" : "[96]", "previouslyFormattedCitation" : "[96]"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[96]</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4F6601B7" w14:textId="786AE4CD" w:rsidR="00436CD0" w:rsidRPr="00B94D0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ab/>
        <w:t>A comprehensive understanding of how</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a particular support material affects the physicochemical and biological mechanisms underlying biofilm formation is not well understood. Such an understanding would allow the tailored design and choice of appropriate support materials for the early establishment of selective high-performing biofilms in AD reactors, such as the proposed concept of a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based AD reactor</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put forward in this thesis.</w:t>
      </w:r>
      <w:r w:rsidRPr="00C44D8C">
        <w:rPr>
          <w:rFonts w:asciiTheme="minorHAnsi" w:eastAsia="Calibri" w:hAnsiTheme="minorHAnsi" w:cs="Calibri"/>
          <w:i/>
          <w:color w:val="000000"/>
          <w:sz w:val="22"/>
          <w:szCs w:val="22"/>
          <w:lang w:eastAsia="en-GB"/>
        </w:rPr>
        <w:t xml:space="preserve">  </w:t>
      </w:r>
      <w:r w:rsidR="00B94D0C">
        <w:rPr>
          <w:rFonts w:asciiTheme="minorHAnsi" w:eastAsia="Calibri" w:hAnsiTheme="minorHAnsi" w:cs="Calibri"/>
          <w:color w:val="000000"/>
          <w:sz w:val="22"/>
          <w:szCs w:val="22"/>
          <w:lang w:eastAsia="en-GB"/>
        </w:rPr>
        <w:t xml:space="preserve"> </w:t>
      </w:r>
    </w:p>
    <w:p w14:paraId="175CA26C" w14:textId="43A8A01D" w:rsidR="00436CD0" w:rsidRPr="00C44D8C" w:rsidRDefault="00436CD0" w:rsidP="00B94D0C">
      <w:pPr>
        <w:pStyle w:val="Heading1"/>
        <w:rPr>
          <w:rFonts w:eastAsia="Arial" w:cs="Arial"/>
          <w:lang w:eastAsia="en-GB"/>
        </w:rPr>
      </w:pPr>
      <w:bookmarkStart w:id="50" w:name="_Toc462575267"/>
      <w:r w:rsidRPr="00C44D8C">
        <w:rPr>
          <w:lang w:eastAsia="en-GB"/>
        </w:rPr>
        <w:t>2.5. Current biofilm research methods</w:t>
      </w:r>
      <w:bookmarkEnd w:id="50"/>
    </w:p>
    <w:p w14:paraId="57CFD403" w14:textId="15D7475A"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study of biofilms is a complex process, and as such, requires a multidisciplinary approach to better understand the underlying mechanisms governing it</w:t>
      </w:r>
      <w:r w:rsidR="00E3620D">
        <w:rPr>
          <w:rFonts w:asciiTheme="minorHAnsi" w:eastAsia="Calibri" w:hAnsiTheme="minorHAnsi" w:cs="Calibri"/>
          <w:color w:val="000000"/>
          <w:sz w:val="22"/>
          <w:szCs w:val="22"/>
          <w:lang w:eastAsia="en-GB"/>
        </w:rPr>
        <w:t xml:space="preserve"> </w:t>
      </w:r>
      <w:r w:rsidR="00E362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Therefore, various methods have been developed to examine the different steps involved in biofilm formation in bacteria and archaea. These methods span a wide range of disciplines, such as surface and polymer science, microbiology, genetics and chemistry, and highlights how a fully interdisciplinary effort is required for the study of biofilms </w:t>
      </w:r>
      <w:r w:rsidR="00E3620D">
        <w:rPr>
          <w:rFonts w:asciiTheme="minorHAnsi" w:eastAsia="Calibri" w:hAnsiTheme="minorHAnsi" w:cs="Calibri"/>
          <w:color w:val="000000"/>
          <w:sz w:val="22"/>
          <w:szCs w:val="22"/>
          <w:lang w:eastAsia="en-GB"/>
        </w:rPr>
        <w:fldChar w:fldCharType="begin" w:fldLock="1"/>
      </w:r>
      <w:r w:rsidR="00E3620D">
        <w:rPr>
          <w:rFonts w:asciiTheme="minorHAnsi" w:eastAsia="Calibri" w:hAnsiTheme="minorHAnsi" w:cs="Calibri"/>
          <w:color w:val="000000"/>
          <w:sz w:val="22"/>
          <w:szCs w:val="22"/>
          <w:lang w:eastAsia="en-GB"/>
        </w:rPr>
        <w:instrText>ADDIN CSL_CITATION { "citationItems" : [ { "id" : "ITEM-1", "itemData" : { "DOI" : "10.1016/S0167-7012(97)00058-4", "ISSN" : "01677012", "author" : [ { "dropping-particle" : "", "family" : "An", "given" : "Yuehuei H", "non-dropping-particle" : "", "parse-names" : false, "suffix" : "" }, { "dropping-particle" : "", "family" : "Friedman", "given" : "Richard J", "non-dropping-particle" : "", "parse-names" : false, "suffix" : "" } ], "container-title" : "Journal of Microbiological Methods", "id" : "ITEM-1", "issue" : "2", "issued" : { "date-parts" : [ [ "1997", "8" ] ] }, "page" : "141-152", "title" : "Laboratory methods for studies of bacterial adhesion", "type" : "article-journal", "volume" : "30" }, "uris" : [ "http://www.mendeley.com/documents/?uuid=a2942c76-e961-4a5a-b60f-3947fca50dd1" ] } ], "mendeley" : { "formattedCitation" : "[25]", "plainTextFormattedCitation" : "[25]", "previouslyFormattedCitation" : "[25]"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E3620D" w:rsidRPr="00E3620D">
        <w:rPr>
          <w:rFonts w:asciiTheme="minorHAnsi" w:eastAsia="Calibri" w:hAnsiTheme="minorHAnsi" w:cs="Calibri"/>
          <w:noProof/>
          <w:color w:val="000000"/>
          <w:sz w:val="22"/>
          <w:szCs w:val="22"/>
          <w:lang w:eastAsia="en-GB"/>
        </w:rPr>
        <w:t>[25]</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These methods will be discussed in further detail in the following sections, and form the basis of the methodology used throughout this thesis.</w:t>
      </w:r>
    </w:p>
    <w:p w14:paraId="5B055B91" w14:textId="77777777" w:rsidR="00436CD0" w:rsidRPr="00C44D8C" w:rsidRDefault="00436CD0" w:rsidP="00436CD0">
      <w:pPr>
        <w:spacing w:line="360" w:lineRule="auto"/>
        <w:rPr>
          <w:rFonts w:asciiTheme="minorHAnsi" w:eastAsia="Arial" w:hAnsiTheme="minorHAnsi" w:cs="Arial"/>
          <w:color w:val="000000"/>
          <w:sz w:val="22"/>
          <w:szCs w:val="22"/>
          <w:lang w:eastAsia="en-GB"/>
        </w:rPr>
      </w:pPr>
    </w:p>
    <w:p w14:paraId="7796B9C4" w14:textId="77777777" w:rsidR="00436CD0" w:rsidRPr="00C44D8C" w:rsidRDefault="00436CD0" w:rsidP="00B94D0C">
      <w:pPr>
        <w:pStyle w:val="Heading6"/>
        <w:rPr>
          <w:rFonts w:eastAsia="Arial" w:cs="Arial"/>
          <w:lang w:eastAsia="en-GB"/>
        </w:rPr>
      </w:pPr>
      <w:bookmarkStart w:id="51" w:name="_Toc462575268"/>
      <w:r w:rsidRPr="00C44D8C">
        <w:rPr>
          <w:rFonts w:eastAsia="Calibri"/>
          <w:lang w:eastAsia="en-GB"/>
        </w:rPr>
        <w:t>2.5.1. Examining initial reversible adhesion</w:t>
      </w:r>
      <w:bookmarkEnd w:id="51"/>
      <w:r w:rsidRPr="00C44D8C">
        <w:rPr>
          <w:rFonts w:eastAsia="Calibri"/>
          <w:lang w:eastAsia="en-GB"/>
        </w:rPr>
        <w:t xml:space="preserve"> </w:t>
      </w:r>
    </w:p>
    <w:p w14:paraId="09C93245" w14:textId="6A11425F" w:rsidR="00396953"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Initial adhesion is significantly affected by the physicochemical surface properties of both the microbial and abiotic surface</w:t>
      </w:r>
      <w:r w:rsidR="00E3620D">
        <w:rPr>
          <w:rFonts w:asciiTheme="minorHAnsi" w:eastAsia="Calibri" w:hAnsiTheme="minorHAnsi" w:cs="Calibri"/>
          <w:color w:val="000000"/>
          <w:sz w:val="22"/>
          <w:szCs w:val="22"/>
          <w:lang w:eastAsia="en-GB"/>
        </w:rPr>
        <w:t xml:space="preserve"> </w:t>
      </w:r>
      <w:r w:rsidR="00E3620D">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E3620D">
        <w:rPr>
          <w:rFonts w:asciiTheme="minorHAnsi" w:eastAsia="Calibri" w:hAnsiTheme="minorHAnsi" w:cs="Calibri"/>
          <w:color w:val="000000"/>
          <w:sz w:val="22"/>
          <w:szCs w:val="22"/>
          <w:lang w:eastAsia="en-GB"/>
        </w:rPr>
        <w:fldChar w:fldCharType="end"/>
      </w:r>
      <w:r w:rsidR="00E3620D">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such as surface free energy, surface functional groups, surface chemical composition and surface hydrophobicity. These surface properties can be experimentally measured using standardised laboratory methods, and can further our understanding of key surface-associated factors that influence initial adhesion </w:t>
      </w:r>
      <w:r w:rsidR="00E362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r w:rsidR="00C9386D" w:rsidRPr="00C44D8C">
        <w:rPr>
          <w:rFonts w:asciiTheme="minorHAnsi" w:eastAsia="Calibri" w:hAnsiTheme="minorHAnsi" w:cs="Calibri"/>
          <w:color w:val="000000"/>
          <w:sz w:val="22"/>
          <w:szCs w:val="22"/>
          <w:lang w:eastAsia="en-GB"/>
        </w:rPr>
        <w:t xml:space="preserve">In addition, the process of initial adhesion can be quantitatively described by the use of theoretical colloidal models. </w:t>
      </w:r>
      <w:r w:rsidR="00C9386D">
        <w:rPr>
          <w:rFonts w:asciiTheme="minorHAnsi" w:eastAsia="Arial" w:hAnsiTheme="minorHAnsi" w:cs="Arial"/>
          <w:color w:val="000000"/>
          <w:sz w:val="22"/>
          <w:szCs w:val="22"/>
          <w:lang w:eastAsia="en-GB"/>
        </w:rPr>
        <w:t xml:space="preserve"> </w:t>
      </w:r>
      <w:r w:rsidR="00C9386D">
        <w:rPr>
          <w:rFonts w:asciiTheme="minorHAnsi" w:eastAsia="Calibri" w:hAnsiTheme="minorHAnsi" w:cs="Calibri"/>
          <w:color w:val="000000"/>
          <w:sz w:val="22"/>
          <w:szCs w:val="22"/>
          <w:lang w:eastAsia="en-GB"/>
        </w:rPr>
        <w:t>Some of t</w:t>
      </w:r>
      <w:r w:rsidRPr="00C44D8C">
        <w:rPr>
          <w:rFonts w:asciiTheme="minorHAnsi" w:eastAsia="Calibri" w:hAnsiTheme="minorHAnsi" w:cs="Calibri"/>
          <w:color w:val="000000"/>
          <w:sz w:val="22"/>
          <w:szCs w:val="22"/>
          <w:lang w:eastAsia="en-GB"/>
        </w:rPr>
        <w:t>hese methods are listed in Table 2.2.</w:t>
      </w:r>
      <w:r w:rsidR="00C9386D">
        <w:rPr>
          <w:rFonts w:asciiTheme="minorHAnsi" w:eastAsia="Calibri" w:hAnsiTheme="minorHAnsi" w:cs="Calibri"/>
          <w:color w:val="000000"/>
          <w:sz w:val="22"/>
          <w:szCs w:val="22"/>
          <w:lang w:eastAsia="en-GB"/>
        </w:rPr>
        <w:t xml:space="preserve"> The methods listed in Table 2.2 formed the basis of the methodology used throughout this thesis, because</w:t>
      </w:r>
      <w:r w:rsidR="00360936">
        <w:rPr>
          <w:rFonts w:asciiTheme="minorHAnsi" w:eastAsia="Calibri" w:hAnsiTheme="minorHAnsi" w:cs="Calibri"/>
          <w:color w:val="000000"/>
          <w:sz w:val="22"/>
          <w:szCs w:val="22"/>
          <w:lang w:eastAsia="en-GB"/>
        </w:rPr>
        <w:t xml:space="preserve"> they</w:t>
      </w:r>
      <w:r w:rsidR="00C9386D">
        <w:rPr>
          <w:rFonts w:asciiTheme="minorHAnsi" w:eastAsia="Calibri" w:hAnsiTheme="minorHAnsi" w:cs="Calibri"/>
          <w:color w:val="000000"/>
          <w:sz w:val="22"/>
          <w:szCs w:val="22"/>
          <w:lang w:eastAsia="en-GB"/>
        </w:rPr>
        <w:t xml:space="preserve"> provided the correct information for the parameters of the colloidal model used </w:t>
      </w:r>
      <w:r w:rsidR="00360936">
        <w:rPr>
          <w:rFonts w:asciiTheme="minorHAnsi" w:eastAsia="Calibri" w:hAnsiTheme="minorHAnsi" w:cs="Calibri"/>
          <w:color w:val="000000"/>
          <w:sz w:val="22"/>
          <w:szCs w:val="22"/>
          <w:lang w:eastAsia="en-GB"/>
        </w:rPr>
        <w:t xml:space="preserve">in this thesis </w:t>
      </w:r>
      <w:r w:rsidR="00C9386D">
        <w:rPr>
          <w:rFonts w:asciiTheme="minorHAnsi" w:eastAsia="Calibri" w:hAnsiTheme="minorHAnsi" w:cs="Calibri"/>
          <w:color w:val="000000"/>
          <w:sz w:val="22"/>
          <w:szCs w:val="22"/>
          <w:lang w:eastAsia="en-GB"/>
        </w:rPr>
        <w:t xml:space="preserve">to describe initial adhesion (please refer to 2.5.2.). </w:t>
      </w:r>
      <w:r w:rsidRPr="00C44D8C">
        <w:rPr>
          <w:rFonts w:asciiTheme="minorHAnsi" w:eastAsia="Calibri" w:hAnsiTheme="minorHAnsi" w:cs="Calibri"/>
          <w:color w:val="000000"/>
          <w:sz w:val="22"/>
          <w:szCs w:val="22"/>
          <w:lang w:eastAsia="en-GB"/>
        </w:rPr>
        <w:t xml:space="preserve"> </w:t>
      </w:r>
      <w:r w:rsidR="00360936">
        <w:rPr>
          <w:rFonts w:asciiTheme="minorHAnsi" w:eastAsia="Calibri" w:hAnsiTheme="minorHAnsi" w:cs="Calibri"/>
          <w:color w:val="000000"/>
          <w:sz w:val="22"/>
          <w:szCs w:val="22"/>
          <w:lang w:eastAsia="en-GB"/>
        </w:rPr>
        <w:t xml:space="preserve">However, it has to be stressed that the methods listed in Table 2.2 are not exhaustive and that other methods are available to </w:t>
      </w:r>
      <w:r w:rsidR="00B11015">
        <w:rPr>
          <w:rFonts w:asciiTheme="minorHAnsi" w:eastAsia="Calibri" w:hAnsiTheme="minorHAnsi" w:cs="Calibri"/>
          <w:color w:val="000000"/>
          <w:sz w:val="22"/>
          <w:szCs w:val="22"/>
          <w:lang w:eastAsia="en-GB"/>
        </w:rPr>
        <w:t>characterise the microbial cell surface</w:t>
      </w:r>
      <w:r w:rsidR="00360936">
        <w:rPr>
          <w:rFonts w:asciiTheme="minorHAnsi" w:eastAsia="Calibri" w:hAnsiTheme="minorHAnsi" w:cs="Calibri"/>
          <w:color w:val="000000"/>
          <w:sz w:val="22"/>
          <w:szCs w:val="22"/>
          <w:lang w:eastAsia="en-GB"/>
        </w:rPr>
        <w:t xml:space="preserve">. </w:t>
      </w:r>
    </w:p>
    <w:p w14:paraId="6C618A36" w14:textId="332C337E" w:rsidR="00436CD0" w:rsidRPr="00C44D8C" w:rsidRDefault="00360936" w:rsidP="00224A2D">
      <w:pPr>
        <w:spacing w:line="360" w:lineRule="auto"/>
        <w:ind w:firstLine="720"/>
        <w:rPr>
          <w:rFonts w:asciiTheme="minorHAnsi" w:eastAsia="Arial" w:hAnsiTheme="minorHAnsi" w:cs="Arial"/>
          <w:color w:val="000000"/>
          <w:sz w:val="22"/>
          <w:szCs w:val="22"/>
          <w:lang w:eastAsia="en-GB"/>
        </w:rPr>
      </w:pPr>
      <w:r>
        <w:rPr>
          <w:rFonts w:asciiTheme="minorHAnsi" w:eastAsia="Calibri" w:hAnsiTheme="minorHAnsi" w:cs="Calibri"/>
          <w:color w:val="000000"/>
          <w:sz w:val="22"/>
          <w:szCs w:val="22"/>
          <w:lang w:eastAsia="en-GB"/>
        </w:rPr>
        <w:lastRenderedPageBreak/>
        <w:t>For example, previous studies have used atomic force microscopy (AFM) to examine the effect of surface roughness on microbial initial adhesion</w:t>
      </w:r>
      <w:r w:rsidR="00E713B5">
        <w:rPr>
          <w:rFonts w:asciiTheme="minorHAnsi" w:eastAsia="Calibri" w:hAnsiTheme="minorHAnsi" w:cs="Calibri"/>
          <w:color w:val="000000"/>
          <w:sz w:val="22"/>
          <w:szCs w:val="22"/>
          <w:lang w:eastAsia="en-GB"/>
        </w:rPr>
        <w:t xml:space="preserve"> </w:t>
      </w:r>
      <w:r w:rsidR="00E713B5">
        <w:rPr>
          <w:rFonts w:asciiTheme="minorHAnsi" w:eastAsia="Calibri" w:hAnsiTheme="minorHAnsi" w:cs="Calibri"/>
          <w:color w:val="000000"/>
          <w:sz w:val="22"/>
          <w:szCs w:val="22"/>
          <w:lang w:eastAsia="en-GB"/>
        </w:rPr>
        <w:fldChar w:fldCharType="begin" w:fldLock="1"/>
      </w:r>
      <w:r w:rsidR="00E713B5">
        <w:rPr>
          <w:rFonts w:asciiTheme="minorHAnsi" w:eastAsia="Calibri" w:hAnsiTheme="minorHAnsi" w:cs="Calibri"/>
          <w:color w:val="000000"/>
          <w:sz w:val="22"/>
          <w:szCs w:val="22"/>
          <w:lang w:eastAsia="en-GB"/>
        </w:rPr>
        <w:instrText>ADDIN CSL_CITATION { "citationItems" : [ { "id" : "ITEM-1", "itemData" : { "abstract" : "The aim of this paper was to determine the adhesion of two physico-chemically characterized bacterial strains to a surface hydrophilic (CL A, water contact angle 571) and hydrophobic (CL B, water contact angle 1061) hydrogel contact lens (CL) with and without an adsorbed tear film in a parallel plate flow chamber. Hydrophobicity (by water contact angles), charge (by particulate microelectrophoresis) and elemental composition (by XPS) of the surfaces of seven bacterial strains were characterized, after which two strains were selected for further studies. On CL surfaces, hydrophobicity, elemental composition, and mean surface roughness (by AFM) were determined, as well as the protein composition of tear films adsorbed on these lenses (by sodium dodecylsulphate-polyacrylamide gel electrophoresis (SDS-PAGE)). Bacterial cell surfaces were relatively uncharged and water contact angles on lawns of different strains ranged from hydrophobic to hydrophilic. After adsorption of tear film components, N=C elemental surface concentrations increased on CL A and CL B and differences in water contact angles between both lenses reduced to range from 571 (CL A) to 691 (CL B). However, different protein compositions were inferred. The surface roughness of CL A increased from 4 to 13 nm, while it remained 16 nm for CL B. Adhesion of hydrophobic Pseudomonas aeruginosa #3 was more extensive than of hydrophilic Staphylococcus aureus 799, with no differences between both lenses. The hydrophobicity of P. aeruginosa #3 after cell surface damage decreased and its adhesion was reduced on CL A and strongly on CL B. In addition, passage of an air\u2013liquid interface yielded more detachment of S. aureus 799 than of P. aeruginosa #3 from the CL surfaces. In conclusion, the hydrophobicity of CL surfaces dictates the composition of the adsorbed tear film and therewith plays an important role in bacterial adhesion to lenses. Adhesion of hydrophobic P. aeruginosa #3 was more tenacious than of hydrophilic S. aureus 799. r", "author" : [ { "dropping-particle" : "", "family" : "Bruinsma", "given" : "G M", "non-dropping-particle" : "", "parse-names" : false, "suffix" : "" }, { "dropping-particle" : "", "family" : "Mei", "given" : "H C", "non-dropping-particle" : "Van Der", "parse-names" : false, "suffix" : "" }, { "dropping-particle" : "", "family" : "Busscher", "given" : "H J", "non-dropping-particle" : "", "parse-names" : false, "suffix" : "" } ], "container-title" : "Biomaterials", "id" : "ITEM-1", "issued" : { "date-parts" : [ [ "2001" ] ] }, "page" : "3217-3224", "title" : "Bacterial adhesion to surface hydrophilic and hydrophobic contact lenses", "type" : "article-journal", "volume" : "22" }, "uris" : [ "http://www.mendeley.com/documents/?uuid=7e7bfee2-c824-35df-a9bb-572998c8e224" ] } ], "mendeley" : { "formattedCitation" : "[75]", "plainTextFormattedCitation" : "[75]", "previouslyFormattedCitation" : "[75]" }, "properties" : { "noteIndex" : 0 }, "schema" : "https://github.com/citation-style-language/schema/raw/master/csl-citation.json" }</w:instrText>
      </w:r>
      <w:r w:rsidR="00E713B5">
        <w:rPr>
          <w:rFonts w:asciiTheme="minorHAnsi" w:eastAsia="Calibri" w:hAnsiTheme="minorHAnsi" w:cs="Calibri"/>
          <w:color w:val="000000"/>
          <w:sz w:val="22"/>
          <w:szCs w:val="22"/>
          <w:lang w:eastAsia="en-GB"/>
        </w:rPr>
        <w:fldChar w:fldCharType="separate"/>
      </w:r>
      <w:r w:rsidR="00E713B5" w:rsidRPr="00E713B5">
        <w:rPr>
          <w:rFonts w:asciiTheme="minorHAnsi" w:eastAsia="Calibri" w:hAnsiTheme="minorHAnsi" w:cs="Calibri"/>
          <w:noProof/>
          <w:color w:val="000000"/>
          <w:sz w:val="22"/>
          <w:szCs w:val="22"/>
          <w:lang w:eastAsia="en-GB"/>
        </w:rPr>
        <w:t>[75]</w:t>
      </w:r>
      <w:r w:rsidR="00E713B5">
        <w:rPr>
          <w:rFonts w:asciiTheme="minorHAnsi" w:eastAsia="Calibri" w:hAnsiTheme="minorHAnsi" w:cs="Calibri"/>
          <w:color w:val="000000"/>
          <w:sz w:val="22"/>
          <w:szCs w:val="22"/>
          <w:lang w:eastAsia="en-GB"/>
        </w:rPr>
        <w:fldChar w:fldCharType="end"/>
      </w:r>
      <w:r w:rsidR="00193EF8">
        <w:rPr>
          <w:rFonts w:asciiTheme="minorHAnsi" w:eastAsia="Calibri" w:hAnsiTheme="minorHAnsi" w:cs="Calibri"/>
          <w:color w:val="000000"/>
          <w:sz w:val="22"/>
          <w:szCs w:val="22"/>
          <w:lang w:eastAsia="en-GB"/>
        </w:rPr>
        <w:t xml:space="preserve">. A recent study integrated AFM force curves into the </w:t>
      </w:r>
      <w:r w:rsidR="00193EF8" w:rsidRPr="00C44D8C">
        <w:rPr>
          <w:rFonts w:asciiTheme="minorHAnsi" w:eastAsia="Calibri" w:hAnsiTheme="minorHAnsi" w:cs="Calibri"/>
          <w:color w:val="000000"/>
          <w:sz w:val="22"/>
          <w:szCs w:val="22"/>
          <w:lang w:eastAsia="en-GB"/>
        </w:rPr>
        <w:t>Derjaguin, Landau, Verwey, and Overbeek (DLVO) colloidal model</w:t>
      </w:r>
      <w:r w:rsidR="00E713B5">
        <w:rPr>
          <w:rFonts w:asciiTheme="minorHAnsi" w:eastAsia="Calibri" w:hAnsiTheme="minorHAnsi" w:cs="Calibri"/>
          <w:color w:val="000000"/>
          <w:sz w:val="22"/>
          <w:szCs w:val="22"/>
          <w:lang w:eastAsia="en-GB"/>
        </w:rPr>
        <w:t xml:space="preserve"> </w:t>
      </w:r>
      <w:r w:rsidR="00E713B5">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"10.1073/pnas.1608792113", "ISSN" : "1091-6490", "PMID" : "27911778", "abstract" : "Free-energy landscapes govern the behavior of all interactions in the presence of thermal fluctuations in the fields of physical chemistry, materials sciences, and the biological sciences. From the energy landscape, critical information about an interaction, such as the reaction kinetic rates, bond lifetimes, and the presence of intermediate states, can be determined. Despite the importance of energy landscapes to understanding reaction mechanisms, most experiments do not directly measure energy landscapes, particularly for interactions with steep force gradients that lead to premature jump to contact of the probe and insufficient sampling of transition regions. Here we present an atomic force microscopy (AFM) approach for measuring energy landscapes that increases sampling of strongly adhesive interactions by using white-noise excitation to enhance the cantilever's thermal fluctuations. The enhanced fluctuations enable the recording of subtle deviations from a harmonic potential to accurately reconstruct interfacial energy landscapes with steep gradients. Comparing the measured energy landscape with adhesive force measurements reveals the existence of an optimal excitation voltage that enables the cantilever fluctuations to fully sample the shape and depth of the energy surface.", "author" : [ { "dropping-particle" : "", "family" : "Haider", "given" : "Ahmad", "non-dropping-particle" : "", "parse-names" : false, "suffix" : "" }, { "dropping-particle" : "", "family" : "Potter", "given" : "Daniel", "non-dropping-particle" : "", "parse-names" : false, "suffix" : "" }, { "dropping-particle" : "", "family" : "Sulchek", "given" : "Todd A", "non-dropping-particle" : "", "parse-names" : false, "suffix" : "" } ], "container-title" : "Proceedings of the National Academy of Sciences of the United States of America", "id" : "ITEM-1", "issue" : "50", "issued" : { "date-parts" : [ [ "2016" ] ] }, "page" : "14213-14218", "title" : "Enhanced stochastic fluctuations to measure steep adhesive energy landscapes.", "type" : "article-journal", "volume" : "113" }, "uris" : [ "http://www.mendeley.com/documents/?uuid=e87b7950-2ba8-48e2-a949-4428f3667d6a" ] } ], "mendeley" : { "formattedCitation" : "[100]", "plainTextFormattedCitation" : "[100]", "previouslyFormattedCitation" : "[100]" }, "properties" : { "noteIndex" : 0 }, "schema" : "https://github.com/citation-style-language/schema/raw/master/csl-citation.json" }</w:instrText>
      </w:r>
      <w:r w:rsidR="00E713B5">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[100]</w:t>
      </w:r>
      <w:r w:rsidR="00E713B5">
        <w:rPr>
          <w:rFonts w:asciiTheme="minorHAnsi" w:eastAsia="Calibri" w:hAnsiTheme="minorHAnsi" w:cs="Calibri"/>
          <w:color w:val="000000"/>
          <w:sz w:val="22"/>
          <w:szCs w:val="22"/>
          <w:lang w:eastAsia="en-GB"/>
        </w:rPr>
        <w:fldChar w:fldCharType="end"/>
      </w:r>
      <w:r w:rsidR="00193EF8">
        <w:rPr>
          <w:rFonts w:asciiTheme="minorHAnsi" w:eastAsia="Calibri" w:hAnsiTheme="minorHAnsi" w:cs="Calibri"/>
          <w:color w:val="000000"/>
          <w:sz w:val="22"/>
          <w:szCs w:val="22"/>
          <w:lang w:eastAsia="en-GB"/>
        </w:rPr>
        <w:t xml:space="preserve">, and is a promising new methodology and addition to </w:t>
      </w:r>
      <w:r w:rsidR="00F352E2">
        <w:rPr>
          <w:rFonts w:asciiTheme="minorHAnsi" w:eastAsia="Calibri" w:hAnsiTheme="minorHAnsi" w:cs="Calibri"/>
          <w:color w:val="000000"/>
          <w:sz w:val="22"/>
          <w:szCs w:val="22"/>
          <w:lang w:eastAsia="en-GB"/>
        </w:rPr>
        <w:t xml:space="preserve">the </w:t>
      </w:r>
      <w:r w:rsidR="00193EF8">
        <w:rPr>
          <w:rFonts w:asciiTheme="minorHAnsi" w:eastAsia="Calibri" w:hAnsiTheme="minorHAnsi" w:cs="Calibri"/>
          <w:color w:val="000000"/>
          <w:sz w:val="22"/>
          <w:szCs w:val="22"/>
          <w:lang w:eastAsia="en-GB"/>
        </w:rPr>
        <w:t>suite of methods</w:t>
      </w:r>
      <w:r w:rsidR="00F352E2">
        <w:rPr>
          <w:rFonts w:asciiTheme="minorHAnsi" w:eastAsia="Calibri" w:hAnsiTheme="minorHAnsi" w:cs="Calibri"/>
          <w:color w:val="000000"/>
          <w:sz w:val="22"/>
          <w:szCs w:val="22"/>
          <w:lang w:eastAsia="en-GB"/>
        </w:rPr>
        <w:t xml:space="preserve"> currently in use</w:t>
      </w:r>
      <w:r w:rsidR="00193EF8">
        <w:rPr>
          <w:rFonts w:asciiTheme="minorHAnsi" w:eastAsia="Calibri" w:hAnsiTheme="minorHAnsi" w:cs="Calibri"/>
          <w:color w:val="000000"/>
          <w:sz w:val="22"/>
          <w:szCs w:val="22"/>
          <w:lang w:eastAsia="en-GB"/>
        </w:rPr>
        <w:t xml:space="preserve"> for examining microbial initial adhesion. </w:t>
      </w:r>
      <w:r w:rsidR="00396953">
        <w:rPr>
          <w:rFonts w:asciiTheme="minorHAnsi" w:eastAsia="Calibri" w:hAnsiTheme="minorHAnsi" w:cs="Calibri"/>
          <w:color w:val="000000"/>
          <w:sz w:val="22"/>
          <w:szCs w:val="22"/>
          <w:lang w:eastAsia="en-GB"/>
        </w:rPr>
        <w:t xml:space="preserve">Other available surface characterisation methods not included in Table 2.2 include the </w:t>
      </w:r>
      <w:r w:rsidR="00396953" w:rsidRPr="00396953">
        <w:rPr>
          <w:rFonts w:asciiTheme="minorHAnsi" w:eastAsia="Calibri" w:hAnsiTheme="minorHAnsi" w:cs="Calibri"/>
          <w:color w:val="000000"/>
          <w:sz w:val="22"/>
          <w:szCs w:val="22"/>
          <w:lang w:eastAsia="en-GB"/>
        </w:rPr>
        <w:t xml:space="preserve">microbial adhesion to hydrocarbons (MATH) </w:t>
      </w:r>
      <w:r w:rsidR="00396953">
        <w:rPr>
          <w:rFonts w:asciiTheme="minorHAnsi" w:eastAsia="Calibri" w:hAnsiTheme="minorHAnsi" w:cs="Calibri"/>
          <w:color w:val="000000"/>
          <w:sz w:val="22"/>
          <w:szCs w:val="22"/>
          <w:lang w:eastAsia="en-GB"/>
        </w:rPr>
        <w:t xml:space="preserve">assay for measuring </w:t>
      </w:r>
      <w:r w:rsidR="00396953" w:rsidRPr="00396953">
        <w:rPr>
          <w:rFonts w:asciiTheme="minorHAnsi" w:eastAsia="Calibri" w:hAnsiTheme="minorHAnsi" w:cs="Calibri"/>
          <w:color w:val="000000"/>
          <w:sz w:val="22"/>
          <w:szCs w:val="22"/>
          <w:lang w:eastAsia="en-GB"/>
        </w:rPr>
        <w:t>microbial cell surface hydrophobicity</w:t>
      </w:r>
      <w:r w:rsidR="00396953">
        <w:rPr>
          <w:rFonts w:asciiTheme="minorHAnsi" w:eastAsia="Calibri" w:hAnsiTheme="minorHAnsi" w:cs="Calibri"/>
          <w:color w:val="000000"/>
          <w:sz w:val="22"/>
          <w:szCs w:val="22"/>
          <w:lang w:eastAsia="en-GB"/>
        </w:rPr>
        <w:t xml:space="preserve"> </w:t>
      </w:r>
      <w:r w:rsidR="00396953">
        <w:rPr>
          <w:rFonts w:asciiTheme="minorHAnsi" w:eastAsia="Calibri" w:hAnsiTheme="minorHAnsi" w:cs="Calibri"/>
          <w:color w:val="000000"/>
          <w:sz w:val="22"/>
          <w:szCs w:val="22"/>
          <w:lang w:eastAsia="en-GB"/>
        </w:rPr>
        <w:fldChar w:fldCharType="begin" w:fldLock="1"/>
      </w:r>
      <w:r w:rsidR="00B85E87">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"id" : "ITEM-2",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"ITEM-2",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"[63,78]", "plainTextFormattedCitation" : "[63,78]", "previouslyFormattedCitation" : "[63,78]" }, "properties" : { "noteIndex" : 0 }, "schema" : "https://github.com/citation-style-language/schema/raw/master/csl-citation.json" }</w:instrText>
      </w:r>
      <w:r w:rsidR="00396953">
        <w:rPr>
          <w:rFonts w:asciiTheme="minorHAnsi" w:eastAsia="Calibri" w:hAnsiTheme="minorHAnsi" w:cs="Calibri"/>
          <w:color w:val="000000"/>
          <w:sz w:val="22"/>
          <w:szCs w:val="22"/>
          <w:lang w:eastAsia="en-GB"/>
        </w:rPr>
        <w:fldChar w:fldCharType="separate"/>
      </w:r>
      <w:r w:rsidR="00396953" w:rsidRPr="00396953">
        <w:rPr>
          <w:rFonts w:asciiTheme="minorHAnsi" w:eastAsia="Calibri" w:hAnsiTheme="minorHAnsi" w:cs="Calibri"/>
          <w:noProof/>
          <w:color w:val="000000"/>
          <w:sz w:val="22"/>
          <w:szCs w:val="22"/>
          <w:lang w:eastAsia="en-GB"/>
        </w:rPr>
        <w:t>[63,78]</w:t>
      </w:r>
      <w:r w:rsidR="00396953">
        <w:rPr>
          <w:rFonts w:asciiTheme="minorHAnsi" w:eastAsia="Calibri" w:hAnsiTheme="minorHAnsi" w:cs="Calibri"/>
          <w:color w:val="000000"/>
          <w:sz w:val="22"/>
          <w:szCs w:val="22"/>
          <w:lang w:eastAsia="en-GB"/>
        </w:rPr>
        <w:fldChar w:fldCharType="end"/>
      </w:r>
      <w:r w:rsidR="00396953">
        <w:rPr>
          <w:rFonts w:asciiTheme="minorHAnsi" w:eastAsia="Calibri" w:hAnsiTheme="minorHAnsi" w:cs="Calibri"/>
          <w:color w:val="000000"/>
          <w:sz w:val="22"/>
          <w:szCs w:val="22"/>
          <w:lang w:eastAsia="en-GB"/>
        </w:rPr>
        <w:t>.</w:t>
      </w:r>
    </w:p>
    <w:p w14:paraId="1479DDD2" w14:textId="77777777" w:rsidR="00A3773A" w:rsidRDefault="00436CD0" w:rsidP="00FE1A56">
      <w:pPr>
        <w:spacing w:line="360" w:lineRule="auto"/>
        <w:ind w:firstLine="720"/>
        <w:rPr>
          <w:rFonts w:asciiTheme="minorHAnsi" w:eastAsia="Calibri" w:hAnsiTheme="minorHAnsi" w:cs="Calibri"/>
          <w:color w:val="000000"/>
          <w:sz w:val="22"/>
          <w:szCs w:val="22"/>
          <w:lang w:eastAsia="en-GB"/>
        </w:rPr>
        <w:sectPr w:rsidR="00A3773A"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en-GB"/>
        </w:rPr>
        <w:t>The range of different methods available to describe initial microbial adhesion highlights how complex the process is. As such, it would be more accurate to describe initial microbial adhesion by utilising a combination of different approaches and theoretical models to provide different information on the specific physicochemical interactions between microbial cells and abiotic surfaces. From this, a framework can be created to better understand microbial adhesion and biofilm formation. Some of the methods currently used for examining the physicochemical determinants of initial adhesion will be discussed in further detail in the sections below.</w:t>
      </w:r>
    </w:p>
    <w:p w14:paraId="4BD77F62" w14:textId="37D88EA0" w:rsidR="00FE1A56" w:rsidRDefault="00436CD0" w:rsidP="00FE1A56">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b/>
          <w:color w:val="000000"/>
          <w:sz w:val="22"/>
          <w:szCs w:val="22"/>
          <w:lang w:eastAsia="en-GB"/>
        </w:rPr>
        <w:lastRenderedPageBreak/>
        <w:t>Table 2.2</w:t>
      </w:r>
      <w:r w:rsidRPr="00C44D8C">
        <w:rPr>
          <w:rFonts w:asciiTheme="minorHAnsi" w:eastAsia="Calibri" w:hAnsiTheme="minorHAnsi" w:cs="Calibri"/>
          <w:color w:val="000000"/>
          <w:sz w:val="22"/>
          <w:szCs w:val="22"/>
          <w:lang w:eastAsia="en-GB"/>
        </w:rPr>
        <w:t xml:space="preserve"> Methods commonly used in the laboratory to analyse the physicochemical factors governing microbial initi</w:t>
      </w:r>
      <w:r w:rsidR="00FE1A56" w:rsidRPr="00C44D8C">
        <w:rPr>
          <w:rFonts w:asciiTheme="minorHAnsi" w:eastAsia="Calibri" w:hAnsiTheme="minorHAnsi" w:cs="Calibri"/>
          <w:color w:val="000000"/>
          <w:sz w:val="22"/>
          <w:szCs w:val="22"/>
          <w:lang w:eastAsia="en-GB"/>
        </w:rPr>
        <w:t>al adhesion to abiotic surfaces.</w:t>
      </w:r>
    </w:p>
    <w:p w14:paraId="1644371A" w14:textId="77777777" w:rsidR="00D20D2A" w:rsidRPr="00B94D0C" w:rsidRDefault="00D20D2A" w:rsidP="00FE1A56">
      <w:pPr>
        <w:spacing w:line="360" w:lineRule="auto"/>
        <w:rPr>
          <w:rFonts w:asciiTheme="minorHAnsi" w:eastAsia="Calibri" w:hAnsiTheme="minorHAnsi" w:cs="Calibri"/>
          <w:color w:val="000000"/>
          <w:sz w:val="22"/>
          <w:szCs w:val="22"/>
          <w:lang w:eastAsia="en-GB"/>
        </w:rPr>
      </w:pPr>
    </w:p>
    <w:tbl>
      <w:tblPr>
        <w:tblW w:w="6750" w:type="dxa"/>
        <w:jc w:val="center"/>
        <w:tblLayout w:type="fixed"/>
        <w:tblLook w:val="0600" w:firstRow="0" w:lastRow="0" w:firstColumn="0" w:lastColumn="0" w:noHBand="1" w:noVBand="1"/>
      </w:tblPr>
      <w:tblGrid>
        <w:gridCol w:w="3375"/>
        <w:gridCol w:w="3375"/>
      </w:tblGrid>
      <w:tr w:rsidR="00436CD0" w:rsidRPr="00C44D8C" w14:paraId="32191D8C" w14:textId="77777777" w:rsidTr="00A9324D">
        <w:trPr>
          <w:cantSplit/>
          <w:jc w:val="center"/>
        </w:trPr>
        <w:tc>
          <w:tcPr>
            <w:tcW w:w="3375" w:type="dxa"/>
            <w:tcBorders>
              <w:bottom w:val="single" w:sz="4" w:space="0" w:color="auto"/>
              <w:right w:val="single" w:sz="4" w:space="0" w:color="auto"/>
            </w:tcBorders>
            <w:tcMar>
              <w:left w:w="120" w:type="dxa"/>
              <w:right w:w="120" w:type="dxa"/>
            </w:tcMar>
          </w:tcPr>
          <w:p w14:paraId="253EBF79"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73445BDF"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 xml:space="preserve">Physicochemical factor </w:t>
            </w:r>
          </w:p>
        </w:tc>
        <w:tc>
          <w:tcPr>
            <w:tcW w:w="3375" w:type="dxa"/>
            <w:tcBorders>
              <w:left w:val="single" w:sz="4" w:space="0" w:color="auto"/>
              <w:bottom w:val="single" w:sz="4" w:space="0" w:color="auto"/>
            </w:tcBorders>
            <w:tcMar>
              <w:left w:w="120" w:type="dxa"/>
              <w:right w:w="120" w:type="dxa"/>
            </w:tcMar>
          </w:tcPr>
          <w:p w14:paraId="20856ED4"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39F97563"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Methodology</w:t>
            </w:r>
          </w:p>
        </w:tc>
      </w:tr>
      <w:tr w:rsidR="00436CD0" w:rsidRPr="00C44D8C" w14:paraId="09E320A2" w14:textId="77777777" w:rsidTr="00A9324D">
        <w:trPr>
          <w:cantSplit/>
          <w:jc w:val="center"/>
        </w:trPr>
        <w:tc>
          <w:tcPr>
            <w:tcW w:w="3375" w:type="dxa"/>
            <w:tcBorders>
              <w:top w:val="single" w:sz="4" w:space="0" w:color="auto"/>
              <w:right w:val="single" w:sz="4" w:space="0" w:color="auto"/>
            </w:tcBorders>
            <w:tcMar>
              <w:left w:w="120" w:type="dxa"/>
              <w:right w:w="120" w:type="dxa"/>
            </w:tcMar>
          </w:tcPr>
          <w:p w14:paraId="088F61C0"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7FA5A6B6"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Surface hydrophobicity</w:t>
            </w:r>
          </w:p>
        </w:tc>
        <w:tc>
          <w:tcPr>
            <w:tcW w:w="3375" w:type="dxa"/>
            <w:tcBorders>
              <w:top w:val="single" w:sz="4" w:space="0" w:color="auto"/>
              <w:left w:val="single" w:sz="4" w:space="0" w:color="auto"/>
            </w:tcBorders>
            <w:tcMar>
              <w:left w:w="120" w:type="dxa"/>
              <w:right w:w="120" w:type="dxa"/>
            </w:tcMar>
          </w:tcPr>
          <w:p w14:paraId="10F99B84"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52CFD31F"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Contact angles on a flat surface</w:t>
            </w:r>
          </w:p>
        </w:tc>
      </w:tr>
      <w:tr w:rsidR="00436CD0" w:rsidRPr="00C44D8C" w14:paraId="2F243EE8" w14:textId="77777777" w:rsidTr="00A9324D">
        <w:trPr>
          <w:cantSplit/>
          <w:jc w:val="center"/>
        </w:trPr>
        <w:tc>
          <w:tcPr>
            <w:tcW w:w="3375" w:type="dxa"/>
            <w:tcBorders>
              <w:right w:val="single" w:sz="4" w:space="0" w:color="auto"/>
            </w:tcBorders>
            <w:tcMar>
              <w:left w:w="120" w:type="dxa"/>
              <w:right w:w="120" w:type="dxa"/>
            </w:tcMar>
          </w:tcPr>
          <w:p w14:paraId="6967AE8E"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49A07745"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Surface charge</w:t>
            </w:r>
          </w:p>
        </w:tc>
        <w:tc>
          <w:tcPr>
            <w:tcW w:w="3375" w:type="dxa"/>
            <w:tcBorders>
              <w:left w:val="single" w:sz="4" w:space="0" w:color="auto"/>
            </w:tcBorders>
            <w:tcMar>
              <w:left w:w="120" w:type="dxa"/>
              <w:right w:w="120" w:type="dxa"/>
            </w:tcMar>
          </w:tcPr>
          <w:p w14:paraId="2C0C6B4F"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737D75FC"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Electrophoretic mobility (zeta potential)</w:t>
            </w:r>
          </w:p>
        </w:tc>
      </w:tr>
      <w:tr w:rsidR="00436CD0" w:rsidRPr="00C44D8C" w14:paraId="16650F6D" w14:textId="77777777" w:rsidTr="00A9324D">
        <w:trPr>
          <w:cantSplit/>
          <w:jc w:val="center"/>
        </w:trPr>
        <w:tc>
          <w:tcPr>
            <w:tcW w:w="3375" w:type="dxa"/>
            <w:tcBorders>
              <w:right w:val="single" w:sz="4" w:space="0" w:color="auto"/>
            </w:tcBorders>
            <w:tcMar>
              <w:left w:w="120" w:type="dxa"/>
              <w:right w:w="120" w:type="dxa"/>
            </w:tcMar>
          </w:tcPr>
          <w:p w14:paraId="1C8E1596"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11DEE407"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Surface tension</w:t>
            </w:r>
          </w:p>
        </w:tc>
        <w:tc>
          <w:tcPr>
            <w:tcW w:w="3375" w:type="dxa"/>
            <w:tcBorders>
              <w:left w:val="single" w:sz="4" w:space="0" w:color="auto"/>
            </w:tcBorders>
            <w:tcMar>
              <w:left w:w="120" w:type="dxa"/>
              <w:right w:w="120" w:type="dxa"/>
            </w:tcMar>
          </w:tcPr>
          <w:p w14:paraId="2EDE8D6D"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2AE460DF"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Contact angles on a flat surface</w:t>
            </w:r>
          </w:p>
        </w:tc>
      </w:tr>
      <w:tr w:rsidR="00436CD0" w:rsidRPr="00C44D8C" w14:paraId="63FC6B95" w14:textId="77777777" w:rsidTr="00A9324D">
        <w:trPr>
          <w:cantSplit/>
          <w:jc w:val="center"/>
        </w:trPr>
        <w:tc>
          <w:tcPr>
            <w:tcW w:w="3375" w:type="dxa"/>
            <w:tcBorders>
              <w:right w:val="single" w:sz="4" w:space="0" w:color="auto"/>
            </w:tcBorders>
            <w:tcMar>
              <w:left w:w="120" w:type="dxa"/>
              <w:right w:w="120" w:type="dxa"/>
            </w:tcMar>
          </w:tcPr>
          <w:p w14:paraId="3E0D75DB"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256F214F"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Surface functional groups</w:t>
            </w:r>
          </w:p>
        </w:tc>
        <w:tc>
          <w:tcPr>
            <w:tcW w:w="3375" w:type="dxa"/>
            <w:tcBorders>
              <w:left w:val="single" w:sz="4" w:space="0" w:color="auto"/>
            </w:tcBorders>
            <w:tcMar>
              <w:left w:w="120" w:type="dxa"/>
              <w:right w:w="120" w:type="dxa"/>
            </w:tcMar>
          </w:tcPr>
          <w:p w14:paraId="335DA9DE"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2B4A7F25"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Fourier transform infrared spectroscopy (FTIR)</w:t>
            </w:r>
          </w:p>
        </w:tc>
      </w:tr>
      <w:tr w:rsidR="00436CD0" w:rsidRPr="00C44D8C" w14:paraId="7A2CE67E" w14:textId="77777777" w:rsidTr="00A9324D">
        <w:trPr>
          <w:cantSplit/>
          <w:jc w:val="center"/>
        </w:trPr>
        <w:tc>
          <w:tcPr>
            <w:tcW w:w="3375" w:type="dxa"/>
            <w:tcBorders>
              <w:right w:val="single" w:sz="4" w:space="0" w:color="auto"/>
            </w:tcBorders>
            <w:tcMar>
              <w:left w:w="120" w:type="dxa"/>
              <w:right w:w="120" w:type="dxa"/>
            </w:tcMar>
          </w:tcPr>
          <w:p w14:paraId="65B8155C"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62184948"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Surface chemical groups</w:t>
            </w:r>
          </w:p>
        </w:tc>
        <w:tc>
          <w:tcPr>
            <w:tcW w:w="3375" w:type="dxa"/>
            <w:tcBorders>
              <w:left w:val="single" w:sz="4" w:space="0" w:color="auto"/>
            </w:tcBorders>
            <w:tcMar>
              <w:left w:w="120" w:type="dxa"/>
              <w:right w:w="120" w:type="dxa"/>
            </w:tcMar>
          </w:tcPr>
          <w:p w14:paraId="58C02758" w14:textId="77777777" w:rsidR="00436CD0" w:rsidRPr="00C44D8C" w:rsidRDefault="00436CD0" w:rsidP="00436CD0">
            <w:pPr>
              <w:spacing w:line="360" w:lineRule="auto"/>
              <w:ind w:left="-120"/>
              <w:rPr>
                <w:rFonts w:asciiTheme="minorHAnsi" w:eastAsia="Arial" w:hAnsiTheme="minorHAnsi" w:cs="Arial"/>
                <w:color w:val="000000"/>
                <w:sz w:val="22"/>
                <w:szCs w:val="22"/>
                <w:lang w:eastAsia="en-GB"/>
              </w:rPr>
            </w:pPr>
          </w:p>
          <w:p w14:paraId="5EB25327" w14:textId="77777777" w:rsidR="00436CD0" w:rsidRPr="00C44D8C" w:rsidRDefault="00436CD0" w:rsidP="00436CD0">
            <w:pPr>
              <w:spacing w:line="360" w:lineRule="auto"/>
              <w:ind w:left="-120"/>
              <w:jc w:val="center"/>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X-ray photoelectron spectroscopy (XPS)</w:t>
            </w:r>
          </w:p>
        </w:tc>
      </w:tr>
    </w:tbl>
    <w:p w14:paraId="4A7A75B2" w14:textId="77777777" w:rsidR="00A9324D" w:rsidRDefault="00A9324D" w:rsidP="00B94D0C">
      <w:pPr>
        <w:pStyle w:val="Heading7"/>
        <w:rPr>
          <w:lang w:eastAsia="en-GB"/>
        </w:rPr>
      </w:pPr>
    </w:p>
    <w:p w14:paraId="5B41DDE9" w14:textId="77777777" w:rsidR="00436CD0" w:rsidRPr="00C44D8C" w:rsidRDefault="00436CD0" w:rsidP="00B94D0C">
      <w:pPr>
        <w:pStyle w:val="Heading7"/>
        <w:rPr>
          <w:lang w:eastAsia="en-GB"/>
        </w:rPr>
      </w:pPr>
      <w:bookmarkStart w:id="52" w:name="_Toc462575269"/>
      <w:r w:rsidRPr="00C44D8C">
        <w:rPr>
          <w:lang w:eastAsia="en-GB"/>
        </w:rPr>
        <w:t>2.5.1.1. Surface functional groups</w:t>
      </w:r>
      <w:bookmarkEnd w:id="52"/>
    </w:p>
    <w:p w14:paraId="08EB2CE2" w14:textId="2E8F9911"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In microorganisms, </w:t>
      </w:r>
      <w:r w:rsidRPr="00C44D8C">
        <w:rPr>
          <w:rFonts w:asciiTheme="minorHAnsi" w:eastAsia="Calibri" w:hAnsiTheme="minorHAnsi" w:cs="Calibri"/>
          <w:color w:val="000000"/>
          <w:sz w:val="22"/>
          <w:szCs w:val="22"/>
          <w:highlight w:val="white"/>
          <w:lang w:eastAsia="en-GB"/>
        </w:rPr>
        <w:t xml:space="preserve">the outer cell </w:t>
      </w:r>
      <w:r w:rsidR="00E3620D">
        <w:rPr>
          <w:rFonts w:asciiTheme="minorHAnsi" w:eastAsia="Calibri" w:hAnsiTheme="minorHAnsi" w:cs="Calibri"/>
          <w:color w:val="000000"/>
          <w:sz w:val="22"/>
          <w:szCs w:val="22"/>
          <w:highlight w:val="white"/>
          <w:lang w:eastAsia="en-GB"/>
        </w:rPr>
        <w:t xml:space="preserve">surface </w:t>
      </w:r>
      <w:r w:rsidRPr="00C44D8C">
        <w:rPr>
          <w:rFonts w:asciiTheme="minorHAnsi" w:eastAsia="Calibri" w:hAnsiTheme="minorHAnsi" w:cs="Calibri"/>
          <w:color w:val="000000"/>
          <w:sz w:val="22"/>
          <w:szCs w:val="22"/>
          <w:highlight w:val="white"/>
          <w:lang w:eastAsia="en-GB"/>
        </w:rPr>
        <w:t>forges direct contact with the external environment, and as such, it plays a crucial role in the initial adhesion and biofilm-forming capabilities of a microorganism to a solid surface</w:t>
      </w:r>
      <w:r w:rsidR="00E3620D">
        <w:rPr>
          <w:rFonts w:asciiTheme="minorHAnsi" w:eastAsia="Calibri" w:hAnsiTheme="minorHAnsi" w:cs="Calibri"/>
          <w:color w:val="000000"/>
          <w:sz w:val="22"/>
          <w:szCs w:val="22"/>
          <w:highlight w:val="white"/>
          <w:lang w:eastAsia="en-GB"/>
        </w:rPr>
        <w:t xml:space="preserve"> </w:t>
      </w:r>
      <w:r w:rsidR="00E3620D">
        <w:rPr>
          <w:rFonts w:asciiTheme="minorHAnsi" w:eastAsia="Calibri" w:hAnsiTheme="minorHAnsi" w:cs="Calibri"/>
          <w:color w:val="000000"/>
          <w:sz w:val="22"/>
          <w:szCs w:val="22"/>
          <w:highlight w:val="white"/>
          <w:lang w:eastAsia="en-GB"/>
        </w:rPr>
        <w:fldChar w:fldCharType="begin" w:fldLock="1"/>
      </w:r>
      <w:r w:rsidR="00AB0CFE">
        <w:rPr>
          <w:rFonts w:asciiTheme="minorHAnsi" w:eastAsia="Calibri" w:hAnsiTheme="minorHAnsi" w:cs="Calibri"/>
          <w:color w:val="000000"/>
          <w:sz w:val="22"/>
          <w:szCs w:val="22"/>
          <w:highlight w:val="white"/>
          <w:lang w:eastAsia="en-GB"/>
        </w:rPr>
        <w:instrText>ADDIN CSL_CITATION { "citationItems" : [ { "id" : "ITEM-1", "itemData" : { "DOI" : "10.1016/j.resmic.2005.01.007", "ISSN" : "09232508", "PMID" : "15862449", "abstract" : "Staphylococcus epidermidis is now well established as a major nosocomial pathogen associated with infections of indwelling medical devices. The major virulence factor of these organisms is their ability to adhere to devices and form biofilms. However, it has not been established that adherence and biofilm formation are closely linked phenotypes for clinical isolates. In this study, the initial adhesion to different materials (acrylic and glass) of 9 clinical isolates of S. epidermidis, along with biofilm-positive and biofilm-negative control strains, was assayed using physico-chemical interactions to analyze the basis for bacterial adherence to the substratum. X-ray photo electron spectroscopy (XPS) analysis of the cell surface elemental composition was also performed in an attempt to find a relationship between chemical composition and adhesion capabilities. Biofilm formation on the two surfaces was evaluated by dry weight measurements. Human erythrocytes were used to evaluate the ability of S. epidermidis strains to cause hemagglutination, an indicator of the production of a poly-N-acetyl glucosamine cell surface polysaccharide also involved in biofilm formation. The clinical isolates exhibited different cell wall physico-chemical properties, resulting in differing abilities to adhere to surfaces. Adhesion to hydrophobic substrata for all strains occurred to a greater extent than that to hydrophilic surfaces. Bacterial cell hydrophobicity seemed to have little or no influence on adhesion. X-ray photoelectron spectroscopy analysis showed a high ratio of oxygen/carbon for all strains, which is a common characteristic of S. epidermidis species. No relevant relationship was found between XPS data and adhesion values. All strains forming biofilms were able to agglutinate erythrocytes. However, no direct relationship was found between the amount of biofilm formed and the initial adhesion extent. These results indicate that high levels of initial adherence do not necessarily lead to thick biofilm formation. These two aspects of the pathogenesis of medical device related-infection may need to be evaluated independently to ascertain the contribution of each to the virulence of S. epidermidis causing device-related infections. \u00a9 2005 Elsevier SAS. All rights reserved.", "author" : [ { "dropping-particle" : "", "family" : "Cerca", "given" : "Nuno", "non-dropping-particle" : "", "parse-names" : false, "suffix" : "" }, { "dropping-particle" : "", "family" : "Pier", "given" : "Gerald B.", "non-dropping-particle" : "", "parse-names" : false, "suffix" : "" }, { "dropping-particle" : "", "family" : "Vilanova", "given" : "Manuel", "non-dropping-particle" : "", "parse-names" : false, "suffix" : "" }, { "dropping-particle" : "", "family" : "Oliveira", "given" : "Ros\u00e1rio", "non-dropping-particle" : "", "parse-names" : false, "suffix" : "" }, { "dropping-particle" : "", "family" : "Azeredo", "given" : "Joana", "non-dropping-particle" : "", "parse-names" : false, "suffix" : "" } ], "container-title" : "Research in Microbiology", "id" : "ITEM-1", "issued" : { "date-parts" : [ [ "2005" ] ] }, "page" : "506-514", "title" : "Quantitative analysis of adhesion and biofilm formation on hydrophilic and hydrophobic surfaces of clinical isolates of Staphylococcus epidermidis", "type" : "article-journal", "volume" : "156" }, "uris" : [ "http://www.mendeley.com/documents/?uuid=2d999e23-a8b3-4077-a134-f6083bfd28ff" ] } ], "mendeley" : { "formattedCitation" : "[101]", "plainTextFormattedCitation" : "[101]", "previouslyFormattedCitation" : "[101]" }, "properties" : { "noteIndex" : 0 }, "schema" : "https://github.com/citation-style-language/schema/raw/master/csl-citation.json" }</w:instrText>
      </w:r>
      <w:r w:rsidR="00E3620D">
        <w:rPr>
          <w:rFonts w:asciiTheme="minorHAnsi" w:eastAsia="Calibri" w:hAnsiTheme="minorHAnsi" w:cs="Calibri"/>
          <w:color w:val="000000"/>
          <w:sz w:val="22"/>
          <w:szCs w:val="22"/>
          <w:highlight w:val="white"/>
          <w:lang w:eastAsia="en-GB"/>
        </w:rPr>
        <w:fldChar w:fldCharType="separate"/>
      </w:r>
      <w:r w:rsidR="00BB3D6F" w:rsidRPr="00BB3D6F">
        <w:rPr>
          <w:rFonts w:asciiTheme="minorHAnsi" w:eastAsia="Calibri" w:hAnsiTheme="minorHAnsi" w:cs="Calibri"/>
          <w:noProof/>
          <w:color w:val="000000"/>
          <w:sz w:val="22"/>
          <w:szCs w:val="22"/>
          <w:highlight w:val="white"/>
          <w:lang w:eastAsia="en-GB"/>
        </w:rPr>
        <w:t>[101]</w:t>
      </w:r>
      <w:r w:rsidR="00E3620D">
        <w:rPr>
          <w:rFonts w:asciiTheme="minorHAnsi" w:eastAsia="Calibri" w:hAnsiTheme="minorHAnsi" w:cs="Calibri"/>
          <w:color w:val="000000"/>
          <w:sz w:val="22"/>
          <w:szCs w:val="22"/>
          <w:highlight w:val="white"/>
          <w:lang w:eastAsia="en-GB"/>
        </w:rPr>
        <w:fldChar w:fldCharType="end"/>
      </w:r>
      <w:r w:rsidRPr="00C44D8C">
        <w:rPr>
          <w:rFonts w:asciiTheme="minorHAnsi" w:eastAsia="Calibri" w:hAnsiTheme="minorHAnsi" w:cs="Calibri"/>
          <w:color w:val="000000"/>
          <w:sz w:val="22"/>
          <w:szCs w:val="22"/>
          <w:highlight w:val="white"/>
          <w:lang w:eastAsia="en-GB"/>
        </w:rPr>
        <w:t xml:space="preserve">. Understanding the functional group chemistry of the cell surface and how it changes and responds to the surrounding environment can broaden our understanding of how cells adapt </w:t>
      </w:r>
      <w:r w:rsidR="00A3773A">
        <w:rPr>
          <w:rFonts w:asciiTheme="minorHAnsi" w:eastAsia="Calibri" w:hAnsiTheme="minorHAnsi" w:cs="Calibri"/>
          <w:color w:val="000000"/>
          <w:sz w:val="22"/>
          <w:szCs w:val="22"/>
          <w:highlight w:val="white"/>
          <w:lang w:eastAsia="en-GB"/>
        </w:rPr>
        <w:t>to a biofilm mode of growth</w:t>
      </w:r>
      <w:r w:rsidRPr="00C44D8C">
        <w:rPr>
          <w:rFonts w:asciiTheme="minorHAnsi" w:eastAsia="Calibri" w:hAnsiTheme="minorHAnsi" w:cs="Calibri"/>
          <w:color w:val="000000"/>
          <w:sz w:val="22"/>
          <w:szCs w:val="22"/>
          <w:highlight w:val="white"/>
          <w:lang w:eastAsia="en-GB"/>
        </w:rPr>
        <w:t xml:space="preserve">. </w:t>
      </w:r>
    </w:p>
    <w:p w14:paraId="41258988" w14:textId="28C92C30"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use of infrared (IR) spectroscopy was first used by microbiologists to rapidly differentiate between different microbial species in the 1950s and 1960s. Fourier transform infrared spectroscopy (FTIR) has become a popular choice for non-destructively analysing the surfaces of microbial cells </w:t>
      </w:r>
      <w:r w:rsidR="00E362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"ITEM-1",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"mendeley" : { "formattedCitation" : "[102]", "plainTextFormattedCitation" : "[102]", "previouslyFormattedCitation" : "[102]"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[102]</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It has a high specificity in differentiating between different microbial species or biofilm components without prior preselection</w:t>
      </w:r>
      <w:r w:rsidR="00E3620D">
        <w:rPr>
          <w:rFonts w:asciiTheme="minorHAnsi" w:eastAsia="Calibri" w:hAnsiTheme="minorHAnsi" w:cs="Calibri"/>
          <w:color w:val="000000"/>
          <w:sz w:val="22"/>
          <w:szCs w:val="22"/>
          <w:lang w:eastAsia="en-GB"/>
        </w:rPr>
        <w:t xml:space="preserve"> </w:t>
      </w:r>
      <w:r w:rsidR="00E362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"Naumann", "given" : "Dieter", "non-dropping-particle" : "", "parse-names" : false, "suffix" : "" } ], "container-title" : "Encyclopedia of Analytical Chemistry", "id" : "ITEM-1", "issued" : { "date-parts" : [ [ "2006" ] ] }, "page" : "102-131", "title" : "Infrared Spectroscopy in Microbiology", "type" : "chapter" }, "uris" : [ "http://www.mendeley.com/documents/?uuid=0f4ac524-2e96-4c53-8a59-07b172cb18de" ] } ], "mendeley" : { "formattedCitation" : "[103]", "plainTextFormattedCitation" : "[103]", "previouslyFormattedCitation" : "[103]"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[103]</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FTIR measures the specific vibrational, rotational and bending modes of particular bonds or functional groups to certain wavelength frequencies of infrared beams </w:t>
      </w:r>
      <w:r w:rsidR="00E362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"10.1007/978-1-61779-827-6", "ISBN" : "978-1-61779-826-9", "abstract" : "Obtaining meaningful snapshots of the metabolome of microorganisms requires rapid sampling and immediate quenching of all metabolic activity, to prevent any changes in metabolite levels after sampling. Furthermore, a suitable extraction method is required ensuring complete extraction of metabolites from the cells and inactivation of enzymatic activity, with minimal degradation of labile compounds. Finally a sensitive, high-throughput analysis platform is needed to quantify a large number of metabolites in a small amount of sample. An issue which has often been overlooked in microbial metabolomics is the fact that many intracellular metabolites are also present in significant amounts outside the cells, and may interfere with the endometabolome measurements. Attempts to remove the extracellular metabolites with dedicated quenching methods often induce release of intracellular metabolites into the quenching solution. For eukaryotic microorganisms, leakage can be minimized by adaptation of the quenching method. For prokaryotic cells this had not yet been accomplished, so the application of a differential method whereby metabolites are measured in the culture supernatant as well as in total broth samples, to calculate the intracellular levels by subtraction, seems to be the most suitable approach. Here we present an overview of different sampling, quenching, and extraction methods developed for microbial metabolomics, described in the literature. Detailed protocols are provided for rapid sampling, quenching, and extraction for measure- ment of metabolites in total broth samples, washed cell samples and supernatant, to be applied for quantitative metabolomics of both eukaryotic and prokaryotic microorganisms.", "author" : [ { "dropping-particle" : "", "family" : "Ojeda", "given" : "Jes\u00fas J.", "non-dropping-particle" : "", "parse-names" : false, "suffix" : "" }, { "dropping-particle" : "", "family" : "Dittrich", "given" : "Maria", "non-dropping-particle" : "", "parse-names" : false, "suffix" : "" } ], "container-title" : "Methods in Molecular Biology", "id" : "ITEM-1", "issued" : { "date-parts" : [ [ "2012" ] ] }, "number-of-pages" : "187-211", "title" : "Fourier Transform Infrared Spectroscopy for Molecular Analysis of Microbial Cells", "type" : "book", "volume" : "881" }, "uris" : [ "http://www.mendeley.com/documents/?uuid=6affec27-3245-4a17-8d7f-ff89c49445e7" ] } ], "mendeley" : { "formattedCitation" : "[104]", "plainTextFormattedCitation" : "[104]", "previouslyFormattedCitation" : "[104]"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[104]</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derives from the fact that the atoms within a molecule are loosely held together </w:t>
      </w:r>
      <w:r w:rsidR="00E362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"ISSN" : "1525-7797", "author" : [ { "dropping-particle" : "", "family" : "Eboigbodin", "given" : "Ke", "non-dropping-particle" : "", "parse-names" : false, "suffix" : "" }, { "dropping-particle" : "", "family" : "Biggs", "given" : "Ca", "non-dropping-particle" : "", "parse-names" : false, "suffix" : "" } ], "container-title" : "Biomacromolecules", "id" : "ITEM-1", "issued" : { "date-parts" : [ [ "2008" ] ] }, "page" : "686-695", "title" : "Characterization of the extracellular polymeric substances produced by Escherichia coli using infrared spectroscopic, proteomic, and aggregation studies", "type" : "article-journal" }, "uris" : [ "http://www.mendeley.com/documents/?uuid=32b73a7b-7919-43a2-b30e-e82d121e7b02" ] } ], "mendeley" : { "formattedCitation" : "[105]", "plainTextFormattedCitation" : "[105]", "previouslyFormattedCitation" : "[105]"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[105]</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r w:rsidRPr="00C44D8C">
        <w:rPr>
          <w:rFonts w:asciiTheme="minorHAnsi" w:eastAsia="Arial" w:hAnsiTheme="minorHAnsi" w:cs="Arial"/>
          <w:color w:val="000000"/>
          <w:sz w:val="22"/>
          <w:szCs w:val="22"/>
          <w:lang w:eastAsia="en-GB"/>
        </w:rPr>
        <w:t xml:space="preserve">The sample </w:t>
      </w:r>
      <w:r w:rsidRPr="00C44D8C">
        <w:rPr>
          <w:rFonts w:asciiTheme="minorHAnsi" w:eastAsia="Arial" w:hAnsiTheme="minorHAnsi" w:cs="Arial"/>
          <w:color w:val="000000"/>
          <w:sz w:val="22"/>
          <w:szCs w:val="22"/>
          <w:lang w:eastAsia="en-GB"/>
        </w:rPr>
        <w:lastRenderedPageBreak/>
        <w:t>absorbs specific frequencies of the infrared radiation, which gives rise to different forms of vibrations. These patterns of vibration are influenced by the different binding angles and binding forces between the atoms in a molecule. Thus, the unique display of internal vibrations exhibited by a complex molecule in response to infrared radiation produces a unique spectral fingerprint that can be used to identify that specific molecule</w:t>
      </w:r>
      <w:r w:rsidR="00E3620D">
        <w:rPr>
          <w:rFonts w:asciiTheme="minorHAnsi" w:eastAsia="Arial" w:hAnsiTheme="minorHAnsi" w:cs="Arial"/>
          <w:color w:val="000000"/>
          <w:sz w:val="22"/>
          <w:szCs w:val="22"/>
          <w:lang w:eastAsia="en-GB"/>
        </w:rPr>
        <w:t xml:space="preserve"> </w:t>
      </w:r>
      <w:r w:rsidR="00E3620D">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"DOI" : "10.1016/S0964-8305(98)80002-4", "ISBN" : "0964-8305", "ISSN" : "09648305", "abstract" : "The investigation of the development and the properties of biofilms is difficult because classical microbiology does not offer non-destructive methods other than microscopical observations. This paper discusses the use of different Fourier transform infrared spectroscopy (FTIR-spectroscopy) techniques as a means to investigate microorganisms in biofilms. FTIR-spectroscopy is suitable for the identification of microorganisms and presents a new addition to taxonomic and genetic methods. The FTIR analysis of bacterial isolates provides fingerprint spectra, allowing the rapid characterization of microbial strains. Secondly, the FTIR-attenuated total reflection (ATR) technique can be used for the observation of biofilms forming directly on the interface of an ATR crystals such as germanium. These crystals can be coated to obtain a surface more relevant to study interfacial processes. Spectra can be acquired non-destructively, in situ and in real time. This method is suitable for fundamental biofilm research, as well as for monitoring of biofilm formation, e.g., in an ultrapure or drinking water systems. Furthermore, FTIR\u2014ATR also allows the rapid analysis of deposits on surfaces, e.g., filtration membranes. The analytical discrimination between microorganisms, inorganic material or other foulants can be obtained. Thirdly, with the diffuse reflectance technique (DRIFT) it is possible to investigate reflecting surfaces like metals or very small samples. The composition of surface coatings like biomass or other surface contaminants can be detected. These different measurement techniques demonstrate that FTIR-spectroscopy is suitable for biofilm and surface analysis and can be applied in many different ways.", "author" : [ { "dropping-particle" : "", "family" : "Schmitt", "given" : "J\u00fcrgen", "non-dropping-particle" : "", "parse-names" : false, "suffix" : "" }, { "dropping-particle" : "", "family" : "Flemming", "given" : "Hans-Curt", "non-dropping-particle" : "", "parse-names" : false, "suffix" : "" } ], "container-title" : "International Biodeterioration &amp; Biodegradation", "id" : "ITEM-1", "issue" : "1", "issued" : { "date-parts" : [ [ "1998" ] ] }, "page" : "1-11", "title" : "FTIR-spectroscopy in microbial and material analysis", "type" : "article-journal", "volume" : "41" }, "uris" : [ "http://www.mendeley.com/documents/?uuid=ad5f8d99-61f2-4548-9478-f22807bb5fd0" ] } ], "mendeley" : { "formattedCitation" : "[106]", "plainTextFormattedCitation" : "[106]", "previouslyFormattedCitation" : "[106]" }, "properties" : { "noteIndex" : 0 }, "schema" : "https://github.com/citation-style-language/schema/raw/master/csl-citation.json" }</w:instrText>
      </w:r>
      <w:r w:rsidR="00E3620D">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[106]</w:t>
      </w:r>
      <w:r w:rsidR="00E3620D">
        <w:rPr>
          <w:rFonts w:asciiTheme="minorHAnsi" w:eastAsia="Arial" w:hAnsiTheme="minorHAnsi" w:cs="Arial"/>
          <w:color w:val="000000"/>
          <w:sz w:val="22"/>
          <w:szCs w:val="22"/>
          <w:lang w:eastAsia="en-GB"/>
        </w:rPr>
        <w:fldChar w:fldCharType="end"/>
      </w:r>
      <w:r w:rsidRPr="00C44D8C">
        <w:rPr>
          <w:rFonts w:asciiTheme="minorHAnsi" w:eastAsia="Arial" w:hAnsiTheme="minorHAnsi" w:cs="Arial"/>
          <w:color w:val="000000"/>
          <w:sz w:val="22"/>
          <w:szCs w:val="22"/>
          <w:lang w:eastAsia="en-GB"/>
        </w:rPr>
        <w:t xml:space="preserve"> (Fig. 2.5).</w:t>
      </w:r>
    </w:p>
    <w:p w14:paraId="6167B48A"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11136" behindDoc="0" locked="0" layoutInCell="1" allowOverlap="1" wp14:anchorId="4BD1A9F9" wp14:editId="45727FF0">
                <wp:simplePos x="0" y="0"/>
                <wp:positionH relativeFrom="column">
                  <wp:posOffset>1460923</wp:posOffset>
                </wp:positionH>
                <wp:positionV relativeFrom="paragraph">
                  <wp:posOffset>172720</wp:posOffset>
                </wp:positionV>
                <wp:extent cx="1540933" cy="296333"/>
                <wp:effectExtent l="0" t="0" r="2540" b="8890"/>
                <wp:wrapNone/>
                <wp:docPr id="14" name="Text Box 14"/>
                <wp:cNvGraphicFramePr/>
                <a:graphic xmlns:a="http://schemas.openxmlformats.org/drawingml/2006/main">
                  <a:graphicData uri="http://schemas.microsoft.com/office/word/2010/wordprocessingShape">
                    <wps:wsp>
                      <wps:cNvSpPr txBox="1"/>
                      <wps:spPr>
                        <a:xfrm>
                          <a:off x="0" y="0"/>
                          <a:ext cx="1540933" cy="296333"/>
                        </a:xfrm>
                        <a:prstGeom prst="rect">
                          <a:avLst/>
                        </a:prstGeom>
                        <a:solidFill>
                          <a:sysClr val="window" lastClr="FFFFFF"/>
                        </a:solidFill>
                        <a:ln w="6350">
                          <a:noFill/>
                        </a:ln>
                        <a:effectLst/>
                      </wps:spPr>
                      <wps:txbx>
                        <w:txbxContent>
                          <w:p w14:paraId="0BC32151" w14:textId="77777777" w:rsidR="007715D2" w:rsidRPr="00B94D0C" w:rsidRDefault="007715D2" w:rsidP="00436CD0">
                            <w:pPr>
                              <w:rPr>
                                <w:rFonts w:ascii="Calibri" w:hAnsi="Calibri"/>
                                <w:sz w:val="22"/>
                                <w:szCs w:val="22"/>
                              </w:rPr>
                            </w:pPr>
                            <w:r w:rsidRPr="00B94D0C">
                              <w:rPr>
                                <w:rFonts w:ascii="Calibri" w:hAnsi="Calibri"/>
                                <w:sz w:val="22"/>
                                <w:szCs w:val="22"/>
                              </w:rPr>
                              <w:t>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BD1A9F9" id="Text Box 14" o:spid="_x0000_s1028" type="#_x0000_t202" style="position:absolute;left:0;text-align:left;margin-left:115.05pt;margin-top:13.6pt;width:121.35pt;height:23.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" fillcolor="window" stroked="f" strokeweight=".5pt">
                <v:textbox>
                  <w:txbxContent>
                    <w:p w14:paraId="0BC32151" w14:textId="77777777" w:rsidR="007715D2" w:rsidRPr="00B94D0C" w:rsidRDefault="007715D2" w:rsidP="00436CD0">
                      <w:pPr>
                        <w:rPr>
                          <w:rFonts w:ascii="Calibri" w:hAnsi="Calibri"/>
                          <w:sz w:val="22"/>
                          <w:szCs w:val="22"/>
                        </w:rPr>
                      </w:pPr>
                      <w:r w:rsidRPr="00B94D0C">
                        <w:rPr>
                          <w:rFonts w:ascii="Calibri" w:hAnsi="Calibri"/>
                          <w:sz w:val="22"/>
                          <w:szCs w:val="22"/>
                        </w:rPr>
                        <w:t>Proteins</w:t>
                      </w:r>
                    </w:p>
                  </w:txbxContent>
                </v:textbox>
              </v:shape>
            </w:pict>
          </mc:Fallback>
        </mc:AlternateContent>
      </w:r>
    </w:p>
    <w:p w14:paraId="628602C0"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586560" behindDoc="0" locked="0" layoutInCell="1" allowOverlap="1" wp14:anchorId="54A2E2CB" wp14:editId="07E35FF7">
                <wp:simplePos x="0" y="0"/>
                <wp:positionH relativeFrom="column">
                  <wp:posOffset>2061845</wp:posOffset>
                </wp:positionH>
                <wp:positionV relativeFrom="paragraph">
                  <wp:posOffset>636693</wp:posOffset>
                </wp:positionV>
                <wp:extent cx="1125855" cy="482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25855" cy="482600"/>
                        </a:xfrm>
                        <a:prstGeom prst="rect">
                          <a:avLst/>
                        </a:prstGeom>
                        <a:solidFill>
                          <a:sysClr val="window" lastClr="FFFFFF"/>
                        </a:solidFill>
                        <a:ln w="6350">
                          <a:noFill/>
                        </a:ln>
                        <a:effectLst/>
                      </wps:spPr>
                      <wps:txbx>
                        <w:txbxContent>
                          <w:p w14:paraId="0FE99B4E" w14:textId="77777777" w:rsidR="007715D2" w:rsidRPr="00B94D0C" w:rsidRDefault="007715D2" w:rsidP="00436CD0">
                            <w:pPr>
                              <w:jc w:val="center"/>
                              <w:rPr>
                                <w:rFonts w:ascii="Calibri" w:hAnsi="Calibri"/>
                                <w:sz w:val="22"/>
                                <w:szCs w:val="22"/>
                              </w:rPr>
                            </w:pPr>
                            <w:r w:rsidRPr="00B94D0C">
                              <w:rPr>
                                <w:rFonts w:ascii="Calibri" w:hAnsi="Calibri"/>
                                <w:sz w:val="22"/>
                                <w:szCs w:val="22"/>
                              </w:rPr>
                              <w:t>Side chain vibrations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A2E2CB" id="Text Box 16" o:spid="_x0000_s1029" type="#_x0000_t202" style="position:absolute;left:0;text-align:left;margin-left:162.35pt;margin-top:50.15pt;width:88.65pt;height:3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" fillcolor="window" stroked="f" strokeweight=".5pt">
                <v:textbox>
                  <w:txbxContent>
                    <w:p w14:paraId="0FE99B4E" w14:textId="77777777" w:rsidR="007715D2" w:rsidRPr="00B94D0C" w:rsidRDefault="007715D2" w:rsidP="00436CD0">
                      <w:pPr>
                        <w:jc w:val="center"/>
                        <w:rPr>
                          <w:rFonts w:ascii="Calibri" w:hAnsi="Calibri"/>
                          <w:sz w:val="22"/>
                          <w:szCs w:val="22"/>
                        </w:rPr>
                      </w:pPr>
                      <w:r w:rsidRPr="00B94D0C">
                        <w:rPr>
                          <w:rFonts w:ascii="Calibri" w:hAnsi="Calibri"/>
                          <w:sz w:val="22"/>
                          <w:szCs w:val="22"/>
                        </w:rPr>
                        <w:t>Side chain vibrations</w:t>
                      </w: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52096" behindDoc="0" locked="0" layoutInCell="1" allowOverlap="1" wp14:anchorId="38E52E85" wp14:editId="4B36691A">
                <wp:simplePos x="0" y="0"/>
                <wp:positionH relativeFrom="column">
                  <wp:posOffset>1515110</wp:posOffset>
                </wp:positionH>
                <wp:positionV relativeFrom="paragraph">
                  <wp:posOffset>169545</wp:posOffset>
                </wp:positionV>
                <wp:extent cx="550333" cy="0"/>
                <wp:effectExtent l="0" t="0" r="21590" b="19050"/>
                <wp:wrapNone/>
                <wp:docPr id="17" name="Straight Connector 17"/>
                <wp:cNvGraphicFramePr/>
                <a:graphic xmlns:a="http://schemas.openxmlformats.org/drawingml/2006/main">
                  <a:graphicData uri="http://schemas.microsoft.com/office/word/2010/wordprocessingShape">
                    <wps:wsp>
                      <wps:cNvCnPr/>
                      <wps:spPr>
                        <a:xfrm flipV="1">
                          <a:off x="0" y="0"/>
                          <a:ext cx="550333" cy="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line w14:anchorId="7A5C6B4E" id="Straight Connector 17"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pt,13.35pt" to="162.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" strokecolor="#c00000" strokeweight="1.5pt">
                <v:stroke joinstyle="miter"/>
              </v:lin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02944" behindDoc="0" locked="0" layoutInCell="1" allowOverlap="1" wp14:anchorId="016ADA8C" wp14:editId="7B4EE700">
                <wp:simplePos x="0" y="0"/>
                <wp:positionH relativeFrom="column">
                  <wp:posOffset>2985135</wp:posOffset>
                </wp:positionH>
                <wp:positionV relativeFrom="paragraph">
                  <wp:posOffset>365337</wp:posOffset>
                </wp:positionV>
                <wp:extent cx="1540510" cy="295910"/>
                <wp:effectExtent l="0" t="0" r="2540" b="8890"/>
                <wp:wrapNone/>
                <wp:docPr id="13" name="Text Box 13"/>
                <wp:cNvGraphicFramePr/>
                <a:graphic xmlns:a="http://schemas.openxmlformats.org/drawingml/2006/main">
                  <a:graphicData uri="http://schemas.microsoft.com/office/word/2010/wordprocessingShape">
                    <wps:wsp>
                      <wps:cNvSpPr txBox="1"/>
                      <wps:spPr>
                        <a:xfrm>
                          <a:off x="0" y="0"/>
                          <a:ext cx="1540510" cy="295910"/>
                        </a:xfrm>
                        <a:prstGeom prst="rect">
                          <a:avLst/>
                        </a:prstGeom>
                        <a:solidFill>
                          <a:sysClr val="window" lastClr="FFFFFF"/>
                        </a:solidFill>
                        <a:ln w="6350">
                          <a:noFill/>
                        </a:ln>
                        <a:effectLst/>
                      </wps:spPr>
                      <wps:txbx>
                        <w:txbxContent>
                          <w:p w14:paraId="2E6DF1E6" w14:textId="77777777" w:rsidR="007715D2" w:rsidRPr="00B94D0C" w:rsidRDefault="007715D2" w:rsidP="00436CD0">
                            <w:pPr>
                              <w:rPr>
                                <w:rFonts w:ascii="Calibri" w:hAnsi="Calibri"/>
                                <w:sz w:val="22"/>
                                <w:szCs w:val="22"/>
                              </w:rPr>
                            </w:pPr>
                            <w:r w:rsidRPr="00B94D0C">
                              <w:rPr>
                                <w:rFonts w:ascii="Calibri" w:hAnsi="Calibri"/>
                                <w:sz w:val="22"/>
                                <w:szCs w:val="22"/>
                              </w:rPr>
                              <w:t>Polysaccharides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16ADA8C" id="Text Box 13" o:spid="_x0000_s1030" type="#_x0000_t202" style="position:absolute;left:0;text-align:left;margin-left:235.05pt;margin-top:28.75pt;width:121.3pt;height:23.3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" fillcolor="window" stroked="f" strokeweight=".5pt">
                <v:textbox>
                  <w:txbxContent>
                    <w:p w14:paraId="2E6DF1E6" w14:textId="77777777" w:rsidR="007715D2" w:rsidRPr="00B94D0C" w:rsidRDefault="007715D2" w:rsidP="00436CD0">
                      <w:pPr>
                        <w:rPr>
                          <w:rFonts w:ascii="Calibri" w:hAnsi="Calibri"/>
                          <w:sz w:val="22"/>
                          <w:szCs w:val="22"/>
                        </w:rPr>
                      </w:pPr>
                      <w:r w:rsidRPr="00B94D0C">
                        <w:rPr>
                          <w:rFonts w:ascii="Calibri" w:hAnsi="Calibri"/>
                          <w:sz w:val="22"/>
                          <w:szCs w:val="22"/>
                        </w:rPr>
                        <w:t>Polysaccharides</w:t>
                      </w: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48000" behindDoc="0" locked="0" layoutInCell="1" allowOverlap="1" wp14:anchorId="1D00E968" wp14:editId="47070A48">
                <wp:simplePos x="0" y="0"/>
                <wp:positionH relativeFrom="column">
                  <wp:posOffset>2369609</wp:posOffset>
                </wp:positionH>
                <wp:positionV relativeFrom="paragraph">
                  <wp:posOffset>1108922</wp:posOffset>
                </wp:positionV>
                <wp:extent cx="550333" cy="0"/>
                <wp:effectExtent l="0" t="0" r="21590" b="19050"/>
                <wp:wrapNone/>
                <wp:docPr id="15" name="Straight Connector 15"/>
                <wp:cNvGraphicFramePr/>
                <a:graphic xmlns:a="http://schemas.openxmlformats.org/drawingml/2006/main">
                  <a:graphicData uri="http://schemas.microsoft.com/office/word/2010/wordprocessingShape">
                    <wps:wsp>
                      <wps:cNvCnPr/>
                      <wps:spPr>
                        <a:xfrm flipV="1">
                          <a:off x="0" y="0"/>
                          <a:ext cx="550333" cy="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line w14:anchorId="36488A00" id="Straight Connector 15"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pt,87.3pt" to="229.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" strokecolor="#c00000" strokeweight="1.5pt">
                <v:stroke joinstyle="miter"/>
              </v:lin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43904" behindDoc="0" locked="0" layoutInCell="1" allowOverlap="1" wp14:anchorId="74223B47" wp14:editId="60490BCD">
                <wp:simplePos x="0" y="0"/>
                <wp:positionH relativeFrom="column">
                  <wp:posOffset>3267287</wp:posOffset>
                </wp:positionH>
                <wp:positionV relativeFrom="paragraph">
                  <wp:posOffset>643677</wp:posOffset>
                </wp:positionV>
                <wp:extent cx="550333" cy="0"/>
                <wp:effectExtent l="0" t="0" r="21590" b="19050"/>
                <wp:wrapNone/>
                <wp:docPr id="12" name="Straight Connector 12"/>
                <wp:cNvGraphicFramePr/>
                <a:graphic xmlns:a="http://schemas.openxmlformats.org/drawingml/2006/main">
                  <a:graphicData uri="http://schemas.microsoft.com/office/word/2010/wordprocessingShape">
                    <wps:wsp>
                      <wps:cNvCnPr/>
                      <wps:spPr>
                        <a:xfrm flipV="1">
                          <a:off x="0" y="0"/>
                          <a:ext cx="550333" cy="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line w14:anchorId="26D4AD58" id="Straight Connector 12"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50.7pt" to="300.6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" strokecolor="#c00000" strokeweight="1.5pt">
                <v:stroke joinstyle="miter"/>
              </v:line>
            </w:pict>
          </mc:Fallback>
        </mc:AlternateContent>
      </w:r>
      <w:r w:rsidRPr="00C44D8C">
        <w:rPr>
          <w:rFonts w:asciiTheme="minorHAnsi" w:eastAsia="Arial" w:hAnsiTheme="minorHAnsi" w:cs="Arial"/>
          <w:color w:val="000000"/>
          <w:sz w:val="22"/>
          <w:szCs w:val="22"/>
          <w:lang w:eastAsia="en-GB"/>
        </w:rPr>
        <w:object w:dxaOrig="6733" w:dyaOrig="4157" w14:anchorId="1EC637D6">
          <v:shape id="_x0000_i1026" type="#_x0000_t75" style="width:337.5pt;height:208pt" o:ole="">
            <v:imagedata r:id="rId16" o:title=""/>
          </v:shape>
          <o:OLEObject Type="Embed" ProgID="Prism6.Document" ShapeID="_x0000_i1026" DrawAspect="Content" ObjectID="_1568973010" r:id="rId17"/>
        </w:object>
      </w:r>
    </w:p>
    <w:p w14:paraId="4A2459D0" w14:textId="77777777" w:rsidR="00436CD0" w:rsidRPr="00C44D8C" w:rsidRDefault="00436CD0" w:rsidP="00B94D0C">
      <w:pPr>
        <w:spacing w:line="360" w:lineRule="auto"/>
        <w:ind w:firstLine="720"/>
        <w:jc w:val="center"/>
        <w:rPr>
          <w:rFonts w:asciiTheme="minorHAnsi" w:eastAsia="Calibri" w:hAnsiTheme="minorHAnsi" w:cs="Calibri"/>
          <w:color w:val="000000"/>
          <w:sz w:val="22"/>
          <w:szCs w:val="22"/>
          <w:lang w:eastAsia="en-GB"/>
        </w:rPr>
      </w:pPr>
      <w:r w:rsidRPr="00C44D8C">
        <w:rPr>
          <w:rFonts w:asciiTheme="minorHAnsi" w:eastAsia="Calibri" w:hAnsiTheme="minorHAnsi" w:cs="Calibri"/>
          <w:b/>
          <w:color w:val="000000"/>
          <w:sz w:val="22"/>
          <w:szCs w:val="22"/>
          <w:lang w:eastAsia="en-GB"/>
        </w:rPr>
        <w:t>Fig. 2.5</w:t>
      </w:r>
      <w:r w:rsidRPr="00C44D8C">
        <w:rPr>
          <w:rFonts w:asciiTheme="minorHAnsi" w:eastAsia="Calibri" w:hAnsiTheme="minorHAnsi" w:cs="Calibri"/>
          <w:color w:val="000000"/>
          <w:sz w:val="22"/>
          <w:szCs w:val="22"/>
          <w:lang w:eastAsia="en-GB"/>
        </w:rPr>
        <w:t xml:space="preserve"> Typical ATR-FTIR spectra of a biological sample.</w:t>
      </w:r>
    </w:p>
    <w:p w14:paraId="68DC2A0B" w14:textId="77777777" w:rsidR="00A9324D" w:rsidRDefault="00A9324D" w:rsidP="00436CD0">
      <w:pPr>
        <w:spacing w:line="360" w:lineRule="auto"/>
        <w:rPr>
          <w:rFonts w:asciiTheme="minorHAnsi" w:eastAsia="Calibri" w:hAnsiTheme="minorHAnsi" w:cs="Calibri"/>
          <w:color w:val="000000"/>
          <w:sz w:val="22"/>
          <w:szCs w:val="22"/>
          <w:lang w:eastAsia="en-GB"/>
        </w:rPr>
      </w:pPr>
    </w:p>
    <w:p w14:paraId="21F61A3C" w14:textId="77777777" w:rsidR="00A3773A" w:rsidRDefault="00A3773A" w:rsidP="00436CD0">
      <w:pPr>
        <w:spacing w:line="360" w:lineRule="auto"/>
        <w:rPr>
          <w:rFonts w:asciiTheme="minorHAnsi" w:eastAsia="Calibri" w:hAnsiTheme="minorHAnsi" w:cs="Calibri"/>
          <w:color w:val="000000"/>
          <w:sz w:val="22"/>
          <w:szCs w:val="22"/>
          <w:lang w:eastAsia="en-GB"/>
        </w:rPr>
      </w:pPr>
    </w:p>
    <w:p w14:paraId="6BB3A5B6" w14:textId="166526C4" w:rsidR="00A3773A" w:rsidRPr="00C44D8C" w:rsidRDefault="00A3773A" w:rsidP="00A3773A">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ab/>
        <w:t>In a complex sample, the functional groups of molecules typically absorb infrared radiation over a wavenumber range of 4000 to 300 cm</w:t>
      </w:r>
      <w:r w:rsidRPr="00C44D8C">
        <w:rPr>
          <w:rFonts w:asciiTheme="minorHAnsi" w:eastAsia="Calibri" w:hAnsiTheme="minorHAnsi" w:cs="Calibri"/>
          <w:color w:val="000000"/>
          <w:sz w:val="22"/>
          <w:szCs w:val="22"/>
          <w:vertAlign w:val="superscript"/>
          <w:lang w:eastAsia="en-GB"/>
        </w:rPr>
        <w:t xml:space="preserve">-1 </w:t>
      </w:r>
      <w:r>
        <w:rPr>
          <w:rFonts w:asciiTheme="minorHAnsi" w:eastAsia="Calibri" w:hAnsiTheme="minorHAnsi" w:cs="Calibri"/>
          <w:color w:val="000000"/>
          <w:sz w:val="22"/>
          <w:szCs w:val="22"/>
          <w:vertAlign w:val="superscript"/>
          <w:lang w:eastAsia="en-GB"/>
        </w:rPr>
        <w:fldChar w:fldCharType="begin" w:fldLock="1"/>
      </w:r>
      <w:r w:rsidR="00AB0CFE">
        <w:rPr>
          <w:rFonts w:asciiTheme="minorHAnsi" w:eastAsia="Calibri" w:hAnsiTheme="minorHAnsi" w:cs="Calibri"/>
          <w:color w:val="000000"/>
          <w:sz w:val="22"/>
          <w:szCs w:val="22"/>
          <w:vertAlign w:val="superscript"/>
          <w:lang w:eastAsia="en-GB"/>
        </w:rPr>
        <w:instrText>ADDIN CSL_CITATION { "citationItems" : [ { "id" : "ITEM-1", "itemData" : { "ISSN" : "1525-7797", "author" : [ { "dropping-particle" : "", "family" : "Eboigbodin", "given" : "Ke", "non-dropping-particle" : "", "parse-names" : false, "suffix" : "" }, { "dropping-particle" : "", "family" : "Biggs", "given" : "Ca", "non-dropping-particle" : "", "parse-names" : false, "suffix" : "" } ], "container-title" : "Biomacromolecules", "id" : "ITEM-1", "issued" : { "date-parts" : [ [ "2008" ] ] }, "page" : "686-695", "title" : "Characterization of the extracellular polymeric substances produced by Escherichia coli using infrared spectroscopic, proteomic, and aggregation studies", "type" : "article-journal" }, "uris" : [ "http://www.mendeley.com/documents/?uuid=32b73a7b-7919-43a2-b30e-e82d121e7b02" ] } ], "mendeley" : { "formattedCitation" : "[105]", "plainTextFormattedCitation" : "[105]", "previouslyFormattedCitation" : "[105]" }, "properties" : { "noteIndex" : 0 }, "schema" : "https://github.com/citation-style-language/schema/raw/master/csl-citation.json" }</w:instrText>
      </w:r>
      <w:r>
        <w:rPr>
          <w:rFonts w:asciiTheme="minorHAnsi" w:eastAsia="Calibri" w:hAnsiTheme="minorHAnsi" w:cs="Calibri"/>
          <w:color w:val="000000"/>
          <w:sz w:val="22"/>
          <w:szCs w:val="22"/>
          <w:vertAlign w:val="superscript"/>
          <w:lang w:eastAsia="en-GB"/>
        </w:rPr>
        <w:fldChar w:fldCharType="separate"/>
      </w:r>
      <w:r w:rsidR="00BB3D6F" w:rsidRPr="00BB3D6F">
        <w:rPr>
          <w:rFonts w:asciiTheme="minorHAnsi" w:eastAsia="Calibri" w:hAnsiTheme="minorHAnsi" w:cs="Calibri"/>
          <w:noProof/>
          <w:color w:val="000000"/>
          <w:sz w:val="22"/>
          <w:szCs w:val="22"/>
          <w:lang w:eastAsia="en-GB"/>
        </w:rPr>
        <w:t>[105]</w:t>
      </w:r>
      <w:r>
        <w:rPr>
          <w:rFonts w:asciiTheme="minorHAnsi" w:eastAsia="Calibri" w:hAnsiTheme="minorHAnsi" w:cs="Calibri"/>
          <w:color w:val="000000"/>
          <w:sz w:val="22"/>
          <w:szCs w:val="22"/>
          <w:vertAlign w:val="superscript"/>
          <w:lang w:eastAsia="en-GB"/>
        </w:rPr>
        <w:fldChar w:fldCharType="end"/>
      </w:r>
      <w:r w:rsidRPr="00C44D8C">
        <w:rPr>
          <w:rFonts w:asciiTheme="minorHAnsi" w:eastAsia="Calibri" w:hAnsiTheme="minorHAnsi" w:cs="Calibri"/>
          <w:color w:val="000000"/>
          <w:sz w:val="22"/>
          <w:szCs w:val="22"/>
          <w:lang w:eastAsia="en-GB"/>
        </w:rPr>
        <w:t>, yet it is common for microbiologists to identify key absorption bands in IR spectra for biological material over a wavenumber range of 800 to 1800 cm</w:t>
      </w:r>
      <w:r w:rsidRPr="00C44D8C">
        <w:rPr>
          <w:rFonts w:asciiTheme="minorHAnsi" w:eastAsia="Calibri" w:hAnsiTheme="minorHAnsi" w:cs="Calibri"/>
          <w:color w:val="000000"/>
          <w:sz w:val="22"/>
          <w:szCs w:val="22"/>
          <w:vertAlign w:val="superscript"/>
          <w:lang w:eastAsia="en-GB"/>
        </w:rPr>
        <w:t>-1</w:t>
      </w:r>
      <w:r w:rsidRPr="00C44D8C">
        <w:rPr>
          <w:rFonts w:asciiTheme="minorHAnsi" w:eastAsia="Calibri" w:hAnsiTheme="minorHAnsi" w:cs="Calibri"/>
          <w:color w:val="000000"/>
          <w:sz w:val="22"/>
          <w:szCs w:val="22"/>
          <w:lang w:eastAsia="en-GB"/>
        </w:rPr>
        <w:t xml:space="preserve">. This wavenumber range correlates to characteristic absorbance peaks from macromolecules of biological origin, such as proteins, lipids, nucleic acids and carbohydrates </w:t>
      </w:r>
      <w:r>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"Naumann", "given" : "Dieter", "non-dropping-particle" : "", "parse-names" : false, "suffix" : "" } ], "container-title" : "Encyclopedia of Analytical Chemistry", "id" : "ITEM-1", "issued" : { "date-parts" : [ [ "2006" ] ] }, "page" : "102-131", "title" : "Infrared Spectroscopy in Microbiology", "type" : "chapter" }, "uris" : [ "http://www.mendeley.com/documents/?uuid=0f4ac524-2e96-4c53-8a59-07b172cb18de" ] } ], "mendeley" : { "formattedCitation" : "[103]", "plainTextFormattedCitation" : "[103]", "previouslyFormattedCitation" : "[103]" }, "properties" : { "noteIndex" : 0 }, "schema" : "https://github.com/citation-style-language/schema/raw/master/csl-citation.json" }</w:instrText>
      </w:r>
      <w:r>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[103]</w:t>
      </w:r>
      <w:r>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can provide useful information on the key functional groups and biological components of the surface involved in </w:t>
      </w:r>
      <w:r>
        <w:rPr>
          <w:rFonts w:asciiTheme="minorHAnsi" w:eastAsia="Calibri" w:hAnsiTheme="minorHAnsi" w:cs="Calibri"/>
          <w:color w:val="000000"/>
          <w:sz w:val="22"/>
          <w:szCs w:val="22"/>
          <w:lang w:eastAsia="en-GB"/>
        </w:rPr>
        <w:t>biofilm formation</w:t>
      </w:r>
      <w:r w:rsidRPr="00C44D8C">
        <w:rPr>
          <w:rFonts w:asciiTheme="minorHAnsi" w:eastAsia="Calibri" w:hAnsiTheme="minorHAnsi" w:cs="Calibri"/>
          <w:color w:val="000000"/>
          <w:sz w:val="22"/>
          <w:szCs w:val="22"/>
          <w:lang w:eastAsia="en-GB"/>
        </w:rPr>
        <w:t xml:space="preserve">, and can describe how the cell surface changes during biofilm formation </w:t>
      </w:r>
      <w:r>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77FF9D1A" w14:textId="57216529" w:rsidR="00436CD0" w:rsidRPr="00C44D8C" w:rsidRDefault="00436CD0" w:rsidP="00436CD0">
      <w:pPr>
        <w:autoSpaceDE w:val="0"/>
        <w:autoSpaceDN w:val="0"/>
        <w:adjustRightInd w:val="0"/>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The use of a diamond attenuated total reflectance (ATR) crystal is often used in FTIR, offering the advantage of being able to directly examine cell suspensions and abiotic surfaces non-invasively directly atop the ATR crystal. The ATR crystal possesses a high refractive index, and an infrared beam penetrates the ATR into the sample at an angle that allows the total internal reflection of the beam</w:t>
      </w:r>
      <w:r w:rsidR="00E3620D">
        <w:rPr>
          <w:rFonts w:asciiTheme="minorHAnsi" w:eastAsia="Calibri" w:hAnsiTheme="minorHAnsi" w:cs="Calibri"/>
          <w:color w:val="000000"/>
          <w:sz w:val="22"/>
          <w:szCs w:val="22"/>
          <w:lang w:eastAsia="en-GB"/>
        </w:rPr>
        <w:t xml:space="preserve"> </w:t>
      </w:r>
      <w:r w:rsidR="00E362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"10.1016/S0964-8305(98)80002-4", "ISBN" : "0964-8305", "ISSN" : "09648305", "abstract" : "The investigation of the development and the properties of biofilms is difficult because classical microbiology does not offer non-destructive methods other than microscopical observations. This paper discusses the use of different Fourier transform infrared spectroscopy (FTIR-spectroscopy) techniques as a means to investigate microorganisms in biofilms. FTIR-spectroscopy is suitable for the identification of microorganisms and presents a new addition to taxonomic and genetic methods. The FTIR analysis of bacterial isolates provides fingerprint spectra, allowing the rapid characterization of microbial strains. Secondly, the FTIR-attenuated total reflection (ATR) technique can be used for the observation of biofilms forming directly on the interface of an ATR crystals such as germanium. These crystals can be coated to obtain a surface more relevant to study interfacial processes. Spectra can be acquired non-destructively, in situ and in real time. This method is suitable for fundamental biofilm research, as well as for monitoring of biofilm formation, e.g., in an ultrapure or drinking water systems. Furthermore, FTIR\u2014ATR also allows the rapid analysis of deposits on surfaces, e.g., filtration membranes. The analytical discrimination between microorganisms, inorganic material or other foulants can be obtained. Thirdly, with the diffuse reflectance technique (DRIFT) it is possible to investigate reflecting surfaces like metals or very small samples. The composition of surface coatings like biomass or other surface contaminants can be detected. These different measurement techniques demonstrate that FTIR-spectroscopy is suitable for biofilm and surface analysis and can be applied in many different ways.", "author" : [ { "dropping-particle" : "", "family" : "Schmitt", "given" : "J\u00fcrgen", "non-dropping-particle" : "", "parse-names" : false, "suffix" : "" }, { "dropping-particle" : "", "family" : "Flemming", "given" : "Hans-Curt", "non-dropping-particle" : "", "parse-names" : false, "suffix" : "" } ], "container-title" : "International Biodeterioration &amp; Biodegradation", "id" : "ITEM-1", "issue" : "1", "issued" : { "date-parts" : [ [ "1998" ] ] }, "page" : "1-11", "title" : "FTIR-spectroscopy in microbial and material analysis", "type" : "article-journal", "volume" : "41" }, "uris" : [ "http://www.mendeley.com/documents/?uuid=ad5f8d99-61f2-4548-9478-f22807bb5fd0" ] } ], "mendeley" : { "formattedCitation" : "[106]", "plainTextFormattedCitation" : "[106]", "previouslyFormattedCitation" : "[106]"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[106]</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reflected beam extends 0.5-5 µm beyond the ATR crystal and into the sample, and possesses altered frequencies that are </w:t>
      </w:r>
      <w:r w:rsidRPr="00C44D8C">
        <w:rPr>
          <w:rFonts w:asciiTheme="minorHAnsi" w:eastAsia="Calibri" w:hAnsiTheme="minorHAnsi" w:cs="Calibri"/>
          <w:color w:val="000000"/>
          <w:sz w:val="22"/>
          <w:szCs w:val="22"/>
          <w:lang w:eastAsia="en-GB"/>
        </w:rPr>
        <w:lastRenderedPageBreak/>
        <w:t xml:space="preserve">unique to the functional groups of the sample surface and which are measured by ATR-FTIR </w:t>
      </w:r>
      <w:r w:rsidR="00E362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"Naumann", "given" : "Dieter", "non-dropping-particle" : "", "parse-names" : false, "suffix" : "" } ], "container-title" : "Encyclopedia of Analytical Chemistry", "id" : "ITEM-1", "issued" : { "date-parts" : [ [ "2006" ] ] }, "page" : "102-131", "title" : "Infrared Spectroscopy in Microbiology", "type" : "chapter" }, "uris" : [ "http://www.mendeley.com/documents/?uuid=0f4ac524-2e96-4c53-8a59-07b172cb18de" ] }, { "id" : "ITEM-2", "itemData" : { "DOI" : "10.1016/S0964-8305(98)80002-4", "ISBN" : "0964-8305", "ISSN" : "09648305", "abstract" : "The investigation of the development and the properties of biofilms is difficult because classical microbiology does not offer non-destructive methods other than microscopical observations. This paper discusses the use of different Fourier transform infrared spectroscopy (FTIR-spectroscopy) techniques as a means to investigate microorganisms in biofilms. FTIR-spectroscopy is suitable for the identification of microorganisms and presents a new addition to taxonomic and genetic methods. The FTIR analysis of bacterial isolates provides fingerprint spectra, allowing the rapid characterization of microbial strains. Secondly, the FTIR-attenuated total reflection (ATR) technique can be used for the observation of biofilms forming directly on the interface of an ATR crystals such as germanium. These crystals can be coated to obtain a surface more relevant to study interfacial processes. Spectra can be acquired non-destructively, in situ and in real time. This method is suitable for fundamental biofilm research, as well as for monitoring of biofilm formation, e.g., in an ultrapure or drinking water systems. Furthermore, FTIR\u2014ATR also allows the rapid analysis of deposits on surfaces, e.g., filtration membranes. The analytical discrimination between microorganisms, inorganic material or other foulants can be obtained. Thirdly, with the diffuse reflectance technique (DRIFT) it is possible to investigate reflecting surfaces like metals or very small samples. The composition of surface coatings like biomass or other surface contaminants can be detected. These different measurement techniques demonstrate that FTIR-spectroscopy is suitable for biofilm and surface analysis and can be applied in many different ways.", "author" : [ { "dropping-particle" : "", "family" : "Schmitt", "given" : "J\u00fcrgen", "non-dropping-particle" : "", "parse-names" : false, "suffix" : "" }, { "dropping-particle" : "", "family" : "Flemming", "given" : "Hans-Curt", "non-dropping-particle" : "", "parse-names" : false, "suffix" : "" } ], "container-title" : "International Biodeterioration &amp; Biodegradation", "id" : "ITEM-2", "issue" : "1", "issued" : { "date-parts" : [ [ "1998" ] ] }, "page" : "1-11", "title" : "FTIR-spectroscopy in microbial and material analysis", "type" : "article-journal", "volume" : "41" }, "uris" : [ "http://www.mendeley.com/documents/?uuid=ad5f8d99-61f2-4548-9478-f22807bb5fd0" ] } ], "mendeley" : { "formattedCitation" : "[103,106]", "plainTextFormattedCitation" : "[103,106]", "previouslyFormattedCitation" : "[103,106]" }, "properties" : { "noteIndex" : 0 }, "schema" : "https://github.com/citation-style-language/schema/raw/master/csl-citation.json" }</w:instrText>
      </w:r>
      <w:r w:rsidR="00E362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[103,106]</w:t>
      </w:r>
      <w:r w:rsidR="00E362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243AE429" w14:textId="71CC2741"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The ATR-FTIR method provides spectral information on both the cytoplasmic and surface components of a cell, as the sample penetration depth of the reflected beam (0.5-5 µm) is greater than the typical cell wall thickness of bacteria (30-100 nm)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"ISBN" : "1943-0264", "author" : [ { "dropping-particle" : "", "family" : "J.Silhavy", "given" : "T.", "non-dropping-particle" : "", "parse-names" : false, "suffix" : "" }, { "dropping-particle" : "", "family" : "Kahne", "given" : "D.", "non-dropping-particle" : "", "parse-names" : false, "suffix" : "" }, { "dropping-particle" : "", "family" : "Walker", "given" : "S.", "non-dropping-particle" : "", "parse-names" : false, "suffix" : "" } ], "container-title" : "Cold Spring Harbor perspectives in biology,", "id" : "ITEM-1", "issue" : "5", "issued" : { "date-parts" : [ [ "2010" ] ] }, "page" : "1-17", "title" : "The bacterial cell envelope", "type" : "article-journal", "volume" : "2" }, "uris" : [ "http://www.mendeley.com/documents/?uuid=0e95b94b-98c7-474b-af97-e850e6e910df" ] } ], "mendeley" : { "formattedCitation" : "[107]", "plainTextFormattedCitation" : "[107]", "previouslyFormattedCitation" : "[107]"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[107]</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However, a study </w:t>
      </w:r>
      <w:r w:rsidRPr="00E93C0F">
        <w:rPr>
          <w:rFonts w:asciiTheme="minorHAnsi" w:eastAsia="Calibri" w:hAnsiTheme="minorHAnsi" w:cs="Calibri"/>
          <w:color w:val="000000"/>
          <w:sz w:val="22"/>
          <w:szCs w:val="22"/>
          <w:lang w:eastAsia="en-GB"/>
        </w:rPr>
        <w:t xml:space="preserve">by Jiang </w:t>
      </w:r>
      <w:r w:rsidRPr="00E93C0F">
        <w:rPr>
          <w:rFonts w:asciiTheme="minorHAnsi" w:eastAsia="Calibri" w:hAnsiTheme="minorHAnsi" w:cs="Calibri"/>
          <w:i/>
          <w:color w:val="000000"/>
          <w:sz w:val="22"/>
          <w:szCs w:val="22"/>
          <w:lang w:eastAsia="en-GB"/>
        </w:rPr>
        <w:t>et al.</w:t>
      </w:r>
      <w:r w:rsidRPr="00E93C0F">
        <w:rPr>
          <w:rFonts w:asciiTheme="minorHAnsi" w:eastAsia="Calibri" w:hAnsiTheme="minorHAnsi" w:cs="Calibri"/>
          <w:color w:val="000000"/>
          <w:sz w:val="22"/>
          <w:szCs w:val="22"/>
          <w:lang w:eastAsia="en-GB"/>
        </w:rPr>
        <w:t xml:space="preserve"> (2004) found</w:t>
      </w:r>
      <w:r w:rsidRPr="00C44D8C">
        <w:rPr>
          <w:rFonts w:asciiTheme="minorHAnsi" w:eastAsia="Calibri" w:hAnsiTheme="minorHAnsi" w:cs="Calibri"/>
          <w:color w:val="000000"/>
          <w:sz w:val="22"/>
          <w:szCs w:val="22"/>
          <w:lang w:eastAsia="en-GB"/>
        </w:rPr>
        <w:t xml:space="preserve"> that the FTIR spectra of intact cells of </w:t>
      </w:r>
      <w:r w:rsidRPr="00C44D8C">
        <w:rPr>
          <w:rFonts w:asciiTheme="minorHAnsi" w:eastAsia="Calibri" w:hAnsiTheme="minorHAnsi" w:cs="Calibri"/>
          <w:i/>
          <w:color w:val="000000"/>
          <w:sz w:val="22"/>
          <w:szCs w:val="22"/>
          <w:lang w:eastAsia="en-GB"/>
        </w:rPr>
        <w:t xml:space="preserve">Bacillus subtilis </w:t>
      </w:r>
      <w:r w:rsidRPr="00C44D8C">
        <w:rPr>
          <w:rFonts w:asciiTheme="minorHAnsi" w:eastAsia="Calibri" w:hAnsiTheme="minorHAnsi" w:cs="Calibri"/>
          <w:color w:val="000000"/>
          <w:sz w:val="22"/>
          <w:szCs w:val="22"/>
          <w:lang w:eastAsia="en-GB"/>
        </w:rPr>
        <w:t xml:space="preserve">168, </w:t>
      </w:r>
      <w:r w:rsidRPr="00C44D8C">
        <w:rPr>
          <w:rFonts w:asciiTheme="minorHAnsi" w:eastAsia="Calibri" w:hAnsiTheme="minorHAnsi" w:cs="Calibri"/>
          <w:i/>
          <w:color w:val="000000"/>
          <w:sz w:val="22"/>
          <w:szCs w:val="22"/>
          <w:lang w:eastAsia="en-GB"/>
        </w:rPr>
        <w:t xml:space="preserve">Bacillus lichenifermis, Pseudomonas stutzeri </w:t>
      </w:r>
      <w:r w:rsidRPr="00C44D8C">
        <w:rPr>
          <w:rFonts w:asciiTheme="minorHAnsi" w:eastAsia="Calibri" w:hAnsiTheme="minorHAnsi" w:cs="Calibri"/>
          <w:color w:val="000000"/>
          <w:sz w:val="22"/>
          <w:szCs w:val="22"/>
          <w:lang w:eastAsia="en-GB"/>
        </w:rPr>
        <w:t xml:space="preserve">17588 and </w:t>
      </w:r>
      <w:r w:rsidRPr="00C44D8C">
        <w:rPr>
          <w:rFonts w:asciiTheme="minorHAnsi" w:eastAsia="Calibri" w:hAnsiTheme="minorHAnsi" w:cs="Calibri"/>
          <w:i/>
          <w:color w:val="000000"/>
          <w:sz w:val="22"/>
          <w:szCs w:val="22"/>
          <w:lang w:eastAsia="en-GB"/>
        </w:rPr>
        <w:t xml:space="preserve">Pseudomonas aeruginosa </w:t>
      </w:r>
      <w:r w:rsidRPr="00C44D8C">
        <w:rPr>
          <w:rFonts w:asciiTheme="minorHAnsi" w:eastAsia="Calibri" w:hAnsiTheme="minorHAnsi" w:cs="Calibri"/>
          <w:color w:val="000000"/>
          <w:sz w:val="22"/>
          <w:szCs w:val="22"/>
          <w:lang w:eastAsia="en-GB"/>
        </w:rPr>
        <w:t>PAO1 cells correlated with the FTIR spectra from their extracted cell walls</w:t>
      </w:r>
      <w:r w:rsidR="00E93C0F">
        <w:rPr>
          <w:rFonts w:asciiTheme="minorHAnsi" w:eastAsia="Calibri" w:hAnsiTheme="minorHAnsi" w:cs="Calibri"/>
          <w:color w:val="000000"/>
          <w:sz w:val="22"/>
          <w:szCs w:val="22"/>
          <w:lang w:eastAsia="en-GB"/>
        </w:rPr>
        <w:t xml:space="preserv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"Jiang", "given" : "W.", "non-dropping-particle" : "", "parse-names" : false, "suffix" : "" }, { "dropping-particle" : "", "family" : "Saxena", "given" : "A.", "non-dropping-particle" : "", "parse-names" : false, "suffix" : "" }, { "dropping-particle" : "", "family" : "Song", "given" : "B.", "non-dropping-particle" : "", "parse-names" : false, "suffix" : "" }, { "dropping-particle" : "", "family" : "Ward", "given" : "B.B.", "non-dropping-particle" : "", "parse-names" : false, "suffix" : "" }, { "dropping-particle" : "", "family" : "Beveridge", "given" : "T.J.", "non-dropping-particle" : "", "parse-names" : false, "suffix" : "" }, { "dropping-particle" : "", "family" : "Myneni", "given" : "S.C.B.", "non-dropping-particle" : "", "parse-names" : false, "suffix" : "" } ], "container-title" : "Langmuir", "id" : "ITEM-1", "issued" : { "date-parts" : [ [ "2004" ] ] }, "page" : "11433-11442", "title" : "Elucidation of Functional Groups on Gram-Positive and Gram-Negative Bacterial Surfaces Using Infrared Spectroscopy", "type" : "article-journal", "volume" : "20" }, "uris" : [ "http://www.mendeley.com/documents/?uuid=7649db00-7a78-3769-a111-46bef4229958" ] } ], "mendeley" : { "formattedCitation" : "[108]", "plainTextFormattedCitation" : "[108]", "previouslyFormattedCitation" : "[108]"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[108]</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As the IR spectra did not significantly differ between intact cells and isolated cell walls, numerous studies since then have used FTIR to analyse surface-specific changes to the cell surface</w:t>
      </w:r>
      <w:r w:rsidR="00E93C0F">
        <w:rPr>
          <w:rFonts w:asciiTheme="minorHAnsi" w:eastAsia="Calibri" w:hAnsiTheme="minorHAnsi" w:cs="Calibri"/>
          <w:color w:val="000000"/>
          <w:sz w:val="22"/>
          <w:szCs w:val="22"/>
          <w:lang w:eastAsia="en-GB"/>
        </w:rPr>
        <w:t xml:space="preserv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"ITEM-1",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"id" : "ITEM-2", "itemData" : { "author" : [ { "dropping-particle" : "", "family" : "Mukherjee, J., Karunakaran, E., Biggs", "given" : "C.A.", "non-dropping-particle" : "", "parse-names" : false, "suffix" : "" } ], "container-title" : "Biofouling", "id" : "ITEM-2",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"id" : "ITEM-3", "itemData" : { "DOI" : "10.1016/j.chemosphere.2013.01.059", "ISSN" : "1879-1298", "PMID" : "23466089", "abstract" : "This study investigated extracellular polymeric substances (EPSs), including soluble EPS, loosely bound EPS and tightly bound EPS (TB-EPS), in biofilms growing on different carriers from a CANON system to elucidate their different compositions and characteristics. The zeta potentials of all EPS fractions of the two samples were decreased systematically. The soft combination packing (SCP) was more hydrophilic than activated carbon fiber (ACF), and it obtained a significantly higher biomass. However, Raman spectroscopy and Fourier transform infrared spectroscopy revealed the same EPS fraction had similar functional groups between two carriers. Especially for the TB-EPS, total amount and the contents of proteins and polysaccharides in the SCP sample were much higher than those in the ACF sample. Moreover, the TB-EPS fraction of the SCP sample had better bioflocculation activity compared with that of the ACF sample. Therefore the result demonstrated that the characteristics of EPS varied from carrier to carrier.", "author" : [ { "dropping-particle" : "", "family" : "Chen", "given" : "You-Peng", "non-dropping-particle" : "", "parse-names" : false, "suffix" : "" }, { "dropping-particle" : "", "family" : "Zhang", "given" : "Peng", "non-dropping-particle" : "", "parse-names" : false, "suffix" : "" }, { "dropping-particle" : "", "family" : "Guo", "given" : "Jin-Song", "non-dropping-particle" : "", "parse-names" : false, "suffix" : "" }, { "dropping-particle" : "", "family" : "Fang", "given" : "Fang", "non-dropping-particle" : "", "parse-names" : false, "suffix" : "" }, { "dropping-particle" : "", "family" : "Gao", "given" : "Xu", "non-dropping-particle" : "", "parse-names" : false, "suffix" : "" }, { "dropping-particle" : "", "family" : "Li", "given" : "Chun", "non-dropping-particle" : "", "parse-names" : false, "suffix" : "" } ], "container-title" : "Chemosphere", "id" : "ITEM-3", "issue" : "6", "issued" : { "date-parts" : [ [ "2013", "7" ] ] }, "page" : "633-8", "publisher" : "Elsevier Ltd", "title" : "Functional groups characteristics of EPS in biofilm growing on different carriers.", "type" : "article-journal", "volume" : "92" }, "uris" : [ "http://www.mendeley.com/documents/?uuid=d72dc189-d2cf-4cf9-8557-f28978666536" ] } ], "mendeley" : { "formattedCitation" : "[87,92,102]", "plainTextFormattedCitation" : "[87,92,102]", "previouslyFormattedCitation" : "[87,92,102]"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[87,92,102]</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work of </w:t>
      </w:r>
      <w:r w:rsidRPr="00E93C0F">
        <w:rPr>
          <w:rFonts w:asciiTheme="minorHAnsi" w:eastAsia="Calibri" w:hAnsiTheme="minorHAnsi" w:cs="Calibri"/>
          <w:color w:val="000000"/>
          <w:sz w:val="22"/>
          <w:szCs w:val="22"/>
          <w:lang w:eastAsia="en-GB"/>
        </w:rPr>
        <w:t xml:space="preserve">van der Mei </w:t>
      </w:r>
      <w:r w:rsidRPr="00E93C0F">
        <w:rPr>
          <w:rFonts w:asciiTheme="minorHAnsi" w:eastAsia="Calibri" w:hAnsiTheme="minorHAnsi" w:cs="Calibri"/>
          <w:i/>
          <w:color w:val="000000"/>
          <w:sz w:val="22"/>
          <w:szCs w:val="22"/>
          <w:lang w:eastAsia="en-GB"/>
        </w:rPr>
        <w:t>et al.</w:t>
      </w:r>
      <w:r w:rsidRPr="00E93C0F">
        <w:rPr>
          <w:rFonts w:asciiTheme="minorHAnsi" w:eastAsia="Calibri" w:hAnsiTheme="minorHAnsi" w:cs="Calibri"/>
          <w:color w:val="000000"/>
          <w:sz w:val="22"/>
          <w:szCs w:val="22"/>
          <w:lang w:eastAsia="en-GB"/>
        </w:rPr>
        <w:t xml:space="preserve"> (2000)</w:t>
      </w:r>
      <w:r w:rsidR="00E93C0F">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 also heralded the use of FTIR for analysing modifications to the cell surface</w:t>
      </w:r>
      <w:r w:rsidR="00E93C0F">
        <w:rPr>
          <w:rFonts w:asciiTheme="minorHAnsi" w:eastAsia="Calibri" w:hAnsiTheme="minorHAnsi" w:cs="Calibri"/>
          <w:color w:val="000000"/>
          <w:sz w:val="22"/>
          <w:szCs w:val="22"/>
          <w:lang w:eastAsia="en-GB"/>
        </w:rPr>
        <w:t xml:space="preserv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"Mei", "given" : "H.C.", "non-dropping-particle" : "van der", "parse-names" : false, "suffix" : "" }, { "dropping-particle" : "", "family" : "Vries", "given" : "J.", "non-dropping-particle" : "de", "parse-names" : false, "suffix" : "" }, { "dropping-particle" : "", "family" : "Busscher", "given" : "H.J.", "non-dropping-particle" : "", "parse-names" : false, "suffix" : "" } ], "container-title" : "Surface Science Reports", "id" : "ITEM-1", "issued" : { "date-parts" : [ [ "2000" ] ] }, "page" : "1-24", "title" : "X-ray photoelectron spectroscopy for the study of microbial cell surfaces", "type" : "article-journal", "volume" : "39" }, "uris" : [ "http://www.mendeley.com/documents/?uuid=e5ad0b72-4ff5-3aa3-82bb-5bb5ab34718f" ] } ], "mendeley" : { "formattedCitation" : "[109]", "plainTextFormattedCitation" : "[109]", "previouslyFormattedCitation" : "[109]"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[109]</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with the assumption that 60 - 70% of the total hydrated cell weight is dominated by the cell wall or surface. Therefore, any major changes in surface composition can be attributed to the dominating cell wall or surface. </w:t>
      </w:r>
    </w:p>
    <w:p w14:paraId="024FBA29" w14:textId="41C041B7"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ATR-FTIR has been used to study biofilm behaviour and formation in archaea, such as in the thermoacidophilic archaeon, </w:t>
      </w:r>
      <w:r w:rsidRPr="00C44D8C">
        <w:rPr>
          <w:rFonts w:asciiTheme="minorHAnsi" w:eastAsia="Calibri" w:hAnsiTheme="minorHAnsi" w:cs="Calibri"/>
          <w:i/>
          <w:color w:val="000000"/>
          <w:sz w:val="22"/>
          <w:szCs w:val="22"/>
          <w:lang w:eastAsia="en-GB"/>
        </w:rPr>
        <w:t xml:space="preserve">Sulfolobus metallicus. </w:t>
      </w:r>
      <w:r w:rsidRPr="00C44D8C">
        <w:rPr>
          <w:rFonts w:asciiTheme="minorHAnsi" w:eastAsia="Calibri" w:hAnsiTheme="minorHAnsi" w:cs="Calibri"/>
          <w:color w:val="000000"/>
          <w:sz w:val="22"/>
          <w:szCs w:val="22"/>
          <w:lang w:eastAsia="en-GB"/>
        </w:rPr>
        <w:t>ATR-FTIR was able to identify</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the surface-associated components of the secreted EPS matrix. The conformational protein and polysaccharide changes between intact cells and the extracted EPS was also measured, to monitor how the cell surface changed in response to a biofilm lifestyle</w:t>
      </w:r>
      <w:r w:rsidR="00E93C0F">
        <w:rPr>
          <w:rFonts w:asciiTheme="minorHAnsi" w:eastAsia="Calibri" w:hAnsiTheme="minorHAnsi" w:cs="Calibri"/>
          <w:color w:val="000000"/>
          <w:sz w:val="22"/>
          <w:szCs w:val="22"/>
          <w:lang w:eastAsia="en-GB"/>
        </w:rPr>
        <w:t xml:space="preserv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"10.1007/s00253-015-6775-y", "ISSN" : "14320614", "author" : [ { "dropping-particle" : "", "family" : "Zhang", "given" : "Ruiyong", "non-dropping-particle" : "", "parse-names" : false, "suffix" : "" }, { "dropping-particle" : "", "family" : "Neu", "given" : "Thomas R.", "non-dropping-particle" : "", "parse-names" : false, "suffix" : "" }, { "dropping-particle" : "", "family" : "Zhang", "given" : "Yutong", "non-dropping-particle" : "", "parse-names" : false, "suffix" : "" }, { "dropping-particle" : "", "family" : "Bellenberg", "given" : "S??ren", "non-dropping-particle" : "", "parse-names" : false, "suffix" : "" }, { "dropping-particle" : "", "family" : "Kuhlicke", "given" : "Ute", "non-dropping-particle" : "", "parse-names" : false, "suffix" : "" }, { "dropping-particle" : "", "family" : "Li", "given" : "Qian", "non-dropping-particle" : "", "parse-names" : false, "suffix" : "" }, { "dropping-particle" : "", "family" : "Sand", "given" : "Wolfgang", "non-dropping-particle" : "", "parse-names" : false, "suffix" : "" }, { "dropping-particle" : "", "family" : "Vera", "given" : "Mario", "non-dropping-particle" : "", "parse-names" : false, "suffix" : "" } ], "container-title" : "Applied Microbiology and Biotechnology", "id" : "ITEM-1", "issued" : { "date-parts" : [ [ "2015" ] ] }, "title" : "Visualization and analysis of EPS glycoconjugates of the thermoacidophilic archaeon Sulfolobus metallicus", "type" : "article-journal" }, "uris" : [ "http://www.mendeley.com/documents/?uuid=84fe2aff-b4a9-3d68-bbfe-4ff7a962c1e9" ] } ], "mendeley" : { "formattedCitation" : "[110]", "plainTextFormattedCitation" : "[110]", "previouslyFormattedCitation" : "[110]"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[110]</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47A57263" w14:textId="77777777"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ab/>
      </w:r>
    </w:p>
    <w:p w14:paraId="31222259" w14:textId="26CED83E" w:rsidR="00436CD0" w:rsidRPr="00B94D0C" w:rsidRDefault="00B94D0C" w:rsidP="00B94D0C">
      <w:pPr>
        <w:pStyle w:val="Heading7"/>
      </w:pPr>
      <w:bookmarkStart w:id="53" w:name="_Toc462575270"/>
      <w:r w:rsidRPr="00B94D0C">
        <w:t xml:space="preserve">2.5.1.2. </w:t>
      </w:r>
      <w:r w:rsidR="00436CD0" w:rsidRPr="00B94D0C">
        <w:t>Surface elemental chemical composition</w:t>
      </w:r>
      <w:bookmarkEnd w:id="53"/>
      <w:r w:rsidR="00436CD0" w:rsidRPr="00B94D0C">
        <w:t xml:space="preserve"> </w:t>
      </w:r>
    </w:p>
    <w:p w14:paraId="058C8DC6" w14:textId="374F799C" w:rsidR="00436CD0" w:rsidRPr="00C44D8C" w:rsidRDefault="00436CD0" w:rsidP="00B94D0C">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chemical and elemental composition of the surface also plays an important role in initial adhesion by affecting the interfacial forces at the microbe-abiotic interface</w:t>
      </w:r>
      <w:r w:rsidR="00E93C0F">
        <w:rPr>
          <w:rFonts w:asciiTheme="minorHAnsi" w:eastAsia="Calibri" w:hAnsiTheme="minorHAnsi" w:cs="Calibri"/>
          <w:color w:val="000000"/>
          <w:sz w:val="22"/>
          <w:szCs w:val="22"/>
          <w:lang w:eastAsia="en-GB"/>
        </w:rPr>
        <w:t xml:space="preserv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"Rouxhet", "given" : "P G", "non-dropping-particle" : "", "parse-names" : false, "suffix" : "" }, { "dropping-particle" : "", "family" : "Mozes", "given" : "N", "non-dropping-particle" : "", "parse-names" : false, "suffix" : "" }, { "dropping-particle" : "", "family" : "Dengis", "given" : "P B", "non-dropping-particle" : "", "parse-names" : false, "suffix" : "" }, { "dropping-particle" : "", "family" : "Dufrene", "given" : "Y F", "non-dropping-particle" : "", "parse-names" : false, "suffix" : "" }, { "dropping-particle" : "", "family" : "Gerin", "given" : "P A", "non-dropping-particle" : "", "parse-names" : false, "suffix" : "" }, { "dropping-particle" : "", "family" : "Genet", "given" : "M J", "non-dropping-particle" : "", "parse-names" : false, "suffix" : "" } ], "container-title" : "Colloids and Surfaces B: Biointerfaces", "id" : "ITEM-1", "issue" : "93", "issued" : { "date-parts" : [ [ "1994" ] ] }, "page" : "347-369", "title" : "Application of X-ray photoelectron spectroscopy to microorganisms", "type" : "article-journal", "volume" : "2" }, "uris" : [ "http://www.mendeley.com/documents/?uuid=c3b92baf-a0cb-4384-9a83-9b93e658e6f9" ] } ], "mendeley" : { "formattedCitation" : "[111]", "plainTextFormattedCitation" : "[111]", "previouslyFormattedCitation" : "[111]"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[111]</w:t>
      </w:r>
      <w:r w:rsidR="00E93C0F">
        <w:rPr>
          <w:rFonts w:asciiTheme="minorHAnsi" w:eastAsia="Calibri" w:hAnsiTheme="minorHAnsi" w:cs="Calibri"/>
          <w:color w:val="000000"/>
          <w:sz w:val="22"/>
          <w:szCs w:val="22"/>
          <w:lang w:eastAsia="en-GB"/>
        </w:rPr>
        <w:fldChar w:fldCharType="end"/>
      </w:r>
      <w:r w:rsidR="00E93C0F">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X-ray photoelectron spectroscopy (XPS) is a </w:t>
      </w:r>
      <w:r w:rsidR="00A3773A" w:rsidRPr="00C44D8C">
        <w:rPr>
          <w:rFonts w:asciiTheme="minorHAnsi" w:eastAsia="Calibri" w:hAnsiTheme="minorHAnsi" w:cs="Calibri"/>
          <w:color w:val="000000"/>
          <w:sz w:val="22"/>
          <w:szCs w:val="22"/>
          <w:lang w:eastAsia="en-GB"/>
        </w:rPr>
        <w:t>well-established</w:t>
      </w:r>
      <w:r w:rsidRPr="00C44D8C">
        <w:rPr>
          <w:rFonts w:asciiTheme="minorHAnsi" w:eastAsia="Calibri" w:hAnsiTheme="minorHAnsi" w:cs="Calibri"/>
          <w:color w:val="000000"/>
          <w:sz w:val="22"/>
          <w:szCs w:val="22"/>
          <w:lang w:eastAsia="en-GB"/>
        </w:rPr>
        <w:t xml:space="preserve"> surface-sensitive method that is able to characterise and quantify the elemental composition and chemical environment of any material surface</w:t>
      </w:r>
      <w:r w:rsidR="00E93C0F">
        <w:rPr>
          <w:rFonts w:asciiTheme="minorHAnsi" w:eastAsia="Calibri" w:hAnsiTheme="minorHAnsi" w:cs="Calibri"/>
          <w:color w:val="000000"/>
          <w:sz w:val="22"/>
          <w:szCs w:val="22"/>
          <w:lang w:eastAsia="en-GB"/>
        </w:rPr>
        <w:t xml:space="preserv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"10.1007/978-3-319-01360-2", "ISBN" : "978-3-319-01359-6", "author" : [ { "dropping-particle" : "", "family" : "Mcarthur", "given" : "Sally L", "non-dropping-particle" : "", "parse-names" : false, "suffix" : "" }, { "dropping-particle" : "", "family" : "Mishra", "given" : "Gautam", "non-dropping-particle" : "", "parse-names" : false, "suffix" : "" }, { "dropping-particle" : "", "family" : "Easton", "given" : "Christopher D", "non-dropping-particle" : "", "parse-names" : false, "suffix" : "" } ], "id" : "ITEM-1", "issued" : { "date-parts" : [ [ "2014" ] ] }, "page" : "9-37", "title" : "Applications of XPS in biology and biointerface analysis", "type" : "chapter" }, "uris" : [ "http://www.mendeley.com/documents/?uuid=c2be0b83-3549-4d3e-9049-c8fe8c4ed33b" ] } ], "mendeley" : { "formattedCitation" : "[112]", "plainTextFormattedCitation" : "[112]", "previouslyFormattedCitation" : "[112]"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[112]</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It has increasingly been used to characterise the surface macromolecular composition of a wide range of microorganisms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sidR="00E93C0F">
        <w:rPr>
          <w:rFonts w:asciiTheme="minorHAnsi" w:eastAsia="Calibri" w:hAnsiTheme="minorHAnsi" w:cs="Calibri"/>
          <w:color w:val="000000"/>
          <w:sz w:val="22"/>
          <w:szCs w:val="22"/>
          <w:lang w:eastAsia="en-GB"/>
        </w:rPr>
        <w:fldChar w:fldCharType="end"/>
      </w:r>
      <w:r w:rsidR="00E93C0F">
        <w:rPr>
          <w:rFonts w:asciiTheme="minorHAnsi" w:eastAsia="Calibri" w:hAnsiTheme="minorHAnsi" w:cs="Calibri"/>
          <w:color w:val="000000"/>
          <w:sz w:val="22"/>
          <w:szCs w:val="22"/>
          <w:lang w:eastAsia="en-GB"/>
        </w:rPr>
        <w:t>.</w:t>
      </w:r>
    </w:p>
    <w:p w14:paraId="7C278572" w14:textId="22273789"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XPS is based on a soft X-ray </w:t>
      </w:r>
      <w:r w:rsidR="00A3773A">
        <w:rPr>
          <w:rFonts w:asciiTheme="minorHAnsi" w:eastAsia="Calibri" w:hAnsiTheme="minorHAnsi" w:cs="Calibri"/>
          <w:color w:val="000000"/>
          <w:sz w:val="22"/>
          <w:szCs w:val="22"/>
          <w:lang w:eastAsia="en-GB"/>
        </w:rPr>
        <w:t>beam of a specific wavelength that</w:t>
      </w:r>
      <w:r w:rsidRPr="00C44D8C">
        <w:rPr>
          <w:rFonts w:asciiTheme="minorHAnsi" w:eastAsia="Calibri" w:hAnsiTheme="minorHAnsi" w:cs="Calibri"/>
          <w:color w:val="000000"/>
          <w:sz w:val="22"/>
          <w:szCs w:val="22"/>
          <w:lang w:eastAsia="en-GB"/>
        </w:rPr>
        <w:t xml:space="preserve"> irradiate</w:t>
      </w:r>
      <w:r w:rsidR="00A3773A">
        <w:rPr>
          <w:rFonts w:asciiTheme="minorHAnsi" w:eastAsia="Calibri" w:hAnsiTheme="minorHAnsi" w:cs="Calibri"/>
          <w:color w:val="000000"/>
          <w:sz w:val="22"/>
          <w:szCs w:val="22"/>
          <w:lang w:eastAsia="en-GB"/>
        </w:rPr>
        <w:t>s</w:t>
      </w:r>
      <w:r w:rsidRPr="00C44D8C">
        <w:rPr>
          <w:rFonts w:asciiTheme="minorHAnsi" w:eastAsia="Calibri" w:hAnsiTheme="minorHAnsi" w:cs="Calibri"/>
          <w:color w:val="000000"/>
          <w:sz w:val="22"/>
          <w:szCs w:val="22"/>
          <w:lang w:eastAsia="en-GB"/>
        </w:rPr>
        <w:t xml:space="preserve"> the surface of a sample at a depth of 2-5 nm</w:t>
      </w:r>
      <w:r w:rsidR="00E93C0F">
        <w:rPr>
          <w:rFonts w:asciiTheme="minorHAnsi" w:eastAsia="Calibri" w:hAnsiTheme="minorHAnsi" w:cs="Calibri"/>
          <w:color w:val="000000"/>
          <w:sz w:val="22"/>
          <w:szCs w:val="22"/>
          <w:lang w:eastAsia="en-GB"/>
        </w:rPr>
        <w:t xml:space="preserv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"Rouxhet", "given" : "P G", "non-dropping-particle" : "", "parse-names" : false, "suffix" : "" }, { "dropping-particle" : "", "family" : "Mozes", "given" : "N", "non-dropping-particle" : "", "parse-names" : false, "suffix" : "" }, { "dropping-particle" : "", "family" : "Dengis", "given" : "P B", "non-dropping-particle" : "", "parse-names" : false, "suffix" : "" }, { "dropping-particle" : "", "family" : "Dufrene", "given" : "Y F", "non-dropping-particle" : "", "parse-names" : false, "suffix" : "" }, { "dropping-particle" : "", "family" : "Gerin", "given" : "P A", "non-dropping-particle" : "", "parse-names" : false, "suffix" : "" }, { "dropping-particle" : "", "family" : "Genet", "given" : "M J", "non-dropping-particle" : "", "parse-names" : false, "suffix" : "" } ], "container-title" : "Colloids and Surfaces B: Biointerfaces", "id" : "ITEM-1", "issue" : "93", "issued" : { "date-parts" : [ [ "1994" ] ] }, "page" : "347-369", "title" : "Application of X-ray photoelectron spectroscopy to microorganisms", "type" : "article-journal", "volume" : "2" }, "uris" : [ "http://www.mendeley.com/documents/?uuid=c3b92baf-a0cb-4384-9a83-9b93e658e6f9" ] }, { "id" : "ITEM-2",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"ITEM-2",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"mendeley" : { "formattedCitation" : "[102,111]", "plainTextFormattedCitation" : "[102,111]", "previouslyFormattedCitation" : "[102,111]"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[102,111]</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X-ray beams are absorbed by the atoms in the sample, leading to the ejection of electrons from their inner electron shells whose binding energies are measured by XPS. Specific elements possess unique binding energies depending on their electron density and chemical states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"ITEM-1",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"mendeley" : { "formattedCitation" : "[102]", "plainTextFormattedCitation" : "[102]", "previouslyFormattedCitation" : "[102]"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[102]</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These elemental binding energies appear as peaks in XPS spectra, and the intensities of the ejected electrons are proportional to the concentration of the element from which they came. As such, they </w:t>
      </w:r>
      <w:r w:rsidRPr="00C44D8C">
        <w:rPr>
          <w:rFonts w:asciiTheme="minorHAnsi" w:eastAsia="Calibri" w:hAnsiTheme="minorHAnsi" w:cs="Calibri"/>
          <w:color w:val="000000"/>
          <w:sz w:val="22"/>
          <w:szCs w:val="22"/>
          <w:lang w:eastAsia="en-GB"/>
        </w:rPr>
        <w:lastRenderedPageBreak/>
        <w:t xml:space="preserve">are used as markers to identify the elemental composition of a microbial or abiotic surface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"Rouxhet", "given" : "P G", "non-dropping-particle" : "", "parse-names" : false, "suffix" : "" }, { "dropping-particle" : "", "family" : "Mozes", "given" : "N", "non-dropping-particle" : "", "parse-names" : false, "suffix" : "" }, { "dropping-particle" : "", "family" : "Dengis", "given" : "P B", "non-dropping-particle" : "", "parse-names" : false, "suffix" : "" }, { "dropping-particle" : "", "family" : "Dufrene", "given" : "Y F", "non-dropping-particle" : "", "parse-names" : false, "suffix" : "" }, { "dropping-particle" : "", "family" : "Gerin", "given" : "P A", "non-dropping-particle" : "", "parse-names" : false, "suffix" : "" }, { "dropping-particle" : "", "family" : "Genet", "given" : "M J", "non-dropping-particle" : "", "parse-names" : false, "suffix" : "" } ], "container-title" : "Colloids and Surfaces B: Biointerfaces", "id" : "ITEM-1", "issue" : "93", "issued" : { "date-parts" : [ [ "1994" ] ] }, "page" : "347-369", "title" : "Application of X-ray photoelectron spectroscopy to microorganisms", "type" : "article-journal", "volume" : "2" }, "uris" : [ "http://www.mendeley.com/documents/?uuid=c3b92baf-a0cb-4384-9a83-9b93e658e6f9" ] } ], "mendeley" : { "formattedCitation" : "[111]", "plainTextFormattedCitation" : "[111]", "previouslyFormattedCitation" : "[111]"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[111]</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1337602D" w14:textId="712C9CFB"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XPS analysis is therefore a high resolution surface analysis technique that analyses the binding energies of emitted electrons from a sample to reveal the composition and bonding environments of the elements in the sample, as well as the surface functional groups and macromolecules in the sample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"10.1007/978-3-319-01360-2", "ISBN" : "978-3-319-01359-6", "author" : [ { "dropping-particle" : "", "family" : "Mcarthur", "given" : "Sally L", "non-dropping-particle" : "", "parse-names" : false, "suffix" : "" }, { "dropping-particle" : "", "family" : "Mishra", "given" : "Gautam", "non-dropping-particle" : "", "parse-names" : false, "suffix" : "" }, { "dropping-particle" : "", "family" : "Easton", "given" : "Christopher D", "non-dropping-particle" : "", "parse-names" : false, "suffix" : "" } ], "id" : "ITEM-1", "issued" : { "date-parts" : [ [ "2014" ] ] }, "page" : "9-37", "title" : "Applications of XPS in biology and biointerface analysis", "type" : "chapter" }, "uris" : [ "http://www.mendeley.com/documents/?uuid=c2be0b83-3549-4d3e-9049-c8fe8c4ed33b" ] } ], "mendeley" : { "formattedCitation" : "[112]", "plainTextFormattedCitation" : "[112]", "previouslyFormattedCitation" : "[112]"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[112]</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6D541233" w14:textId="4FBBEF4D" w:rsidR="00436CD0" w:rsidRDefault="00436CD0" w:rsidP="00B94D0C">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quantification of macromolecules in a sample can </w:t>
      </w:r>
      <w:r w:rsidR="00A3773A">
        <w:rPr>
          <w:rFonts w:asciiTheme="minorHAnsi" w:eastAsia="Calibri" w:hAnsiTheme="minorHAnsi" w:cs="Calibri"/>
          <w:color w:val="000000"/>
          <w:sz w:val="22"/>
          <w:szCs w:val="22"/>
          <w:lang w:eastAsia="en-GB"/>
        </w:rPr>
        <w:t xml:space="preserve">also </w:t>
      </w:r>
      <w:r w:rsidRPr="00C44D8C">
        <w:rPr>
          <w:rFonts w:asciiTheme="minorHAnsi" w:eastAsia="Calibri" w:hAnsiTheme="minorHAnsi" w:cs="Calibri"/>
          <w:color w:val="000000"/>
          <w:sz w:val="22"/>
          <w:szCs w:val="22"/>
          <w:lang w:eastAsia="en-GB"/>
        </w:rPr>
        <w:t xml:space="preserve">be estimated from high resolution XPS spectra using a simple approach based on the work of </w:t>
      </w:r>
      <w:r w:rsidRPr="00E93C0F">
        <w:rPr>
          <w:rFonts w:asciiTheme="minorHAnsi" w:eastAsia="Calibri" w:hAnsiTheme="minorHAnsi" w:cs="Calibri"/>
          <w:color w:val="000000"/>
          <w:sz w:val="22"/>
          <w:szCs w:val="22"/>
          <w:lang w:eastAsia="en-GB"/>
        </w:rPr>
        <w:t xml:space="preserve">Rouxhet </w:t>
      </w:r>
      <w:r w:rsidRPr="00E93C0F">
        <w:rPr>
          <w:rFonts w:asciiTheme="minorHAnsi" w:eastAsia="Calibri" w:hAnsiTheme="minorHAnsi" w:cs="Calibri"/>
          <w:i/>
          <w:color w:val="000000"/>
          <w:sz w:val="22"/>
          <w:szCs w:val="22"/>
          <w:lang w:eastAsia="en-GB"/>
        </w:rPr>
        <w:t xml:space="preserve">et al. </w:t>
      </w:r>
      <w:r w:rsidRPr="00E93C0F">
        <w:rPr>
          <w:rFonts w:asciiTheme="minorHAnsi" w:eastAsia="Calibri" w:hAnsiTheme="minorHAnsi" w:cs="Calibri"/>
          <w:color w:val="000000"/>
          <w:sz w:val="22"/>
          <w:szCs w:val="22"/>
          <w:lang w:eastAsia="en-GB"/>
        </w:rPr>
        <w:t>(1994)</w:t>
      </w:r>
      <w:r w:rsidR="00E93C0F">
        <w:rPr>
          <w:rFonts w:asciiTheme="minorHAnsi" w:eastAsia="Calibri" w:hAnsiTheme="minorHAnsi" w:cs="Calibri"/>
          <w:color w:val="000000"/>
          <w:sz w:val="22"/>
          <w:szCs w:val="22"/>
          <w:lang w:eastAsia="en-GB"/>
        </w:rPr>
        <w:t xml:space="preserv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"Rouxhet", "given" : "P G", "non-dropping-particle" : "", "parse-names" : false, "suffix" : "" }, { "dropping-particle" : "", "family" : "Mozes", "given" : "N", "non-dropping-particle" : "", "parse-names" : false, "suffix" : "" }, { "dropping-particle" : "", "family" : "Dengis", "given" : "P B", "non-dropping-particle" : "", "parse-names" : false, "suffix" : "" }, { "dropping-particle" : "", "family" : "Dufrene", "given" : "Y F", "non-dropping-particle" : "", "parse-names" : false, "suffix" : "" }, { "dropping-particle" : "", "family" : "Gerin", "given" : "P A", "non-dropping-particle" : "", "parse-names" : false, "suffix" : "" }, { "dropping-particle" : "", "family" : "Genet", "given" : "M J", "non-dropping-particle" : "", "parse-names" : false, "suffix" : "" } ], "container-title" : "Colloids and Surfaces B: Biointerfaces", "id" : "ITEM-1", "issue" : "93", "issued" : { "date-parts" : [ [ "1994" ] ] }, "page" : "347-369", "title" : "Application of X-ray photoelectron spectroscopy to microorganisms", "type" : "article-journal", "volume" : "2" }, "uris" : [ "http://www.mendeley.com/documents/?uuid=c3b92baf-a0cb-4384-9a83-9b93e658e6f9" ] } ], "mendeley" : { "formattedCitation" : "[111]", "plainTextFormattedCitation" : "[111]", "previouslyFormattedCitation" : "[111]"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[111]</w:t>
      </w:r>
      <w:r w:rsidR="00E93C0F">
        <w:rPr>
          <w:rFonts w:asciiTheme="minorHAnsi" w:eastAsia="Calibri" w:hAnsiTheme="minorHAnsi" w:cs="Calibri"/>
          <w:color w:val="000000"/>
          <w:sz w:val="22"/>
          <w:szCs w:val="22"/>
          <w:lang w:eastAsia="en-GB"/>
        </w:rPr>
        <w:fldChar w:fldCharType="end"/>
      </w:r>
      <w:r w:rsidRPr="00E93C0F">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This approach calculates the molecular composition of a cell surface based on comparing the measured atomic</w:t>
      </w:r>
      <w:r w:rsidR="00A3773A">
        <w:rPr>
          <w:rFonts w:asciiTheme="minorHAnsi" w:eastAsia="Calibri" w:hAnsiTheme="minorHAnsi" w:cs="Calibri"/>
          <w:color w:val="000000"/>
          <w:sz w:val="22"/>
          <w:szCs w:val="22"/>
          <w:lang w:eastAsia="en-GB"/>
        </w:rPr>
        <w:t xml:space="preserve"> concentration ratios of oxygen to </w:t>
      </w:r>
      <w:r w:rsidRPr="00C44D8C">
        <w:rPr>
          <w:rFonts w:asciiTheme="minorHAnsi" w:eastAsia="Calibri" w:hAnsiTheme="minorHAnsi" w:cs="Calibri"/>
          <w:color w:val="000000"/>
          <w:sz w:val="22"/>
          <w:szCs w:val="22"/>
          <w:lang w:eastAsia="en-GB"/>
        </w:rPr>
        <w:t>carbon</w:t>
      </w:r>
      <w:r w:rsidR="00A3773A">
        <w:rPr>
          <w:rFonts w:asciiTheme="minorHAnsi" w:eastAsia="Calibri" w:hAnsiTheme="minorHAnsi" w:cs="Calibri"/>
          <w:color w:val="000000"/>
          <w:sz w:val="22"/>
          <w:szCs w:val="22"/>
          <w:lang w:eastAsia="en-GB"/>
        </w:rPr>
        <w:t xml:space="preserve">, and nitrogen to </w:t>
      </w:r>
      <w:r w:rsidRPr="00C44D8C">
        <w:rPr>
          <w:rFonts w:asciiTheme="minorHAnsi" w:eastAsia="Calibri" w:hAnsiTheme="minorHAnsi" w:cs="Calibri"/>
          <w:color w:val="000000"/>
          <w:sz w:val="22"/>
          <w:szCs w:val="22"/>
          <w:lang w:eastAsia="en-GB"/>
        </w:rPr>
        <w:t>carbon of experimental samples to the known ratios of model compounds for polysaccharides, hydrocarbon-like compounds and proteins. However, careful consideration should be taken into account with the interpretation of these values, as they may differ from the actual cell surface composition due to the oversimplification of the quantification approach used</w:t>
      </w:r>
      <w:r w:rsidR="00E93C0F">
        <w:rPr>
          <w:rFonts w:asciiTheme="minorHAnsi" w:eastAsia="Calibri" w:hAnsiTheme="minorHAnsi" w:cs="Calibri"/>
          <w:color w:val="000000"/>
          <w:sz w:val="22"/>
          <w:szCs w:val="22"/>
          <w:lang w:eastAsia="en-GB"/>
        </w:rPr>
        <w:t xml:space="preserve"> </w:t>
      </w:r>
      <w:r w:rsidR="00E93C0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"ITEM-1",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"mendeley" : { "formattedCitation" : "[102]", "plainTextFormattedCitation" : "[102]", "previouslyFormattedCitation" : "[102]" }, "properties" : { "noteIndex" : 0 }, "schema" : "https://github.com/citation-style-language/schema/raw/master/csl-citation.json" }</w:instrText>
      </w:r>
      <w:r w:rsidR="00E93C0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[102]</w:t>
      </w:r>
      <w:r w:rsidR="00E93C0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Despite this, </w:t>
      </w:r>
      <w:r w:rsidRPr="00E93C0F">
        <w:rPr>
          <w:rFonts w:asciiTheme="minorHAnsi" w:eastAsia="Calibri" w:hAnsiTheme="minorHAnsi" w:cs="Calibri"/>
          <w:color w:val="000000"/>
          <w:sz w:val="22"/>
          <w:szCs w:val="22"/>
          <w:lang w:eastAsia="en-GB"/>
        </w:rPr>
        <w:t xml:space="preserve">Dufrêne </w:t>
      </w:r>
      <w:r w:rsidRPr="00E93C0F">
        <w:rPr>
          <w:rFonts w:asciiTheme="minorHAnsi" w:eastAsia="Calibri" w:hAnsiTheme="minorHAnsi" w:cs="Calibri"/>
          <w:i/>
          <w:color w:val="000000"/>
          <w:sz w:val="22"/>
          <w:szCs w:val="22"/>
          <w:lang w:eastAsia="en-GB"/>
        </w:rPr>
        <w:t xml:space="preserve">et al. </w:t>
      </w:r>
      <w:r w:rsidRPr="00E93C0F">
        <w:rPr>
          <w:rFonts w:asciiTheme="minorHAnsi" w:eastAsia="Calibri" w:hAnsiTheme="minorHAnsi" w:cs="Calibri"/>
          <w:color w:val="000000"/>
          <w:sz w:val="22"/>
          <w:szCs w:val="22"/>
          <w:lang w:eastAsia="en-GB"/>
        </w:rPr>
        <w:t>(1997) confirmed</w:t>
      </w:r>
      <w:r w:rsidRPr="00C44D8C">
        <w:rPr>
          <w:rFonts w:asciiTheme="minorHAnsi" w:eastAsia="Calibri" w:hAnsiTheme="minorHAnsi" w:cs="Calibri"/>
          <w:color w:val="000000"/>
          <w:sz w:val="22"/>
          <w:szCs w:val="22"/>
          <w:lang w:eastAsia="en-GB"/>
        </w:rPr>
        <w:t xml:space="preserve"> the validity of using XPS and Rouxhet’s approach to estimate the overall molecular composition of the surface of </w:t>
      </w:r>
      <w:r w:rsidRPr="00C44D8C">
        <w:rPr>
          <w:rFonts w:asciiTheme="minorHAnsi" w:eastAsia="Calibri" w:hAnsiTheme="minorHAnsi" w:cs="Calibri"/>
          <w:i/>
          <w:color w:val="000000"/>
          <w:sz w:val="22"/>
          <w:szCs w:val="22"/>
          <w:lang w:eastAsia="en-GB"/>
        </w:rPr>
        <w:t>Bacillus brevis</w:t>
      </w:r>
      <w:r w:rsidRPr="00C44D8C">
        <w:rPr>
          <w:rFonts w:asciiTheme="minorHAnsi" w:eastAsia="Calibri" w:hAnsiTheme="minorHAnsi" w:cs="Calibri"/>
          <w:color w:val="000000"/>
          <w:sz w:val="22"/>
          <w:szCs w:val="22"/>
          <w:lang w:eastAsia="en-GB"/>
        </w:rPr>
        <w:t>, by showing that the cell surface molecular composition as deduced by XPS analysis fitted well with the measured total peptide content from biochemical analysis</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"abstract" : "The surface chemical composition of whole cells and isolated cell walls of four coryneform bacteria and of a Bacillus brevis strain has been determined by X-ray photoelectron spectroscopy (XPS). The XPS data were converted into concentrations of model compounds: peptides, polysaccharides, and hydrocarbonlike com-pounds. The composition of the surface of B. brevis differed markedly from that of coryneforms: the peptide concentration was about twice higher in the former case, which is attributed to the presence of an S-layer at the cell surface; in contrast, the surface of coryneforms was rich in hydrocarbonlike compounds (about 40%), which was concomitant with a high water contact angle. The peptide surface concentration of the isolated cell walls of the five strains deduced from XPS data fitted well with the total peptide content determined by biochemical analysis, which supports the validity of XPS to determine the overall macromolecular composition of the bacterial cell surface. Compared to biochemical analysis of isolated cell walls, XPS analysis of whole cells provides information which concerns directly the cell surface (2-to 5-nm-thick layer) and is less subject to alteration via losses of cell wall constituents or contamination by intracellular compounds. X-ray photoelectron spectroscopy (XPS) provides a direct chemical analysis of solid surfaces. The technique involves irradiation of the sample by an X-ray beam, which induces ejection of photoelectrons. The kinetic energy of the emitted electrons is analyzed, and their binding energy in the atom of origin is determined. Due to inelastic scattering of electrons in the sample, the collected information concerns only the out-ermost molecular layers of the surface (2 to 5 nm). Each peak of the recorded spectrum is characteristic of a given electron energy level of a given element, and its position is influenced by the chemical environment. Therefore, XPS provides an elemental analysis and a rough functional group analysis of the surface. Detailed information on the technique can be found in the literature (16, 17). Although XPS is now well established in the surface study of inert materials, its use for the characterization of microbial cell surfaces is not yet widespread (1, 5, 6, 7, 8, 18, 21). Since the analysis is performed under high vacuum, the cells must be freeze-dried before being introduced in the spectrometer. This raises questions concerning the representativity of the analyzed surface w\u2026", "author" : [ { "dropping-particle" : "", "family" : "Dufrene", "given" : "Yves F", "non-dropping-particle" : "", "parse-names" : false, "suffix" : "" }, { "dropping-particle" : "", "family" : "Wal", "given" : "Albert", "non-dropping-particle" : "Van Der", "parse-names" : false, "suffix" : "" }, { "dropping-particle" : "", "family" : "Norde", "given" : "Willem", "non-dropping-particle" : "", "parse-names" : false, "suffix" : "" }, { "dropping-particle" : "", "family" : "Rouxhet", "given" : "Paul G", "non-dropping-particle" : "", "parse-names" : false, "suffix" : "" } ], "container-title" : "Journal of Bacteriology", "id" : "ITEM-1", "issue" : "4", "issued" : { "date-parts" : [ [ "1997" ] ] }, "page" : "1023-1028", "title" : "X-Ray Photoelectron Spectroscopy Analysis of Whole Cells and Isolated Cell Walls of Gram-Positive Bacteria: Comparison with Biochemical Analysis", "type" : "article-journal", "volume" : "179" }, "uris" : [ "http://www.mendeley.com/documents/?uuid=7afa4963-bc75-31b7-88ab-f9e36228b62e" ] } ], "mendeley" : { "formattedCitation" : "[113]", "plainTextFormattedCitation" : "[113]", "previouslyFormattedCitation" : "[113]"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[113]</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In fact, XPS has been increasingly used in numerous microbiological studies to study and quantify surface-associated changes during biofilm formation </w:t>
      </w:r>
      <w:r w:rsid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"ITEM-1",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"id" : "ITEM-2", "itemData" : { "author" : [ { "dropping-particle" : "", "family" : "Mukherjee, J., Karunakaran, E., Biggs", "given" : "C.A.", "non-dropping-particle" : "", "parse-names" : false, "suffix" : "" } ], "container-title" : "Biofouling", "id" : "ITEM-2",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"id" : "ITEM-3",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"ITEM-3",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"id" : "ITEM-4", "itemData" : { "abstract" : "The aim of this paper was to determine the adhesion of two physico-chemically characterized bacterial strains to a surface hydrophilic (CL A, water contact angle 571) and hydrophobic (CL B, water contact angle 1061) hydrogel contact lens (CL) with and without an adsorbed tear film in a parallel plate flow chamber. Hydrophobicity (by water contact angles), charge (by particulate microelectrophoresis) and elemental composition (by XPS) of the surfaces of seven bacterial strains were characterized, after which two strains were selected for further studies. On CL surfaces, hydrophobicity, elemental composition, and mean surface roughness (by AFM) were determined, as well as the protein composition of tear films adsorbed on these lenses (by sodium dodecylsulphate-polyacrylamide gel electrophoresis (SDS-PAGE)). Bacterial cell surfaces were relatively uncharged and water contact angles on lawns of different strains ranged from hydrophobic to hydrophilic. After adsorption of tear film components, N=C elemental surface concentrations increased on CL A and CL B and differences in water contact angles between both lenses reduced to range from 571 (CL A) to 691 (CL B). However, different protein compositions were inferred. The surface roughness of CL A increased from 4 to 13 nm, while it remained 16 nm for CL B. Adhesion of hydrophobic Pseudomonas aeruginosa #3 was more extensive than of hydrophilic Staphylococcus aureus 799, with no differences between both lenses. The hydrophobicity of P. aeruginosa #3 after cell surface damage decreased and its adhesion was reduced on CL A and strongly on CL B. In addition, passage of an air\u2013liquid interface yielded more detachment of S. aureus 799 than of P. aeruginosa #3 from the CL surfaces. In conclusion, the hydrophobicity of CL surfaces dictates the composition of the adsorbed tear film and therewith plays an important role in bacterial adhesion to lenses. Adhesion of hydrophobic P. aeruginosa #3 was more tenacious than of hydrophilic S. aureus 799. r", "author" : [ { "dropping-particle" : "", "family" : "Bruinsma", "given" : "G M", "non-dropping-particle" : "", "parse-names" : false, "suffix" : "" }, { "dropping-particle" : "", "family" : "Mei", "given" : "H C", "non-dropping-particle" : "Van Der", "parse-names" : false, "suffix" : "" }, { "dropping-particle" : "", "family" : "Busscher", "given" : "H J", "non-dropping-particle" : "", "parse-names" : false, "suffix" : "" } ], "container-title" : "Biomaterials", "id" : "ITEM-4", "issued" : { "date-parts" : [ [ "2001" ] ] }, "page" : "3217-3224", "title" : "Bacterial adhesion to surface hydrophilic and hydrophobic contact lenses", "type" : "article-journal", "volume" : "22" }, "uris" : [ "http://www.mendeley.com/documents/?uuid=7e7bfee2-c824-35df-a9bb-572998c8e224" ] }, { "id" : "ITEM-5", "itemData" : { "DOI" : "10.1016/j.resmic.2005.01.007", "ISSN" : "09232508", "PMID" : "15862449", "abstract" : "Staphylococcus epidermidis is now well established as a major nosocomial pathogen associated with infections of indwelling medical devices. The major virulence factor of these organisms is their ability to adhere to devices and form biofilms. However, it has not been established that adherence and biofilm formation are closely linked phenotypes for clinical isolates. In this study, the initial adhesion to different materials (acrylic and glass) of 9 clinical isolates of S. epidermidis, along with biofilm-positive and biofilm-negative control strains, was assayed using physico-chemical interactions to analyze the basis for bacterial adherence to the substratum. X-ray photo electron spectroscopy (XPS) analysis of the cell surface elemental composition was also performed in an attempt to find a relationship between chemical composition and adhesion capabilities. Biofilm formation on the two surfaces was evaluated by dry weight measurements. Human erythrocytes were used to evaluate the ability of S. epidermidis strains to cause hemagglutination, an indicator of the production of a poly-N-acetyl glucosamine cell surface polysaccharide also involved in biofilm formation. The clinical isolates exhibited different cell wall physico-chemical properties, resulting in differing abilities to adhere to surfaces. Adhesion to hydrophobic substrata for all strains occurred to a greater extent than that to hydrophilic surfaces. Bacterial cell hydrophobicity seemed to have little or no influence on adhesion. X-ray photoelectron spectroscopy analysis showed a high ratio of oxygen/carbon for all strains, which is a common characteristic of S. epidermidis species. No relevant relationship was found between XPS data and adhesion values. All strains forming biofilms were able to agglutinate erythrocytes. However, no direct relationship was found between the amount of biofilm formed and the initial adhesion extent. These results indicate that high levels of initial adherence do not necessarily lead to thick biofilm formation. These two aspects of the pathogenesis of medical device related-infection may need to be evaluated independently to ascertain the contribution of each to the virulence of S. epidermidis causing device-related infections. \u00a9 2005 Elsevier SAS. All rights reserved.", "author" : [ { "dropping-particle" : "", "family" : "Cerca", "given" : "Nuno", "non-dropping-particle" : "", "parse-names" : false, "suffix" : "" }, { "dropping-particle" : "", "family" : "Pier", "given" : "Gerald B.", "non-dropping-particle" : "", "parse-names" : false, "suffix" : "" }, { "dropping-particle" : "", "family" : "Vilanova", "given" : "Manuel", "non-dropping-particle" : "", "parse-names" : false, "suffix" : "" }, { "dropping-particle" : "", "family" : "Oliveira", "given" : "Ros\u00e1rio", "non-dropping-particle" : "", "parse-names" : false, "suffix" : "" }, { "dropping-particle" : "", "family" : "Azeredo", "given" : "Joana", "non-dropping-particle" : "", "parse-names" : false, "suffix" : "" } ], "container-title" : "Research in Microbiology", "id" : "ITEM-5", "issued" : { "date-parts" : [ [ "2005" ] ] }, "page" : "506-514", "title" : "Quantitative analysis of adhesion and biofilm formation on hydrophilic and hydrophobic surfaces of clinical isolates of Staphylococcus epidermidis", "type" : "article-journal", "volume" : "156" }, "uris" : [ "http://www.mendeley.com/documents/?uuid=2d999e23-a8b3-4077-a134-f6083bfd28ff" ] } ], "mendeley" : { "formattedCitation" : "[75,89,92,101,102]", "plainTextFormattedCitation" : "[75,89,92,101,102]", "previouslyFormattedCitation" : "[75,89,92,101,102]"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[75,89,92,101,102]</w:t>
      </w:r>
      <w:r w:rsidR="00A40F4C">
        <w:rPr>
          <w:rFonts w:asciiTheme="minorHAnsi" w:eastAsia="Calibri" w:hAnsiTheme="minorHAnsi" w:cs="Calibri"/>
          <w:color w:val="000000"/>
          <w:sz w:val="22"/>
          <w:szCs w:val="22"/>
          <w:lang w:eastAsia="en-GB"/>
        </w:rPr>
        <w:fldChar w:fldCharType="end"/>
      </w:r>
      <w:r w:rsidR="00A40F4C">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 </w:t>
      </w:r>
    </w:p>
    <w:p w14:paraId="08FDB3A3" w14:textId="77777777" w:rsidR="00B94D0C" w:rsidRPr="00B94D0C" w:rsidRDefault="00B94D0C" w:rsidP="00B94D0C">
      <w:pPr>
        <w:spacing w:line="360" w:lineRule="auto"/>
        <w:ind w:firstLine="720"/>
        <w:rPr>
          <w:rFonts w:asciiTheme="minorHAnsi" w:eastAsia="Arial" w:hAnsiTheme="minorHAnsi" w:cs="Arial"/>
          <w:color w:val="000000"/>
          <w:sz w:val="22"/>
          <w:szCs w:val="22"/>
          <w:lang w:eastAsia="en-GB"/>
        </w:rPr>
      </w:pPr>
    </w:p>
    <w:p w14:paraId="4D4B2523" w14:textId="371EF652" w:rsidR="00436CD0" w:rsidRPr="00B94D0C" w:rsidRDefault="00B94D0C" w:rsidP="00B94D0C">
      <w:pPr>
        <w:pStyle w:val="Heading7"/>
      </w:pPr>
      <w:bookmarkStart w:id="54" w:name="_Toc462575271"/>
      <w:r w:rsidRPr="00B94D0C">
        <w:t xml:space="preserve">2.5.1.3. </w:t>
      </w:r>
      <w:r w:rsidR="00436CD0" w:rsidRPr="00B94D0C">
        <w:t>Zeta potential analysis</w:t>
      </w:r>
      <w:bookmarkEnd w:id="54"/>
      <w:r w:rsidR="00436CD0" w:rsidRPr="00B94D0C">
        <w:tab/>
      </w:r>
    </w:p>
    <w:p w14:paraId="56DC9E3C" w14:textId="7C12AE87"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The surface potential of the microbial and abiotic surface cannot be experimentally determined</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"id" : "ITEM-2", "itemData" : { "DOI" : "10.1016/S0927-7765(99)00029-6", "ISSN" : "09277765", "author" : [ { "dropping-particle" : "", "family" : "Hermansson", "given" : "Malte", "non-dropping-particle" : "", "parse-names" : false, "suffix" : "" } ], "container-title" : "Colloids and Surfaces B: Biointerfaces", "id" : "ITEM-2", "issue" : "1-4", "issued" : { "date-parts" : [ [ "1999", "8" ] ] }, "page" : "105-119", "title" : "The DLVO theory in microbial adhesion", "type" : "article-journal", "volume" : "14" }, "uris" : [ "http://www.mendeley.com/documents/?uuid=db12c3da-a687-4348-a0ac-a4b17f40df97" ] } ], "mendeley" : { "formattedCitation" : "[72,79]", "plainTextFormattedCitation" : "[72,79]", "previouslyFormattedCitation" : "[72,79]"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[72,79]</w:t>
      </w:r>
      <w:r w:rsidR="00A40F4C">
        <w:rPr>
          <w:rFonts w:asciiTheme="minorHAnsi" w:eastAsia="Calibri" w:hAnsiTheme="minorHAnsi" w:cs="Calibri"/>
          <w:color w:val="000000"/>
          <w:sz w:val="22"/>
          <w:szCs w:val="22"/>
          <w:lang w:eastAsia="en-GB"/>
        </w:rPr>
        <w:fldChar w:fldCharType="end"/>
      </w:r>
      <w:r w:rsidR="00A40F4C">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 However, the zeta potential, ζ, is a measurable trait, and is assumed to be the same as the surface potential. Therefore, zeta potential analysis is used to </w:t>
      </w:r>
      <w:r w:rsidR="00A3773A">
        <w:rPr>
          <w:rFonts w:asciiTheme="minorHAnsi" w:eastAsia="Calibri" w:hAnsiTheme="minorHAnsi" w:cs="Calibri"/>
          <w:color w:val="000000"/>
          <w:sz w:val="22"/>
          <w:szCs w:val="22"/>
          <w:lang w:eastAsia="en-GB"/>
        </w:rPr>
        <w:t xml:space="preserve">determine </w:t>
      </w:r>
      <w:r w:rsidRPr="00C44D8C">
        <w:rPr>
          <w:rFonts w:asciiTheme="minorHAnsi" w:eastAsia="Calibri" w:hAnsiTheme="minorHAnsi" w:cs="Calibri"/>
          <w:color w:val="000000"/>
          <w:sz w:val="22"/>
          <w:szCs w:val="22"/>
          <w:lang w:eastAsia="en-GB"/>
        </w:rPr>
        <w:t>the surface charge of microbial and abiotic surfaces</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"10.1007/BF00878244", "ISBN" : "0099-2240", "ISSN" : "0099-2240", "PMID" : "3662520", "abstract" : "The relationship between physiochemical surface parameters and adhesion of bacterial cells to negatively charged polystyrene was studied. Cell surface hydrophobicity and electrokinetic potential were determined by contact angle measurement and electrophoresis, respectively. Both parameters influence cell adhesion. The effect of the electrokinetic potential increases with decreasing hydrophobicity. Cell surface characteristics determining adhesion are influenced by growth conditions. At high growth rates, bacterial cells tend to become more hydrophobic. This fact can be of ecological significance for controlling the spread of bacteria throughout the environment", "author" : [ { "dropping-particle" : "", "family" : "Loosdrecht", "given" : "Mark C M V a N", "non-dropping-particle" : "", "parse-names" : false, "suffix" : "" }, { "dropping-particle" : "", "family" : "Lyklema", "given" : "Johannes", "non-dropping-particle" : "", "parse-names" : false, "suffix" : "" }, { "dropping-particle" : "", "family" : "Norde", "given" : "Willem", "non-dropping-particle" : "", "parse-names" : false, "suffix" : "" }, { "dropping-particle" : "", "family" : "Schraa", "given" : "Gosse", "non-dropping-particle" : "", "parse-names" : false, "suffix" : "" }, { "dropping-particle" : "", "family" : "Zehnder", "given" : "Alexander J B", "non-dropping-particle" : "", "parse-names" : false, "suffix" : "" }, { "dropping-particle" : "", "family" : "Loosdrecht", "given" : "M C", "non-dropping-particle" : "van", "parse-names" : false, "suffix" : "" } ], "container-title" : "Appl. Environ. Microbiol.", "id" : "ITEM-1", "issue" : "8", "issued" : { "date-parts" : [ [ "1987" ] ] }, "page" : "1898-1901", "title" : "Electrophoretic mobility and hydrophobicity as a measure To predict the initial steps of bacterial adhesion", "type" : "article-journal", "volume" : "53" }, "uris" : [ "http://www.mendeley.com/documents/?uuid=3982cdf3-06e4-4ef6-89c9-ce595fb367d9" ] } ], "mendeley" : { "formattedCitation" : "[114]", "plainTextFormattedCitation" : "[114]", "previouslyFormattedCitation" : "[114]"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[114]</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68AF3A90" w14:textId="634F9D4A"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In an aqueous environment, </w:t>
      </w:r>
      <w:r w:rsidR="00832A18">
        <w:rPr>
          <w:rFonts w:asciiTheme="minorHAnsi" w:eastAsia="Calibri" w:hAnsiTheme="minorHAnsi" w:cs="Calibri"/>
          <w:color w:val="000000"/>
          <w:sz w:val="22"/>
          <w:szCs w:val="22"/>
          <w:lang w:eastAsia="en-GB"/>
        </w:rPr>
        <w:t>ionised</w:t>
      </w:r>
      <w:r w:rsidRPr="00C44D8C">
        <w:rPr>
          <w:rFonts w:asciiTheme="minorHAnsi" w:eastAsia="Calibri" w:hAnsiTheme="minorHAnsi" w:cs="Calibri"/>
          <w:color w:val="000000"/>
          <w:sz w:val="22"/>
          <w:szCs w:val="22"/>
          <w:lang w:eastAsia="en-GB"/>
        </w:rPr>
        <w:t xml:space="preserve"> s</w:t>
      </w:r>
      <w:r w:rsidR="00832A18">
        <w:rPr>
          <w:rFonts w:asciiTheme="minorHAnsi" w:eastAsia="Calibri" w:hAnsiTheme="minorHAnsi" w:cs="Calibri"/>
          <w:color w:val="000000"/>
          <w:sz w:val="22"/>
          <w:szCs w:val="22"/>
          <w:lang w:eastAsia="en-GB"/>
        </w:rPr>
        <w:t>urface functional groups create</w:t>
      </w:r>
      <w:r w:rsidRPr="00C44D8C">
        <w:rPr>
          <w:rFonts w:asciiTheme="minorHAnsi" w:eastAsia="Calibri" w:hAnsiTheme="minorHAnsi" w:cs="Calibri"/>
          <w:color w:val="000000"/>
          <w:sz w:val="22"/>
          <w:szCs w:val="22"/>
          <w:lang w:eastAsia="en-GB"/>
        </w:rPr>
        <w:t xml:space="preserve"> a surface charge on microbial and abiotic surfaces, which attracts oppositely charged ions in solution to the surface. This has a great effect on the distribution of ions surrounding the charged surface, and creates a double layer of oppositely charged ions closely surrounding the microbial cell surface at a distance of a few nanometres, which is referred to as the Stern layer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"mendeley" : { "formattedCitation" : "[72]", "plainTextFormattedCitation" : "[72]", "previouslyFormattedCitation" : "[72]"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[72]</w:t>
      </w:r>
      <w:r w:rsidR="00A40F4C">
        <w:rPr>
          <w:rFonts w:asciiTheme="minorHAnsi" w:eastAsia="Calibri" w:hAnsiTheme="minorHAnsi" w:cs="Calibri"/>
          <w:color w:val="000000"/>
          <w:sz w:val="22"/>
          <w:szCs w:val="22"/>
          <w:lang w:eastAsia="en-GB"/>
        </w:rPr>
        <w:fldChar w:fldCharType="end"/>
      </w:r>
      <w:r w:rsidR="00A40F4C">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A second distribution of electrostatically attracted ions is also observed in an external region consisting of distant diffused ions that are weakly attracted to the charged </w:t>
      </w:r>
      <w:r w:rsidRPr="00C44D8C">
        <w:rPr>
          <w:rFonts w:asciiTheme="minorHAnsi" w:eastAsia="Calibri" w:hAnsiTheme="minorHAnsi" w:cs="Calibri"/>
          <w:color w:val="000000"/>
          <w:sz w:val="22"/>
          <w:szCs w:val="22"/>
          <w:lang w:eastAsia="en-GB"/>
        </w:rPr>
        <w:lastRenderedPageBreak/>
        <w:t>surface</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"mendeley" : { "formattedCitation" : "[79]", "plainTextFormattedCitation" : "[79]", "previouslyFormattedCitation" : "[79]"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[79]</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These two regions of ions create what is known as the double electric layer, and the zeta potential is the electric potential at the boundary (also referred to as the shear plane) between these two regions. This is shown in Fig. 2.6.  </w:t>
      </w:r>
    </w:p>
    <w:p w14:paraId="25668D31" w14:textId="77777777" w:rsidR="00436CD0" w:rsidRPr="00C44D8C" w:rsidRDefault="00436CD0" w:rsidP="00436CD0">
      <w:pPr>
        <w:spacing w:line="360" w:lineRule="auto"/>
        <w:ind w:firstLine="720"/>
        <w:jc w:val="center"/>
        <w:rPr>
          <w:rFonts w:asciiTheme="minorHAnsi" w:eastAsia="Calibri" w:hAnsiTheme="minorHAnsi" w:cs="Calibri"/>
          <w:color w:val="000000"/>
          <w:sz w:val="22"/>
          <w:szCs w:val="22"/>
          <w:lang w:eastAsia="en-GB"/>
        </w:rPr>
      </w:pPr>
      <w:r w:rsidRPr="00C44D8C">
        <w:rPr>
          <w:rFonts w:asciiTheme="minorHAnsi" w:eastAsia="Calibri" w:hAnsiTheme="minorHAnsi" w:cs="Calibri"/>
          <w:noProof/>
          <w:color w:val="000000"/>
          <w:sz w:val="22"/>
          <w:szCs w:val="22"/>
          <w:lang w:eastAsia="en-GB"/>
        </w:rPr>
        <w:drawing>
          <wp:inline distT="0" distB="0" distL="0" distR="0" wp14:anchorId="2F16E475" wp14:editId="1C472928">
            <wp:extent cx="4451567" cy="370223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rn layer lit review 2.tif"/>
                    <pic:cNvPicPr/>
                  </pic:nvPicPr>
                  <pic:blipFill>
                    <a:blip r:embed="rId18">
                      <a:extLst>
                        <a:ext uri="{28A0092B-C50C-407E-A947-70E740481C1C}">
                          <a14:useLocalDpi xmlns:a14="http://schemas.microsoft.com/office/drawing/2010/main" val="0"/>
                        </a:ext>
                      </a:extLst>
                    </a:blip>
                    <a:stretch>
                      <a:fillRect/>
                    </a:stretch>
                  </pic:blipFill>
                  <pic:spPr>
                    <a:xfrm>
                      <a:off x="0" y="0"/>
                      <a:ext cx="4451567" cy="3702230"/>
                    </a:xfrm>
                    <a:prstGeom prst="rect">
                      <a:avLst/>
                    </a:prstGeom>
                  </pic:spPr>
                </pic:pic>
              </a:graphicData>
            </a:graphic>
          </wp:inline>
        </w:drawing>
      </w:r>
    </w:p>
    <w:p w14:paraId="6A435356" w14:textId="77777777" w:rsidR="00436CD0" w:rsidRPr="00C44D8C" w:rsidRDefault="00436CD0" w:rsidP="00436CD0">
      <w:pPr>
        <w:spacing w:line="360" w:lineRule="auto"/>
        <w:rPr>
          <w:rFonts w:asciiTheme="minorHAnsi" w:eastAsia="Calibri" w:hAnsiTheme="minorHAnsi" w:cs="Calibri"/>
          <w:color w:val="000000"/>
          <w:sz w:val="22"/>
          <w:szCs w:val="22"/>
          <w:lang w:eastAsia="en-GB"/>
        </w:rPr>
      </w:pPr>
    </w:p>
    <w:p w14:paraId="33E0EF79" w14:textId="429A7FBE"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b/>
          <w:color w:val="000000"/>
          <w:sz w:val="22"/>
          <w:szCs w:val="22"/>
          <w:lang w:eastAsia="en-GB"/>
        </w:rPr>
        <w:t>Fig. 2.6</w:t>
      </w:r>
      <w:r w:rsidRPr="00C44D8C">
        <w:rPr>
          <w:rFonts w:asciiTheme="minorHAnsi" w:eastAsia="Calibri" w:hAnsiTheme="minorHAnsi" w:cs="Calibri"/>
          <w:color w:val="000000"/>
          <w:sz w:val="22"/>
          <w:szCs w:val="22"/>
          <w:lang w:eastAsia="en-GB"/>
        </w:rPr>
        <w:t xml:space="preserve"> Schematic of the electric double layer and zeta potential </w:t>
      </w:r>
      <w:r w:rsidRPr="00A40F4C">
        <w:rPr>
          <w:rFonts w:asciiTheme="minorHAnsi" w:eastAsia="Calibri" w:hAnsiTheme="minorHAnsi" w:cs="Calibri"/>
          <w:color w:val="000000"/>
          <w:sz w:val="22"/>
          <w:szCs w:val="22"/>
          <w:lang w:eastAsia="en-GB"/>
        </w:rPr>
        <w:t xml:space="preserve">(adapted from </w:t>
      </w:r>
      <w:r w:rsidR="00A40F4C" w:rsidRP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"10.1016/j.cocis.2013.02.003", "ISSN" : "13590294", "author" : [ { "dropping-particle" : "", "family" : "Ohshima", "given" : "Hiroyuki", "non-dropping-particle" : "", "parse-names" : false, "suffix" : "" } ], "container-title" : "Current Opinion in Colloid &amp; Interface Science", "id" : "ITEM-1", "issue" : "2", "issued" : { "date-parts" : [ [ "2013", "4" ] ] }, "page" : "73-82", "publisher" : "Elsevier Ltd", "title" : "Electrokinetic phenomena of soft particles", "type" : "article-journal", "volume" : "18" }, "uris" : [ "http://www.mendeley.com/documents/?uuid=c12f9af9-c626-4ff6-a4f6-844c1583bc95" ] } ], "mendeley" : { "formattedCitation" : "[115]", "plainTextFormattedCitation" : "[115]", "previouslyFormattedCitation" : "[115]" }, "properties" : { "noteIndex" : 0 }, "schema" : "https://github.com/citation-style-language/schema/raw/master/csl-citation.json" }</w:instrText>
      </w:r>
      <w:r w:rsidR="00A40F4C" w:rsidRP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[115]</w:t>
      </w:r>
      <w:r w:rsidR="00A40F4C" w:rsidRPr="00A40F4C">
        <w:rPr>
          <w:rFonts w:asciiTheme="minorHAnsi" w:eastAsia="Calibri" w:hAnsiTheme="minorHAnsi" w:cs="Calibri"/>
          <w:color w:val="000000"/>
          <w:sz w:val="22"/>
          <w:szCs w:val="22"/>
          <w:lang w:eastAsia="en-GB"/>
        </w:rPr>
        <w:fldChar w:fldCharType="end"/>
      </w:r>
      <w:r w:rsidRPr="00A40F4C">
        <w:rPr>
          <w:rFonts w:asciiTheme="minorHAnsi" w:eastAsia="Calibri" w:hAnsiTheme="minorHAnsi" w:cs="Calibri"/>
          <w:color w:val="000000"/>
          <w:sz w:val="22"/>
          <w:szCs w:val="22"/>
          <w:lang w:eastAsia="en-GB"/>
        </w:rPr>
        <w:t>).</w:t>
      </w:r>
    </w:p>
    <w:p w14:paraId="574FB7A4"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p>
    <w:p w14:paraId="58E04EE4" w14:textId="4E4DC763" w:rsidR="00832A18" w:rsidRDefault="00436CD0" w:rsidP="00832A18">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In zeta potential analysis, the application of an electric field causes </w:t>
      </w:r>
      <w:r w:rsidR="00832A18">
        <w:rPr>
          <w:rFonts w:asciiTheme="minorHAnsi" w:eastAsia="Calibri" w:hAnsiTheme="minorHAnsi" w:cs="Calibri"/>
          <w:color w:val="000000"/>
          <w:sz w:val="22"/>
          <w:szCs w:val="22"/>
          <w:lang w:eastAsia="en-GB"/>
        </w:rPr>
        <w:t xml:space="preserve">charged microbial cells to move </w:t>
      </w:r>
      <w:r w:rsidRPr="00C44D8C">
        <w:rPr>
          <w:rFonts w:asciiTheme="minorHAnsi" w:eastAsia="Calibri" w:hAnsiTheme="minorHAnsi" w:cs="Calibri"/>
          <w:color w:val="000000"/>
          <w:sz w:val="22"/>
          <w:szCs w:val="22"/>
          <w:lang w:eastAsia="en-GB"/>
        </w:rPr>
        <w:t xml:space="preserve">towards an electrode of opposite charge. The velocity of this movement, known as the electrophoretic mobility (EPM), is related to the zeta potential using Smoluchowski’s equation </w:t>
      </w:r>
      <w:r w:rsid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"10.1016/0927-7757(95)03293-M", "ISSN" : "09277757", "author" : [ { "dropping-particle" : "", "family" : "Ohshima", "given" : "Hiroyuki", "non-dropping-particle" : "", "parse-names" : false, "suffix" : "" } ], "container-title" : "Colloids and Surfaces A: Physicochemical and Engineering Aspects", "id" : "ITEM-1", "issue" : "3", "issued" : { "date-parts" : [ [ "1995", "10" ] ] }, "page" : "249-255", "title" : "Electrophoretic mobility of soft particles", "type" : "article-journal", "volume" : "103" }, "uris" : [ "http://www.mendeley.com/documents/?uuid=32a066e1-9b12-4a5f-a6f7-20362a235775" ] } ], "mendeley" : { "formattedCitation" : "[116]", "plainTextFormattedCitation" : "[116]", "previouslyFormattedCitation" : "[116]"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[116]</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0B0D1235" w14:textId="77777777" w:rsidR="00832A18" w:rsidRDefault="00832A18" w:rsidP="00832A18">
      <w:pPr>
        <w:spacing w:line="360" w:lineRule="auto"/>
        <w:ind w:firstLine="720"/>
        <w:rPr>
          <w:rFonts w:asciiTheme="minorHAnsi" w:eastAsia="Calibri" w:hAnsiTheme="minorHAnsi" w:cs="Calibri"/>
          <w:color w:val="000000"/>
          <w:sz w:val="22"/>
          <w:szCs w:val="22"/>
          <w:lang w:eastAsia="en-GB"/>
        </w:rPr>
      </w:pPr>
    </w:p>
    <w:p w14:paraId="21E8F42D" w14:textId="0F803D45" w:rsidR="00A9324D" w:rsidRDefault="00436CD0" w:rsidP="00832A18">
      <w:pPr>
        <w:spacing w:line="360" w:lineRule="auto"/>
        <w:ind w:firstLine="720"/>
        <w:jc w:val="center"/>
        <w:rPr>
          <w:rFonts w:asciiTheme="minorHAnsi" w:eastAsia="Calibri" w:hAnsiTheme="minorHAnsi" w:cs="Calibri"/>
          <w:color w:val="000000"/>
          <w:sz w:val="22"/>
          <w:szCs w:val="22"/>
          <w:lang w:eastAsia="en-GB"/>
        </w:rPr>
      </w:pPr>
      <m:oMath>
        <m:r>
          <w:rPr>
            <w:rFonts w:ascii="Cambria Math" w:eastAsia="Calibri" w:hAnsi="Cambria Math" w:cs="Calibri"/>
            <w:color w:val="000000"/>
            <w:sz w:val="22"/>
            <w:szCs w:val="22"/>
            <w:lang w:eastAsia="en-GB"/>
          </w:rPr>
          <m:t xml:space="preserve">EPM= </m:t>
        </m:r>
        <m:f>
          <m:fPr>
            <m:ctrlPr>
              <w:rPr>
                <w:rFonts w:ascii="Cambria Math" w:eastAsia="Calibri" w:hAnsi="Cambria Math" w:cs="Calibri"/>
                <w:i/>
                <w:color w:val="000000"/>
                <w:sz w:val="22"/>
                <w:szCs w:val="22"/>
                <w:lang w:eastAsia="en-GB"/>
              </w:rPr>
            </m:ctrlPr>
          </m:fPr>
          <m:num>
            <m:sSub>
              <m:sSubPr>
                <m:ctrlPr>
                  <w:rPr>
                    <w:rFonts w:ascii="Cambria Math" w:eastAsia="Calibri" w:hAnsi="Cambria Math" w:cs="Calibri"/>
                    <w:i/>
                    <w:color w:val="000000"/>
                    <w:sz w:val="22"/>
                    <w:szCs w:val="22"/>
                    <w:lang w:eastAsia="en-GB"/>
                  </w:rPr>
                </m:ctrlPr>
              </m:sSubPr>
              <m:e>
                <m:sSub>
                  <m:sSubPr>
                    <m:ctrlPr>
                      <w:rPr>
                        <w:rFonts w:ascii="Cambria Math" w:eastAsia="Calibri" w:hAnsi="Cambria Math" w:cs="Calibri"/>
                        <w:i/>
                        <w:color w:val="000000"/>
                        <w:sz w:val="22"/>
                        <w:szCs w:val="22"/>
                        <w:lang w:eastAsia="en-GB"/>
                      </w:rPr>
                    </m:ctrlPr>
                  </m:sSubPr>
                  <m:e>
                    <m:r>
                      <w:rPr>
                        <w:rFonts w:ascii="Cambria Math" w:eastAsia="Calibri" w:hAnsi="Cambria Math" w:cs="Calibri"/>
                        <w:color w:val="000000"/>
                        <w:sz w:val="22"/>
                        <w:szCs w:val="22"/>
                        <w:lang w:eastAsia="en-GB"/>
                      </w:rPr>
                      <m:t>∈</m:t>
                    </m:r>
                  </m:e>
                  <m:sub>
                    <m:r>
                      <w:rPr>
                        <w:rFonts w:ascii="Cambria Math" w:eastAsia="Calibri" w:hAnsi="Cambria Math" w:cs="Calibri"/>
                        <w:color w:val="000000"/>
                        <w:sz w:val="22"/>
                        <w:szCs w:val="22"/>
                        <w:lang w:eastAsia="en-GB"/>
                      </w:rPr>
                      <m:t>r</m:t>
                    </m:r>
                  </m:sub>
                </m:sSub>
                <m:r>
                  <w:rPr>
                    <w:rFonts w:ascii="Cambria Math" w:eastAsia="Calibri" w:hAnsi="Cambria Math" w:cs="Calibri"/>
                    <w:color w:val="000000"/>
                    <w:sz w:val="22"/>
                    <w:szCs w:val="22"/>
                    <w:lang w:eastAsia="en-GB"/>
                  </w:rPr>
                  <m:t>∈</m:t>
                </m:r>
              </m:e>
              <m:sub>
                <m:r>
                  <w:rPr>
                    <w:rFonts w:ascii="Cambria Math" w:eastAsia="Calibri" w:hAnsi="Cambria Math" w:cs="Calibri"/>
                    <w:color w:val="000000"/>
                    <w:sz w:val="22"/>
                    <w:szCs w:val="22"/>
                    <w:lang w:eastAsia="en-GB"/>
                  </w:rPr>
                  <m:t>o</m:t>
                </m:r>
              </m:sub>
            </m:sSub>
          </m:num>
          <m:den>
            <m:r>
              <m:rPr>
                <m:sty m:val="p"/>
              </m:rPr>
              <w:rPr>
                <w:rFonts w:ascii="Cambria Math" w:eastAsia="Calibri" w:hAnsi="Cambria Math" w:cs="Calibri"/>
                <w:color w:val="000000"/>
                <w:sz w:val="22"/>
                <w:szCs w:val="22"/>
                <w:lang w:eastAsia="en-GB"/>
              </w:rPr>
              <m:t>ƞ</m:t>
            </m:r>
          </m:den>
        </m:f>
      </m:oMath>
      <w:r w:rsidRPr="00C44D8C">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ab/>
      </w:r>
      <w:r w:rsidRPr="00C44D8C">
        <w:rPr>
          <w:rFonts w:asciiTheme="minorHAnsi" w:eastAsia="Calibri" w:hAnsiTheme="minorHAnsi" w:cs="Calibri"/>
          <w:color w:val="000000"/>
          <w:sz w:val="22"/>
          <w:szCs w:val="22"/>
          <w:lang w:eastAsia="en-GB"/>
        </w:rPr>
        <w:tab/>
      </w:r>
      <w:r w:rsidRPr="00C44D8C">
        <w:rPr>
          <w:rFonts w:asciiTheme="minorHAnsi" w:eastAsia="Calibri" w:hAnsiTheme="minorHAnsi" w:cs="Calibri"/>
          <w:color w:val="000000"/>
          <w:sz w:val="22"/>
          <w:szCs w:val="22"/>
          <w:lang w:eastAsia="en-GB"/>
        </w:rPr>
        <w:tab/>
        <w:t>(Equation 1)</w:t>
      </w:r>
    </w:p>
    <w:p w14:paraId="5FB7168C" w14:textId="00EC23B0" w:rsidR="00A9324D" w:rsidRDefault="00436CD0" w:rsidP="00A9324D">
      <w:pPr>
        <w:spacing w:line="360" w:lineRule="auto"/>
        <w:ind w:firstLine="720"/>
        <w:jc w:val="center"/>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ab/>
      </w:r>
    </w:p>
    <w:p w14:paraId="455855B8" w14:textId="0D0D6889" w:rsidR="00436CD0" w:rsidRPr="00C44D8C" w:rsidRDefault="00436CD0" w:rsidP="00A9324D">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where ƞ is the viscosity of the aqueous medium, </w:t>
      </w:r>
      <m:oMath>
        <m:sSub>
          <m:sSubPr>
            <m:ctrlPr>
              <w:rPr>
                <w:rFonts w:ascii="Cambria Math" w:eastAsia="Calibri" w:hAnsi="Cambria Math" w:cs="Calibri"/>
                <w:i/>
                <w:color w:val="000000"/>
                <w:sz w:val="22"/>
                <w:szCs w:val="22"/>
                <w:lang w:eastAsia="en-GB"/>
              </w:rPr>
            </m:ctrlPr>
          </m:sSubPr>
          <m:e>
            <m:r>
              <w:rPr>
                <w:rFonts w:ascii="Cambria Math" w:eastAsia="Calibri" w:hAnsi="Cambria Math" w:cs="Calibri"/>
                <w:color w:val="000000"/>
                <w:sz w:val="22"/>
                <w:szCs w:val="22"/>
                <w:lang w:eastAsia="en-GB"/>
              </w:rPr>
              <m:t>∈</m:t>
            </m:r>
          </m:e>
          <m:sub>
            <m:r>
              <w:rPr>
                <w:rFonts w:ascii="Cambria Math" w:eastAsia="Calibri" w:hAnsi="Cambria Math" w:cs="Calibri"/>
                <w:color w:val="000000"/>
                <w:sz w:val="22"/>
                <w:szCs w:val="22"/>
                <w:lang w:eastAsia="en-GB"/>
              </w:rPr>
              <m:t>r</m:t>
            </m:r>
          </m:sub>
        </m:sSub>
      </m:oMath>
      <w:r w:rsidRPr="00C44D8C">
        <w:rPr>
          <w:rFonts w:asciiTheme="minorHAnsi" w:eastAsia="Calibri" w:hAnsiTheme="minorHAnsi" w:cs="Calibri"/>
          <w:color w:val="000000"/>
          <w:sz w:val="22"/>
          <w:szCs w:val="22"/>
          <w:lang w:eastAsia="en-GB"/>
        </w:rPr>
        <w:t xml:space="preserve"> </w:t>
      </w:r>
      <w:r w:rsidR="00A9324D">
        <w:rPr>
          <w:rFonts w:asciiTheme="minorHAnsi" w:eastAsia="Calibri" w:hAnsiTheme="minorHAnsi" w:cs="Calibri"/>
          <w:color w:val="000000"/>
          <w:sz w:val="22"/>
          <w:szCs w:val="22"/>
          <w:lang w:eastAsia="en-GB"/>
        </w:rPr>
        <w:t xml:space="preserve">is the relative permittivity of </w:t>
      </w:r>
      <w:r w:rsidRPr="00C44D8C">
        <w:rPr>
          <w:rFonts w:asciiTheme="minorHAnsi" w:eastAsia="Calibri" w:hAnsiTheme="minorHAnsi" w:cs="Calibri"/>
          <w:color w:val="000000"/>
          <w:sz w:val="22"/>
          <w:szCs w:val="22"/>
          <w:lang w:eastAsia="en-GB"/>
        </w:rPr>
        <w:t xml:space="preserve">the liquid, and </w:t>
      </w:r>
      <m:oMath>
        <m:sSub>
          <m:sSubPr>
            <m:ctrlPr>
              <w:rPr>
                <w:rFonts w:ascii="Cambria Math" w:eastAsia="Calibri" w:hAnsi="Cambria Math" w:cs="Calibri"/>
                <w:i/>
                <w:color w:val="000000"/>
                <w:sz w:val="22"/>
                <w:szCs w:val="22"/>
                <w:lang w:eastAsia="en-GB"/>
              </w:rPr>
            </m:ctrlPr>
          </m:sSubPr>
          <m:e>
            <m:r>
              <w:rPr>
                <w:rFonts w:ascii="Cambria Math" w:eastAsia="Calibri" w:hAnsi="Cambria Math" w:cs="Calibri"/>
                <w:color w:val="000000"/>
                <w:sz w:val="22"/>
                <w:szCs w:val="22"/>
                <w:lang w:eastAsia="en-GB"/>
              </w:rPr>
              <m:t>∈</m:t>
            </m:r>
          </m:e>
          <m:sub>
            <m:r>
              <w:rPr>
                <w:rFonts w:ascii="Cambria Math" w:eastAsia="Calibri" w:hAnsi="Cambria Math" w:cs="Calibri"/>
                <w:color w:val="000000"/>
                <w:sz w:val="22"/>
                <w:szCs w:val="22"/>
                <w:lang w:eastAsia="en-GB"/>
              </w:rPr>
              <m:t>o</m:t>
            </m:r>
          </m:sub>
        </m:sSub>
      </m:oMath>
      <w:r w:rsidRPr="00C44D8C">
        <w:rPr>
          <w:rFonts w:asciiTheme="minorHAnsi" w:eastAsia="Calibri" w:hAnsiTheme="minorHAnsi" w:cs="Calibri"/>
          <w:color w:val="000000"/>
          <w:sz w:val="22"/>
          <w:szCs w:val="22"/>
          <w:lang w:eastAsia="en-GB"/>
        </w:rPr>
        <w:t xml:space="preserve"> is the permittivity of a vacuum.</w:t>
      </w:r>
    </w:p>
    <w:p w14:paraId="3A69E8AA" w14:textId="01CDF3C7" w:rsidR="00B94D0C" w:rsidRDefault="00436CD0" w:rsidP="00B94D0C">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Zeta potential measurements therefore provide valuable information on the surface electrochemical make-up of a microbial or abiotic surface, which is known to vary as a function of microbial activity, growth phase or genetic differences</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zeta potential is often measured as a function of pH, as this has a large effect on the dissociation </w:t>
      </w:r>
      <w:r w:rsidRPr="00C44D8C">
        <w:rPr>
          <w:rFonts w:asciiTheme="minorHAnsi" w:eastAsia="Calibri" w:hAnsiTheme="minorHAnsi" w:cs="Calibri"/>
          <w:color w:val="000000"/>
          <w:sz w:val="22"/>
          <w:szCs w:val="22"/>
          <w:lang w:eastAsia="en-GB"/>
        </w:rPr>
        <w:lastRenderedPageBreak/>
        <w:t>and protonation of acid-base surface functional groups and therefore</w:t>
      </w:r>
      <w:r w:rsidR="00A40F4C">
        <w:rPr>
          <w:rFonts w:asciiTheme="minorHAnsi" w:eastAsia="Calibri" w:hAnsiTheme="minorHAnsi" w:cs="Calibri"/>
          <w:color w:val="000000"/>
          <w:sz w:val="22"/>
          <w:szCs w:val="22"/>
          <w:lang w:eastAsia="en-GB"/>
        </w:rPr>
        <w:t xml:space="preserve">, the resultant zeta potential. </w:t>
      </w:r>
      <w:r w:rsidRPr="00C44D8C">
        <w:rPr>
          <w:rFonts w:asciiTheme="minorHAnsi" w:eastAsia="Calibri" w:hAnsiTheme="minorHAnsi" w:cs="Calibri"/>
          <w:color w:val="000000"/>
          <w:sz w:val="22"/>
          <w:szCs w:val="22"/>
          <w:lang w:eastAsia="en-GB"/>
        </w:rPr>
        <w:t xml:space="preserve">It is also measured as a function of ionic strength, as high ionic strengths above 0.1 M suppress the thickness of the double layer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"mendeley" : { "formattedCitation" : "[72]", "plainTextFormattedCitation" : "[72]", "previouslyFormattedCitation" : "[72]"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[72]</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4C611ECF" w14:textId="77777777" w:rsidR="00B94D0C" w:rsidRPr="00B94D0C" w:rsidRDefault="00B94D0C" w:rsidP="00B94D0C">
      <w:pPr>
        <w:spacing w:line="360" w:lineRule="auto"/>
        <w:ind w:firstLine="720"/>
        <w:rPr>
          <w:rFonts w:asciiTheme="minorHAnsi" w:eastAsia="Calibri" w:hAnsiTheme="minorHAnsi" w:cs="Calibri"/>
          <w:color w:val="000000"/>
          <w:sz w:val="22"/>
          <w:szCs w:val="22"/>
          <w:lang w:eastAsia="en-GB"/>
        </w:rPr>
      </w:pPr>
    </w:p>
    <w:p w14:paraId="686FBAC3" w14:textId="0C35AB49" w:rsidR="00436CD0" w:rsidRPr="00B94D0C" w:rsidRDefault="00B94D0C" w:rsidP="00B94D0C">
      <w:pPr>
        <w:pStyle w:val="Heading7"/>
      </w:pPr>
      <w:bookmarkStart w:id="55" w:name="_Toc462575272"/>
      <w:r w:rsidRPr="00B94D0C">
        <w:t xml:space="preserve">2.5.1.4. </w:t>
      </w:r>
      <w:r w:rsidR="00436CD0" w:rsidRPr="00B94D0C">
        <w:t>Surface free energy</w:t>
      </w:r>
      <w:bookmarkEnd w:id="55"/>
      <w:r w:rsidR="00436CD0" w:rsidRPr="00B94D0C">
        <w:t xml:space="preserve"> </w:t>
      </w:r>
    </w:p>
    <w:p w14:paraId="215CB9A9" w14:textId="41C2FB4B"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surface free energy (SFE) is a defining property of all solid surfaces and is a function of interfacial forces occurring at the surface</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"author" : [ { "dropping-particle" : "Della", "family" : "Volpe", "given" : "C", "non-dropping-particle" : "", "parse-names" : false, "suffix" : "" }, { "dropping-particle" : "", "family" : "Siboni", "given" : "S", "non-dropping-particle" : "", "parse-names" : false, "suffix" : "" } ], "container-title" : "Journal of Adhesion Science and Technology", "id" : "ITEM-1", "issue" : "2", "issued" : { "date-parts" : [ [ "2000" ] ] }, "page" : "235-272", "title" : "Acid \u2013 base surface free energies of solids and the de nition of scales in the Good \u2013 van Oss \u2013 Chaudhury theory", "type" : "article-journal", "volume" : "14" }, "uris" : [ "http://www.mendeley.com/documents/?uuid=9ba3b1be-7d25-4fb3-a8c8-c91bc659dcd8" ] } ], "mendeley" : { "formattedCitation" : "[74]", "plainTextFormattedCitation" : "[74]", "previouslyFormattedCitation" : "[74]"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[74]</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It is an important standard for analysing the adhesive properties of a surface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"10.1163/156856102760099870", "ISSN" : "0169-4243", "author" : [ { "dropping-particle" : "", "family" : "Oss", "given" : "Carel Jan", "non-dropping-particle" : "van", "parse-names" : false, "suffix" : "" } ], "container-title" : "Journal of Adhesion Science and Technology", "id" : "ITEM-1", "issue" : "6", "issued" : { "date-parts" : [ [ "2002", "1" ] ] }, "page" : "669-677", "title" : "Use of the combined Lifshitz\u2013van der Waals and Lewis acid\u2013base approaches in determining the apolar and polar contributions to surface and interfacial tensions and free energies", "type" : "article-journal", "volume" : "16" }, "uris" : [ "http://www.mendeley.com/documents/?uuid=0a96bb39-a8f2-45bb-ad5e-81c6078f119f" ] } ], "mendeley" : { "formattedCitation" : "[68]", "plainTextFormattedCitation" : "[68]", "previouslyFormattedCitation" : "[68]"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[68]</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and is an indirect measurement of the hydrophobicity of a surface </w:t>
      </w:r>
      <w:r w:rsid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"ISSN" : "0099-2240", "PMID" : "2444158", "abstract" : "In this study, the adhesion of bacteria differing in surface hydrophobicity\\nwas investigated. Cell wall hydrophobicity was measured as the contact\\nangle of water on a bacterial layer collected on a microfilter. The\\ncontact angles ranged from 15 to 70 degrees. This method was compared\\nwith procedures based upon adhesion to hexadecane and with the partition\\nof cells in a polyethylene glycol-dextran two-phase system. The results\\nobtained with these three methods agreed reasonably well. The adhesion\\nof 16 bacterial strains was measured on sulfated polystyrene as the\\nsolid phase. These experiments showed that hydrophobic cells adhered\\nto a greater extent than hydrophilic cells. The extent of adhesion\\ncorrelated well with the measured contact angles (linear regression\\ncoefficient, 0.8).", "author" : [ { "dropping-particle" : "", "family" : "Loosdrecht", "given" : "M C", "non-dropping-particle" : "van", "parse-names" : false, "suffix" : "" }, { "dropping-particle" : "", "family" : "Lyklema", "given" : "J", "non-dropping-particle" : "", "parse-names" : false, "suffix" : "" }, { "dropping-particle" : "", "family" : "Norde", "given" : "W", "non-dropping-particle" : "", "parse-names" : false, "suffix" : "" }, { "dropping-particle" : "", "family" : "Schraa", "given" : "G", "non-dropping-particle" : "", "parse-names" : false, "suffix" : "" }, { "dropping-particle" : "", "family" : "Zehnder", "given" : "a J", "non-dropping-particle" : "", "parse-names" : false, "suffix" : "" } ], "container-title" : "Appl. Environ. Microbiol.", "id" : "ITEM-1", "issue" : "8", "issued" : { "date-parts" : [ [ "1987" ] ] }, "page" : "1893-1897", "title" : "The role of bacterial cell wall hydrophobicity in adhesion", "type" : "article-journal", "volume" : "53" }, "uris" : [ "http://www.mendeley.com/documents/?uuid=dbd52b0d-89ce-414e-af34-a4aa64b6fc26" ] } ], "mendeley" : { "formattedCitation" : "[117]", "plainTextFormattedCitation" : "[117]", "previouslyFormattedCitation" : "[117]"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[117]</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 solid surface with a high SFE is generally classed as being hydrophilic and negatively charged, whereas a low SFE surface is classed as being relatively hydrophobic and with a lower surface charge</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40F4C">
        <w:rPr>
          <w:rFonts w:asciiTheme="minorHAnsi" w:eastAsia="Calibri" w:hAnsiTheme="minorHAnsi" w:cs="Calibri"/>
          <w:color w:val="000000"/>
          <w:sz w:val="22"/>
          <w:szCs w:val="22"/>
          <w:lang w:eastAsia="en-GB"/>
        </w:rPr>
        <w:instrText>ADDIN CSL_CITATION { "citationItems" : [ { "id" : "ITEM-1", "itemData" : { "DOI" : "10.1016/S0167-7012(97)00058-4", "ISSN" : "01677012", "author" : [ { "dropping-particle" : "", "family" : "An", "given" : "Yuehuei H", "non-dropping-particle" : "", "parse-names" : false, "suffix" : "" }, { "dropping-particle" : "", "family" : "Friedman", "given" : "Richard J", "non-dropping-particle" : "", "parse-names" : false, "suffix" : "" } ], "container-title" : "Journal of Microbiological Methods", "id" : "ITEM-1", "issue" : "2", "issued" : { "date-parts" : [ [ "1997", "8" ] ] }, "page" : "141-152", "title" : "Laboratory methods for studies of bacterial adhesion", "type" : "article-journal", "volume" : "30" }, "uris" : [ "http://www.mendeley.com/documents/?uuid=a2942c76-e961-4a5a-b60f-3947fca50dd1" ] } ], "mendeley" : { "formattedCitation" : "[25]", "plainTextFormattedCitation" : "[25]", "previouslyFormattedCitation" : "[25]"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40F4C" w:rsidRPr="00A40F4C">
        <w:rPr>
          <w:rFonts w:asciiTheme="minorHAnsi" w:eastAsia="Calibri" w:hAnsiTheme="minorHAnsi" w:cs="Calibri"/>
          <w:noProof/>
          <w:color w:val="000000"/>
          <w:sz w:val="22"/>
          <w:szCs w:val="22"/>
          <w:lang w:eastAsia="en-GB"/>
        </w:rPr>
        <w:t>[25]</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05994010" w14:textId="732710C0" w:rsidR="00D20D2A"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The quantification of the SFE of a solid surface is mainly based on contact angle measurements</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[78]</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owing to their ease of measurement and the reliability of the results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[69]</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Contact angle (θ) analysis is also the only method available that is able to accurately measure the interfacial forces acting on the actual surface of a solid</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"10.1163/156856102760099870", "ISSN" : "0169-4243", "author" : [ { "dropping-particle" : "", "family" : "Oss", "given" : "Carel Jan", "non-dropping-particle" : "van", "parse-names" : false, "suffix" : "" } ], "container-title" : "Journal of Adhesion Science and Technology", "id" : "ITEM-1", "issue" : "6", "issued" : { "date-parts" : [ [ "2002", "1" ] ] }, "page" : "669-677", "title" : "Use of the combined Lifshitz\u2013van der Waals and Lewis acid\u2013base approaches in determining the apolar and polar contributions to surface and interfacial tensions and free energies", "type" : "article-journal", "volume" : "16" }, "uris" : [ "http://www.mendeley.com/documents/?uuid=0a96bb39-a8f2-45bb-ad5e-81c6078f119f" ] } ], "mendeley" : { "formattedCitation" : "[68]", "plainTextFormattedCitation" : "[68]", "previouslyFormattedCitation" : "[68]"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[68]</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 sessile drop technique is often used to measure contact angles, and consists of depositing a single drop of liquid onto the surface of a solid, and measuring the angle at the tangent at which the liquid, air and solid surface meet (Fig. 2.7)</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"abstract" : "The aim of this paper was to determine the adhesion of two physico-chemically characterized bacterial strains to a surface hydrophilic (CL A, water contact angle 571) and hydrophobic (CL B, water contact angle 1061) hydrogel contact lens (CL) with and without an adsorbed tear film in a parallel plate flow chamber. Hydrophobicity (by water contact angles), charge (by particulate microelectrophoresis) and elemental composition (by XPS) of the surfaces of seven bacterial strains were characterized, after which two strains were selected for further studies. On CL surfaces, hydrophobicity, elemental composition, and mean surface roughness (by AFM) were determined, as well as the protein composition of tear films adsorbed on these lenses (by sodium dodecylsulphate-polyacrylamide gel electrophoresis (SDS-PAGE)). Bacterial cell surfaces were relatively uncharged and water contact angles on lawns of different strains ranged from hydrophobic to hydrophilic. After adsorption of tear film components, N=C elemental surface concentrations increased on CL A and CL B and differences in water contact angles between both lenses reduced to range from 571 (CL A) to 691 (CL B). However, different protein compositions were inferred. The surface roughness of CL A increased from 4 to 13 nm, while it remained 16 nm for CL B. Adhesion of hydrophobic Pseudomonas aeruginosa #3 was more extensive than of hydrophilic Staphylococcus aureus 799, with no differences between both lenses. The hydrophobicity of P. aeruginosa #3 after cell surface damage decreased and its adhesion was reduced on CL A and strongly on CL B. In addition, passage of an air\u2013liquid interface yielded more detachment of S. aureus 799 than of P. aeruginosa #3 from the CL surfaces. In conclusion, the hydrophobicity of CL surfaces dictates the composition of the adsorbed tear film and therewith plays an important role in bacterial adhesion to lenses. Adhesion of hydrophobic P. aeruginosa #3 was more tenacious than of hydrophilic S. aureus 799. r", "author" : [ { "dropping-particle" : "", "family" : "Bruinsma", "given" : "G M", "non-dropping-particle" : "", "parse-names" : false, "suffix" : "" }, { "dropping-particle" : "", "family" : "Mei", "given" : "H C", "non-dropping-particle" : "Van Der", "parse-names" : false, "suffix" : "" }, { "dropping-particle" : "", "family" : "Busscher", "given" : "H J", "non-dropping-particle" : "", "parse-names" : false, "suffix" : "" } ], "container-title" : "Biomaterials", "id" : "ITEM-1", "issued" : { "date-parts" : [ [ "2001" ] ] }, "page" : "3217-3224", "title" : "Bacterial adhesion to surface hydrophilic and hydrophobic contact lenses", "type" : "article-journal", "volume" : "22" }, "uris" : [ "http://www.mendeley.com/documents/?uuid=7e7bfee2-c824-35df-a9bb-572998c8e224" ] } ], "mendeley" : { "formattedCitation" : "[75]", "plainTextFormattedCitation" : "[75]", "previouslyFormattedCitation" : "[75]"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[75]</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1FE731F2" w14:textId="7ED4B308" w:rsidR="00436CD0" w:rsidRDefault="00436CD0" w:rsidP="00D20D2A">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Thomas Young first recognised the association between the SFE of a solid surface (γ</w:t>
      </w:r>
      <w:r w:rsidRPr="00C44D8C">
        <w:rPr>
          <w:rFonts w:asciiTheme="minorHAnsi" w:eastAsia="Calibri" w:hAnsiTheme="minorHAnsi" w:cs="Calibri"/>
          <w:color w:val="000000"/>
          <w:sz w:val="22"/>
          <w:szCs w:val="22"/>
          <w:vertAlign w:val="subscript"/>
          <w:lang w:eastAsia="en-GB"/>
        </w:rPr>
        <w:t>S</w:t>
      </w:r>
      <w:r w:rsidRPr="00C44D8C">
        <w:rPr>
          <w:rFonts w:asciiTheme="minorHAnsi" w:eastAsia="Calibri" w:hAnsiTheme="minorHAnsi" w:cs="Calibri"/>
          <w:color w:val="000000"/>
          <w:sz w:val="22"/>
          <w:szCs w:val="22"/>
          <w:lang w:eastAsia="en-GB"/>
        </w:rPr>
        <w:t>), the surface tension of a liquid (γ</w:t>
      </w:r>
      <w:r w:rsidRPr="00C44D8C">
        <w:rPr>
          <w:rFonts w:asciiTheme="minorHAnsi" w:eastAsia="Calibri" w:hAnsiTheme="minorHAnsi" w:cs="Calibri"/>
          <w:color w:val="000000"/>
          <w:sz w:val="22"/>
          <w:szCs w:val="22"/>
          <w:vertAlign w:val="subscript"/>
          <w:lang w:eastAsia="en-GB"/>
        </w:rPr>
        <w:t>L</w:t>
      </w:r>
      <w:r w:rsidRPr="00C44D8C">
        <w:rPr>
          <w:rFonts w:asciiTheme="minorHAnsi" w:eastAsia="Calibri" w:hAnsiTheme="minorHAnsi" w:cs="Calibri"/>
          <w:color w:val="000000"/>
          <w:sz w:val="22"/>
          <w:szCs w:val="22"/>
          <w:lang w:eastAsia="en-GB"/>
        </w:rPr>
        <w:t>), the SFE of the interface (γ</w:t>
      </w:r>
      <w:r w:rsidRPr="00C44D8C">
        <w:rPr>
          <w:rFonts w:asciiTheme="minorHAnsi" w:eastAsia="Calibri" w:hAnsiTheme="minorHAnsi" w:cs="Calibri"/>
          <w:color w:val="000000"/>
          <w:sz w:val="22"/>
          <w:szCs w:val="22"/>
          <w:vertAlign w:val="subscript"/>
          <w:lang w:eastAsia="en-GB"/>
        </w:rPr>
        <w:t>SL</w:t>
      </w:r>
      <w:r w:rsidRPr="00C44D8C">
        <w:rPr>
          <w:rFonts w:asciiTheme="minorHAnsi" w:eastAsia="Calibri" w:hAnsiTheme="minorHAnsi" w:cs="Calibri"/>
          <w:color w:val="000000"/>
          <w:sz w:val="22"/>
          <w:szCs w:val="22"/>
          <w:lang w:eastAsia="en-GB"/>
        </w:rPr>
        <w:t>) and the contact angle (θ), over 200 years ago (Fig. 2.7)</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"ISSN" : "0099-2240", "PMID" : "2444158", "abstract" : "In this study, the adhesion of bacteria differing in surface hydrophobicity\\nwas investigated. Cell wall hydrophobicity was measured as the contact\\nangle of water on a bacterial layer collected on a microfilter. The\\ncontact angles ranged from 15 to 70 degrees. This method was compared\\nwith procedures based upon adhesion to hexadecane and with the partition\\nof cells in a polyethylene glycol-dextran two-phase system. The results\\nobtained with these three methods agreed reasonably well. The adhesion\\nof 16 bacterial strains was measured on sulfated polystyrene as the\\nsolid phase. These experiments showed that hydrophobic cells adhered\\nto a greater extent than hydrophilic cells. The extent of adhesion\\ncorrelated well with the measured contact angles (linear regression\\ncoefficient, 0.8).", "author" : [ { "dropping-particle" : "", "family" : "Loosdrecht", "given" : "M C", "non-dropping-particle" : "van", "parse-names" : false, "suffix" : "" }, { "dropping-particle" : "", "family" : "Lyklema", "given" : "J", "non-dropping-particle" : "", "parse-names" : false, "suffix" : "" }, { "dropping-particle" : "", "family" : "Norde", "given" : "W", "non-dropping-particle" : "", "parse-names" : false, "suffix" : "" }, { "dropping-particle" : "", "family" : "Schraa", "given" : "G", "non-dropping-particle" : "", "parse-names" : false, "suffix" : "" }, { "dropping-particle" : "", "family" : "Zehnder", "given" : "a J", "non-dropping-particle" : "", "parse-names" : false, "suffix" : "" } ], "container-title" : "Appl. Environ. Microbiol.", "id" : "ITEM-1", "issue" : "8", "issued" : { "date-parts" : [ [ "1987" ] ] }, "page" : "1893-1897", "title" : "The role of bacterial cell wall hydrophobicity in adhesion", "type" : "article-journal", "volume" : "53" }, "uris" : [ "http://www.mendeley.com/documents/?uuid=dbd52b0d-89ce-414e-af34-a4aa64b6fc26" ] } ], "mendeley" : { "formattedCitation" : "[117]", "plainTextFormattedCitation" : "[117]", "previouslyFormattedCitation" : "[117]"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[117]</w:t>
      </w:r>
      <w:r w:rsidR="00A40F4C">
        <w:rPr>
          <w:rFonts w:asciiTheme="minorHAnsi" w:eastAsia="Calibri" w:hAnsiTheme="minorHAnsi" w:cs="Calibri"/>
          <w:color w:val="000000"/>
          <w:sz w:val="22"/>
          <w:szCs w:val="22"/>
          <w:lang w:eastAsia="en-GB"/>
        </w:rPr>
        <w:fldChar w:fldCharType="end"/>
      </w:r>
      <w:r w:rsidR="00A40F4C">
        <w:rPr>
          <w:rFonts w:asciiTheme="minorHAnsi" w:eastAsia="Calibri" w:hAnsiTheme="minorHAnsi" w:cs="Calibri"/>
          <w:color w:val="000000"/>
          <w:sz w:val="22"/>
          <w:szCs w:val="22"/>
          <w:lang w:eastAsia="en-GB"/>
        </w:rPr>
        <w:t>:</w:t>
      </w:r>
    </w:p>
    <w:p w14:paraId="1A5136F8" w14:textId="77777777" w:rsidR="00D20D2A" w:rsidRPr="00C44D8C" w:rsidRDefault="00D20D2A" w:rsidP="00D20D2A">
      <w:pPr>
        <w:spacing w:line="360" w:lineRule="auto"/>
        <w:ind w:firstLine="720"/>
        <w:rPr>
          <w:rFonts w:asciiTheme="minorHAnsi" w:eastAsia="Arial" w:hAnsiTheme="minorHAnsi" w:cs="Arial"/>
          <w:color w:val="000000"/>
          <w:sz w:val="22"/>
          <w:szCs w:val="22"/>
          <w:lang w:eastAsia="en-GB"/>
        </w:rPr>
      </w:pPr>
    </w:p>
    <w:p w14:paraId="0373C9CA" w14:textId="77777777" w:rsidR="00436CD0" w:rsidRPr="00C44D8C" w:rsidRDefault="00436CD0" w:rsidP="00436CD0">
      <w:pPr>
        <w:spacing w:line="360" w:lineRule="auto"/>
        <w:jc w:val="center"/>
        <w:rPr>
          <w:rFonts w:asciiTheme="minorHAnsi" w:eastAsia="Arial" w:hAnsiTheme="minorHAnsi" w:cs="Arial"/>
          <w:color w:val="000000"/>
          <w:sz w:val="22"/>
          <w:szCs w:val="22"/>
          <w:lang w:eastAsia="en-GB"/>
        </w:rPr>
      </w:pPr>
      <w:r w:rsidRPr="00C44D8C">
        <w:rPr>
          <w:rFonts w:asciiTheme="minorHAnsi" w:eastAsia="Arial" w:hAnsiTheme="minorHAnsi" w:cs="Arial"/>
          <w:noProof/>
          <w:color w:val="000000"/>
          <w:sz w:val="22"/>
          <w:szCs w:val="22"/>
          <w:lang w:eastAsia="en-GB"/>
        </w:rPr>
        <w:drawing>
          <wp:inline distT="0" distB="0" distL="0" distR="0" wp14:anchorId="7102B666" wp14:editId="101C6337">
            <wp:extent cx="3219450"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ct angle.jpg"/>
                    <pic:cNvPicPr/>
                  </pic:nvPicPr>
                  <pic:blipFill>
                    <a:blip r:embed="rId19">
                      <a:extLst>
                        <a:ext uri="{28A0092B-C50C-407E-A947-70E740481C1C}">
                          <a14:useLocalDpi xmlns:a14="http://schemas.microsoft.com/office/drawing/2010/main" val="0"/>
                        </a:ext>
                      </a:extLst>
                    </a:blip>
                    <a:stretch>
                      <a:fillRect/>
                    </a:stretch>
                  </pic:blipFill>
                  <pic:spPr>
                    <a:xfrm>
                      <a:off x="0" y="0"/>
                      <a:ext cx="3219450" cy="1047750"/>
                    </a:xfrm>
                    <a:prstGeom prst="rect">
                      <a:avLst/>
                    </a:prstGeom>
                  </pic:spPr>
                </pic:pic>
              </a:graphicData>
            </a:graphic>
          </wp:inline>
        </w:drawing>
      </w:r>
    </w:p>
    <w:p w14:paraId="0C10F8B1" w14:textId="6067D5EB"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b/>
          <w:color w:val="000000"/>
          <w:sz w:val="22"/>
          <w:szCs w:val="22"/>
          <w:lang w:eastAsia="en-GB"/>
        </w:rPr>
        <w:t>Fig. 2.7</w:t>
      </w:r>
      <w:r w:rsidRPr="00C44D8C">
        <w:rPr>
          <w:rFonts w:asciiTheme="minorHAnsi" w:eastAsia="Calibri" w:hAnsiTheme="minorHAnsi" w:cs="Calibri"/>
          <w:color w:val="000000"/>
          <w:sz w:val="22"/>
          <w:szCs w:val="22"/>
          <w:lang w:eastAsia="en-GB"/>
        </w:rPr>
        <w:t xml:space="preserve"> Relationship between the contact angle and the interfacial interactions at the surface of a solid (adapted from </w:t>
      </w:r>
      <w:r w:rsidR="00A40F4C">
        <w:rPr>
          <w:rFonts w:asciiTheme="minorHAnsi" w:eastAsia="Calibri" w:hAnsiTheme="minorHAnsi" w:cs="Calibri"/>
          <w:color w:val="000000"/>
          <w:sz w:val="22"/>
          <w:szCs w:val="22"/>
          <w:lang w:eastAsia="en-GB"/>
        </w:rPr>
        <w:t>[113]).</w:t>
      </w:r>
    </w:p>
    <w:p w14:paraId="02215B85" w14:textId="77777777" w:rsidR="00436CD0" w:rsidRPr="00C44D8C" w:rsidRDefault="00436CD0" w:rsidP="00436CD0">
      <w:pPr>
        <w:spacing w:line="360" w:lineRule="auto"/>
        <w:jc w:val="center"/>
        <w:rPr>
          <w:rFonts w:asciiTheme="minorHAnsi" w:eastAsia="Arial" w:hAnsiTheme="minorHAnsi" w:cs="Arial"/>
          <w:color w:val="000000"/>
          <w:sz w:val="22"/>
          <w:szCs w:val="22"/>
          <w:lang w:eastAsia="en-GB"/>
        </w:rPr>
      </w:pPr>
    </w:p>
    <w:p w14:paraId="54C0C027" w14:textId="77777777" w:rsidR="00436CD0" w:rsidRPr="00C44D8C" w:rsidRDefault="00436CD0" w:rsidP="00436CD0">
      <w:pPr>
        <w:spacing w:line="360" w:lineRule="auto"/>
        <w:jc w:val="center"/>
        <w:rPr>
          <w:rFonts w:asciiTheme="minorHAnsi" w:eastAsia="Arial" w:hAnsiTheme="minorHAnsi" w:cs="Arial"/>
          <w:color w:val="000000"/>
          <w:sz w:val="22"/>
          <w:szCs w:val="22"/>
          <w:lang w:eastAsia="en-GB"/>
        </w:rPr>
      </w:pPr>
    </w:p>
    <w:p w14:paraId="019872EA" w14:textId="1145716B"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Young’s equation is still the basis for calculating the SFE of any solid surface, and is based on the assumption that the solid surface in question is flat and smooth</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"10.1163/156856102760099870", "ISSN" : "0169-4243", "author" : [ { "dropping-particle" : "", "family" : "Oss", "given" : "Carel Jan", "non-dropping-particle" : "van", "parse-names" : false, "suffix" : "" } ], "container-title" : "Journal of Adhesion Science and Technology", "id" : "ITEM-1", "issue" : "6", "issued" : { "date-parts" : [ [ "2002", "1" ] ] }, "page" : "669-677", "title" : "Use of the combined Lifshitz\u2013van der Waals and Lewis acid\u2013base approaches in determining the apolar and polar contributions to surface and interfacial tensions and free energies", "type" : "article-journal", "volume" : "16" }, "uris" : [ "http://www.mendeley.com/documents/?uuid=0a96bb39-a8f2-45bb-ad5e-81c6078f119f" ] }, { "id" : "ITEM-2", "itemData" : { "ISSN" : "0099-2240", "PMID" : "2444158", "abstract" : "In this study, the adhesion of bacteria differing in surface hydrophobicity\\nwas investigated. Cell wall hydrophobicity was measured as the contact\\nangle of water on a bacterial layer collected on a microfilter. The\\ncontact angles ranged from 15 to 70 degrees. This method was compared\\nwith procedures based upon adhesion to hexadecane and with the partition\\nof cells in a polyethylene glycol-dextran two-phase system. The results\\nobtained with these three methods agreed reasonably well. The adhesion\\nof 16 bacterial strains was measured on sulfated polystyrene as the\\nsolid phase. These experiments showed that hydrophobic cells adhered\\nto a greater extent than hydrophilic cells. The extent of adhesion\\ncorrelated well with the measured contact angles (linear regression\\ncoefficient, 0.8).", "author" : [ { "dropping-particle" : "", "family" : "Loosdrecht", "given" : "M C", "non-dropping-particle" : "van", "parse-names" : false, "suffix" : "" }, { "dropping-particle" : "", "family" : "Lyklema", "given" : "J", "non-dropping-particle" : "", "parse-names" : false, "suffix" : "" }, { "dropping-particle" : "", "family" : "Norde", "given" : "W", "non-dropping-particle" : "", "parse-names" : false, "suffix" : "" }, { "dropping-particle" : "", "family" : "Schraa", "given" : "G", "non-dropping-particle" : "", "parse-names" : false, "suffix" : "" }, { "dropping-particle" : "", "family" : "Zehnder", "given" : "a J", "non-dropping-particle" : "", "parse-names" : false, "suffix" : "" } ], "container-title" : "Appl. Environ. Microbiol.", "id" : "ITEM-2", "issue" : "8", "issued" : { "date-parts" : [ [ "1987" ] ] }, "page" : "1893-1897", "title" : "The role of bacterial cell wall hydrophobicity in adhesion", "type" : "article-journal", "volume" : "53" }, "uris" : [ "http://www.mendeley.com/documents/?uuid=dbd52b0d-89ce-414e-af34-a4aa64b6fc26" ] } ], "mendeley" : { "formattedCitation" : "[68,117]", "plainTextFormattedCitation" : "[68,117]", "previouslyFormattedCitation" : "[68,117]"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[68,117]</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507D1DD9"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6AEEF96E" w14:textId="77777777" w:rsidR="00436CD0" w:rsidRPr="00C44D8C" w:rsidRDefault="00A36734" w:rsidP="00436CD0">
      <w:pPr>
        <w:spacing w:line="360" w:lineRule="auto"/>
        <w:jc w:val="center"/>
        <w:rPr>
          <w:rFonts w:asciiTheme="minorHAnsi" w:eastAsia="Arial" w:hAnsiTheme="minorHAnsi" w:cs="Arial"/>
          <w:color w:val="000000"/>
          <w:sz w:val="22"/>
          <w:szCs w:val="22"/>
          <w:lang w:eastAsia="en-GB"/>
        </w:rPr>
      </w:pPr>
      <m:oMath>
        <m:sSub>
          <m:sSubPr>
            <m:ctrlPr>
              <w:rPr>
                <w:rFonts w:ascii="Cambria Math" w:eastAsia="Calibri" w:hAnsi="Cambria Math"/>
                <w:i/>
                <w:color w:val="000000"/>
                <w:sz w:val="22"/>
                <w:szCs w:val="22"/>
                <w:lang w:eastAsia="en-GB"/>
              </w:rPr>
            </m:ctrlPr>
          </m:sSubPr>
          <m:e>
            <m:r>
              <w:rPr>
                <w:rFonts w:ascii="Cambria Math" w:eastAsia="Calibri" w:hAnsi="Cambria Math"/>
                <w:color w:val="000000"/>
                <w:sz w:val="22"/>
                <w:szCs w:val="22"/>
                <w:lang w:eastAsia="en-GB"/>
              </w:rPr>
              <m:t>γ</m:t>
            </m:r>
          </m:e>
          <m:sub>
            <m:r>
              <w:rPr>
                <w:rFonts w:ascii="Cambria Math" w:eastAsia="Calibri" w:hAnsi="Cambria Math"/>
                <w:color w:val="000000"/>
                <w:sz w:val="22"/>
                <w:szCs w:val="22"/>
                <w:lang w:eastAsia="en-GB"/>
              </w:rPr>
              <m:t>S</m:t>
            </m:r>
          </m:sub>
        </m:sSub>
        <m:r>
          <w:rPr>
            <w:rFonts w:ascii="Cambria Math" w:eastAsia="Calibri" w:hAnsi="Cambria Math"/>
            <w:color w:val="000000"/>
            <w:sz w:val="22"/>
            <w:szCs w:val="22"/>
            <w:lang w:eastAsia="en-GB"/>
          </w:rPr>
          <m:t>=</m:t>
        </m:r>
        <m:sSub>
          <m:sSubPr>
            <m:ctrlPr>
              <w:rPr>
                <w:rFonts w:ascii="Cambria Math" w:eastAsia="Calibri" w:hAnsi="Cambria Math"/>
                <w:i/>
                <w:color w:val="000000"/>
                <w:sz w:val="22"/>
                <w:szCs w:val="22"/>
                <w:lang w:eastAsia="en-GB"/>
              </w:rPr>
            </m:ctrlPr>
          </m:sSubPr>
          <m:e>
            <m:r>
              <w:rPr>
                <w:rFonts w:ascii="Cambria Math" w:eastAsia="Calibri" w:hAnsi="Cambria Math"/>
                <w:color w:val="000000"/>
                <w:sz w:val="22"/>
                <w:szCs w:val="22"/>
                <w:lang w:eastAsia="en-GB"/>
              </w:rPr>
              <m:t>γ</m:t>
            </m:r>
          </m:e>
          <m:sub>
            <m:r>
              <w:rPr>
                <w:rFonts w:ascii="Cambria Math" w:eastAsia="Calibri" w:hAnsi="Cambria Math"/>
                <w:color w:val="000000"/>
                <w:sz w:val="22"/>
                <w:szCs w:val="22"/>
                <w:lang w:eastAsia="en-GB"/>
              </w:rPr>
              <m:t>SL</m:t>
            </m:r>
          </m:sub>
        </m:sSub>
        <m:r>
          <w:rPr>
            <w:rFonts w:ascii="Cambria Math" w:eastAsia="Calibri" w:hAnsi="Cambria Math"/>
            <w:color w:val="000000"/>
            <w:sz w:val="22"/>
            <w:szCs w:val="22"/>
            <w:lang w:eastAsia="en-GB"/>
          </w:rPr>
          <m:t>+</m:t>
        </m:r>
        <m:sSub>
          <m:sSubPr>
            <m:ctrlPr>
              <w:rPr>
                <w:rFonts w:ascii="Cambria Math" w:eastAsia="Calibri" w:hAnsi="Cambria Math"/>
                <w:i/>
                <w:color w:val="000000"/>
                <w:sz w:val="22"/>
                <w:szCs w:val="22"/>
                <w:lang w:eastAsia="en-GB"/>
              </w:rPr>
            </m:ctrlPr>
          </m:sSubPr>
          <m:e>
            <m:r>
              <w:rPr>
                <w:rFonts w:ascii="Cambria Math" w:eastAsia="Calibri" w:hAnsi="Cambria Math"/>
                <w:color w:val="000000"/>
                <w:sz w:val="22"/>
                <w:szCs w:val="22"/>
                <w:lang w:eastAsia="en-GB"/>
              </w:rPr>
              <m:t>γ</m:t>
            </m:r>
          </m:e>
          <m:sub>
            <m:r>
              <w:rPr>
                <w:rFonts w:ascii="Cambria Math" w:eastAsia="Calibri" w:hAnsi="Cambria Math"/>
                <w:color w:val="000000"/>
                <w:sz w:val="22"/>
                <w:szCs w:val="22"/>
                <w:lang w:eastAsia="en-GB"/>
              </w:rPr>
              <m:t>L</m:t>
            </m:r>
          </m:sub>
        </m:sSub>
        <m:r>
          <w:rPr>
            <w:rFonts w:ascii="Cambria Math" w:eastAsia="Calibri" w:hAnsi="Cambria Math"/>
            <w:color w:val="000000"/>
            <w:sz w:val="22"/>
            <w:szCs w:val="22"/>
            <w:lang w:eastAsia="en-GB"/>
          </w:rPr>
          <m:t>cosθ</m:t>
        </m:r>
      </m:oMath>
      <w:r w:rsidR="00436CD0" w:rsidRPr="00C44D8C">
        <w:rPr>
          <w:rFonts w:asciiTheme="minorHAnsi" w:eastAsia="Calibri" w:hAnsiTheme="minorHAnsi"/>
          <w:color w:val="000000"/>
          <w:sz w:val="22"/>
          <w:szCs w:val="22"/>
          <w:lang w:eastAsia="en-GB"/>
        </w:rPr>
        <w:t xml:space="preserve"> </w:t>
      </w:r>
      <w:r w:rsidR="00436CD0" w:rsidRPr="00C44D8C">
        <w:rPr>
          <w:rFonts w:asciiTheme="minorHAnsi" w:hAnsiTheme="minorHAnsi"/>
          <w:color w:val="000000"/>
          <w:sz w:val="22"/>
          <w:szCs w:val="22"/>
          <w:lang w:eastAsia="en-GB"/>
        </w:rPr>
        <w:t xml:space="preserve"> </w:t>
      </w:r>
      <w:r w:rsidR="00436CD0" w:rsidRPr="00C44D8C">
        <w:rPr>
          <w:rFonts w:asciiTheme="minorHAnsi" w:eastAsia="Calibri" w:hAnsiTheme="minorHAnsi" w:cs="Calibri"/>
          <w:color w:val="000000"/>
          <w:sz w:val="22"/>
          <w:szCs w:val="22"/>
          <w:lang w:eastAsia="en-GB"/>
        </w:rPr>
        <w:tab/>
        <w:t xml:space="preserve">(Equation 2) </w:t>
      </w:r>
    </w:p>
    <w:p w14:paraId="6CE3CFF8" w14:textId="77777777" w:rsidR="00436CD0" w:rsidRPr="00C44D8C" w:rsidRDefault="00436CD0" w:rsidP="00436CD0">
      <w:pPr>
        <w:spacing w:line="360" w:lineRule="auto"/>
        <w:rPr>
          <w:rFonts w:asciiTheme="minorHAnsi" w:eastAsia="Arial" w:hAnsiTheme="minorHAnsi" w:cs="Arial"/>
          <w:color w:val="000000"/>
          <w:sz w:val="22"/>
          <w:szCs w:val="22"/>
          <w:lang w:eastAsia="en-GB"/>
        </w:rPr>
      </w:pPr>
    </w:p>
    <w:p w14:paraId="7AAE4338"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where γ</w:t>
      </w:r>
      <w:r w:rsidRPr="00C44D8C">
        <w:rPr>
          <w:rFonts w:asciiTheme="minorHAnsi" w:eastAsia="Calibri" w:hAnsiTheme="minorHAnsi" w:cs="Calibri"/>
          <w:color w:val="000000"/>
          <w:sz w:val="22"/>
          <w:szCs w:val="22"/>
          <w:vertAlign w:val="subscript"/>
          <w:lang w:eastAsia="en-GB"/>
        </w:rPr>
        <w:t xml:space="preserve">S </w:t>
      </w:r>
      <w:r w:rsidRPr="00C44D8C">
        <w:rPr>
          <w:rFonts w:asciiTheme="minorHAnsi" w:eastAsia="Calibri" w:hAnsiTheme="minorHAnsi" w:cs="Calibri"/>
          <w:color w:val="000000"/>
          <w:sz w:val="22"/>
          <w:szCs w:val="22"/>
          <w:lang w:eastAsia="en-GB"/>
        </w:rPr>
        <w:t>is the SFE of a solid surface, γ</w:t>
      </w:r>
      <w:r w:rsidRPr="00C44D8C">
        <w:rPr>
          <w:rFonts w:asciiTheme="minorHAnsi" w:eastAsia="Calibri" w:hAnsiTheme="minorHAnsi" w:cs="Calibri"/>
          <w:color w:val="000000"/>
          <w:sz w:val="22"/>
          <w:szCs w:val="22"/>
          <w:vertAlign w:val="subscript"/>
          <w:lang w:eastAsia="en-GB"/>
        </w:rPr>
        <w:t xml:space="preserve">L </w:t>
      </w:r>
      <w:r w:rsidRPr="00C44D8C">
        <w:rPr>
          <w:rFonts w:asciiTheme="minorHAnsi" w:eastAsia="Calibri" w:hAnsiTheme="minorHAnsi" w:cs="Calibri"/>
          <w:color w:val="000000"/>
          <w:sz w:val="22"/>
          <w:szCs w:val="22"/>
          <w:lang w:eastAsia="en-GB"/>
        </w:rPr>
        <w:t>is the surface tension of a liquid, γ</w:t>
      </w:r>
      <w:r w:rsidRPr="00C44D8C">
        <w:rPr>
          <w:rFonts w:asciiTheme="minorHAnsi" w:eastAsia="Calibri" w:hAnsiTheme="minorHAnsi" w:cs="Calibri"/>
          <w:color w:val="000000"/>
          <w:sz w:val="22"/>
          <w:szCs w:val="22"/>
          <w:vertAlign w:val="subscript"/>
          <w:lang w:eastAsia="en-GB"/>
        </w:rPr>
        <w:t>SL</w:t>
      </w:r>
      <w:r w:rsidRPr="00C44D8C">
        <w:rPr>
          <w:rFonts w:asciiTheme="minorHAnsi" w:eastAsia="Calibri" w:hAnsiTheme="minorHAnsi" w:cs="Calibri"/>
          <w:color w:val="000000"/>
          <w:sz w:val="22"/>
          <w:szCs w:val="22"/>
          <w:lang w:eastAsia="en-GB"/>
        </w:rPr>
        <w:t xml:space="preserve"> the SFE of the interface, and θ is the contact angle.</w:t>
      </w:r>
    </w:p>
    <w:p w14:paraId="0A55AB5D" w14:textId="27091EDC"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For microbial surfaces, the measurement of their SFE based on contact angles is a little more challenging than for abiotic surfaces, and is achieved by the deposition of a lawn of microbial cells onto membrane filters</w:t>
      </w:r>
      <w:r w:rsidR="00A40F4C">
        <w:rPr>
          <w:rFonts w:asciiTheme="minorHAnsi" w:eastAsia="Calibri" w:hAnsiTheme="minorHAnsi" w:cs="Calibri"/>
          <w:color w:val="000000"/>
          <w:sz w:val="22"/>
          <w:szCs w:val="22"/>
          <w:lang w:eastAsia="en-GB"/>
        </w:rPr>
        <w:t xml:space="preserve"> </w:t>
      </w:r>
      <w:r w:rsidR="00A40F4C">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"Busscher", "given" : "H.J.", "non-dropping-particle" : "", "parse-names" : false, "suffix" : "" }, { "dropping-particle" : "", "family" : "Weerkamp", "given" : "A.H.", "non-dropping-particle" : "", "parse-names" : false, "suffix" : "" }, { "dropping-particle" : "", "family" : "Mei", "given" : "H.C.", "non-dropping-particle" : "van der", "parse-names" : false, "suffix" : "" }, { "dropping-particle" : "", "family" : "Antoon", "given" : "W.J.", "non-dropping-particle" : "", "parse-names" : false, "suffix" : "" }, { "dropping-particle" : "Van", "family" : "Pelt", "given" : "A W", "non-dropping-particle" : "", "parse-names" : false, "suffix" : "" }, { "dropping-particle" : "", "family" : "Jong", "given" : "H P", "non-dropping-particle" : "de", "parse-names" : false, "suffix" : "" }, { "dropping-particle" : "", "family" : "Arends", "given" : "J.", "non-dropping-particle" : "", "parse-names" : false, "suffix" : "" } ], "container-title" : "Applied and environmental microbiology", "id" : "ITEM-1", "issue" : "5", "issued" : { "date-parts" : [ [ "1984" ] ] }, "page" : "980-983", "title" : "Measurement of the Surface Free Energy of Bacterial Cell Surfaces and Its Relevance for Adhesion", "type" : "article-journal", "volume" : "48" }, "uris" : [ "http://www.mendeley.com/documents/?uuid=a49e1177-f87a-4c15-8d81-2f403681f42c" ] } ], "mendeley" : { "formattedCitation" : "[118]", "plainTextFormattedCitation" : "[118]", "previouslyFormattedCitation" : "[118]"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[118]</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microbial lawn is consequently dried until the measured water contact angle on the surface reaches a ‘plateau phase’ over time, or when the contact angle is stable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[78]</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method has allowed many scientists to successfully measure the SFE of a wide range of microorganisms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[69]</w:t>
      </w:r>
      <w:r w:rsidR="00A40F4C">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139BD78B" w14:textId="54C3585C"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method proposed by </w:t>
      </w:r>
      <w:r w:rsidRPr="00A40F4C">
        <w:rPr>
          <w:rFonts w:asciiTheme="minorHAnsi" w:eastAsia="Calibri" w:hAnsiTheme="minorHAnsi" w:cs="Calibri"/>
          <w:color w:val="000000"/>
          <w:sz w:val="22"/>
          <w:szCs w:val="22"/>
          <w:lang w:eastAsia="en-GB"/>
        </w:rPr>
        <w:t xml:space="preserve">van Oss, Chaudhury and Good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"10.1021/cr00088a006", "ISSN" : "0009-2665", "author" : [ { "dropping-particle" : "", "family" : "Oss", "given" : "Carel J.", "non-dropping-particle" : "Van", "parse-names" : false, "suffix" : "" }, { "dropping-particle" : "", "family" : "Chaudhury", "given" : "Manoj K.", "non-dropping-particle" : "", "parse-names" : false, "suffix" : "" }, { "dropping-particle" : "", "family" : "Good", "given" : "Robert J.", "non-dropping-particle" : "", "parse-names" : false, "suffix" : "" } ], "container-title" : "Chemical Reviews", "id" : "ITEM-1", "issue" : "6", "issued" : { "date-parts" : [ [ "1988", "9" ] ] }, "page" : "927-941", "title" : "Interfacial Lifshitz-van der Waals and polar interactions in macroscopic systems", "type" : "article-journal", "volume" : "88" }, "uris" : [ "http://www.mendeley.com/documents/?uuid=fa5f49bc-e129-4817-9d97-1b55b85315c6" ] } ], "mendeley" : { "formattedCitation" : "[76]", "plainTextFormattedCitation" : "[76]", "previouslyFormattedCitation" : "[76]"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[76]</w:t>
      </w:r>
      <w:r w:rsidR="00A40F4C">
        <w:rPr>
          <w:rFonts w:asciiTheme="minorHAnsi" w:eastAsia="Calibri" w:hAnsiTheme="minorHAnsi" w:cs="Calibri"/>
          <w:color w:val="000000"/>
          <w:sz w:val="22"/>
          <w:szCs w:val="22"/>
          <w:lang w:eastAsia="en-GB"/>
        </w:rPr>
        <w:fldChar w:fldCharType="end"/>
      </w:r>
      <w:r w:rsidRPr="00A40F4C">
        <w:rPr>
          <w:rFonts w:asciiTheme="minorHAnsi" w:eastAsia="Calibri" w:hAnsiTheme="minorHAnsi" w:cs="Calibri"/>
          <w:color w:val="000000"/>
          <w:sz w:val="22"/>
          <w:szCs w:val="22"/>
          <w:lang w:eastAsia="en-GB"/>
        </w:rPr>
        <w:t xml:space="preserve"> partitions</w:t>
      </w:r>
      <w:r w:rsidRPr="00C44D8C">
        <w:rPr>
          <w:rFonts w:asciiTheme="minorHAnsi" w:eastAsia="Calibri" w:hAnsiTheme="minorHAnsi" w:cs="Calibri"/>
          <w:color w:val="000000"/>
          <w:sz w:val="22"/>
          <w:szCs w:val="22"/>
          <w:lang w:eastAsia="en-GB"/>
        </w:rPr>
        <w:t xml:space="preserve"> the SFE into three different measurable interfacial components, and also takes into account the contribution of polar acid-base forces to the SFE </w:t>
      </w:r>
      <w:r w:rsidR="00A40F4C">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"author" : [ { "dropping-particle" : "Della", "family" : "Volpe", "given" : "C", "non-dropping-particle" : "", "parse-names" : false, "suffix" : "" }, { "dropping-particle" : "", "family" : "Siboni", "given" : "S", "non-dropping-particle" : "", "parse-names" : false, "suffix" : "" } ], "container-title" : "Journal of Adhesion Science and Technology", "id" : "ITEM-1", "issue" : "2", "issued" : { "date-parts" : [ [ "2000" ] ] }, "page" : "235-272", "title" : "Acid \u2013 base surface free energies of solids and the de nition of scales in the Good \u2013 van Oss \u2013 Chaudhury theory", "type" : "article-journal", "volume" : "14" }, "uris" : [ "http://www.mendeley.com/documents/?uuid=9ba3b1be-7d25-4fb3-a8c8-c91bc659dcd8" ] } ], "mendeley" : { "formattedCitation" : "[74]", "plainTextFormattedCitation" : "[74]", "previouslyFormattedCitation" : "[74]" }, "properties" : { "noteIndex" : 0 }, "schema" : "https://github.com/citation-style-language/schema/raw/master/csl-citation.json" }</w:instrText>
      </w:r>
      <w:r w:rsidR="00A40F4C">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[74]</w:t>
      </w:r>
      <w:r w:rsidR="00A40F4C">
        <w:rPr>
          <w:rFonts w:asciiTheme="minorHAnsi" w:eastAsia="Calibri" w:hAnsiTheme="minorHAnsi" w:cs="Calibri"/>
          <w:color w:val="000000"/>
          <w:sz w:val="22"/>
          <w:szCs w:val="22"/>
          <w:lang w:eastAsia="en-GB"/>
        </w:rPr>
        <w:fldChar w:fldCharType="end"/>
      </w:r>
      <w:r w:rsidR="00A40F4C">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This comprehensive partitioning of the surface free energy into its respective measurable components has been used by many scientists in the field of surface science, and particularly by those wanting to understand the process of initial adhesion in biofilm formation</w:t>
      </w:r>
      <w:r w:rsidR="00843A2F">
        <w:rPr>
          <w:rFonts w:asciiTheme="minorHAnsi" w:eastAsia="Calibri" w:hAnsiTheme="minorHAnsi" w:cs="Calibri"/>
          <w:color w:val="000000"/>
          <w:sz w:val="22"/>
          <w:szCs w:val="22"/>
          <w:lang w:eastAsia="en-GB"/>
        </w:rPr>
        <w:t xml:space="preserve"> </w:t>
      </w:r>
      <w:r w:rsidR="00843A2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"id" : "ITEM-2", "itemData" : { "DOI" : "10.1016/j.colsurfb.2004.05.006", "ISSN" : "0927-7765", "PMID" : "15261011", "abstract" : "Metal oxides can increase the adhesion of negatively-charged bacteria to surfaces primarily due to their positive charge. However, the hydrophobicity of a metal-oxide surface can also increase adhesion of bacteria. In order to understand the relative contribution of charge and hydrophobicity to bacterial adhesion, we measured the adhesion of 8 strains of bacteria, under conditions of low and high-ionic strength (1 and 100 mM, respectively) to 11 different surfaces and examined adhesion as a function of charge, hydrophobicity (water contact angle) and surface energy. Inorganic surfaces included three uncoated glass surfaces and eight metal-oxide thin films prepared on the upper (non-tin-exposed) side of float glass by chemical vapor deposition. The Gram-negative bacteria differed in lengths of lipopolysaccharides on their outer surface (three Escherichia coli strains), the amounts of exopolysaccharides (two Pseudomonas aeruginosa strains), and their known relative adhesion to sand grains (two Burkholderia cepacia strains). One Gram positive bacterium was also used that had a lower adhesion to glass than these other bacteria (Bacillus subtilis). For all eight bacteria, there was a consistent increase in adhesion between with the type of inorganic surface in the order: float glass exposed to tin (coded here as Si-Sn), glass microscope slide (Si-m), uncoated air-side float glass surface (Si-a), followed by thin films of (Co(1-y-z)Fe(y)Cr(z))3O4, Ti/Fe/O, TiO2, SnO2, SnO2:F, SnO2:Sb, A1(2)O3, and Fe2O3 (the colon indicates metal doping, a slash indicates that the metal is a major component, while the dash is used to distinguish surfaces). Increasing the ionic strength from 1 to 100 mM increased adhesion by a factor of 2.0 +/- 0.6 (73% of the sample results were within the 95% CI) showing electrostatic charge was important in adhesion. However, adhesion was not significantly correlated with bacterial charge and contact angle. Adhesion (A) of the eight strains was significantly (P &lt; 10(-25)) correlated with total adhesion free energy (U) between the bacteria and surface (A = 2162e(-1.8U)). Although the correlation was significant, agreement between the model and data was poor for the low energy surfaces (R2 = 0.68), indicating that better models or additional methods to characterize bacteria and surfaces are still needed to more accurately describe initial bacterial adhesion to inorganic surfaces.", "author" : [ { "dropping-particle" : "", "family" : "Li", "given" : "Baikun", "non-dropping-particle" : "", "parse-names" : false, "suffix" : "" }, { "dropping-particle" : "", "family" : "Logan", "given" : "Bruce E", "non-dropping-particle" : "", "parse-names" : false, "suffix" : "" } ], "container-title" : "Colloids and surfaces. B, Biointerfaces", "id" : "ITEM-2", "issue" : "2", "issued" : { "date-parts" : [ [ "2004", "7", "15" ] ] }, "page" : "81-90", "title" : "Bacterial adhesion to glass and metal-oxide surfaces.", "type" : "article-journal", "volume" : "36" }, "uris" : [ "http://www.mendeley.com/documents/?uuid=764f0666-2ed1-45a4-a189-ecfa827aa04d" ] } ], "mendeley" : { "formattedCitation" : "[69,81]", "plainTextFormattedCitation" : "[69,81]", "previouslyFormattedCitation" : "[69,81]"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[69,81]</w:t>
      </w:r>
      <w:r w:rsidR="00843A2F">
        <w:rPr>
          <w:rFonts w:asciiTheme="minorHAnsi" w:eastAsia="Calibri" w:hAnsiTheme="minorHAnsi" w:cs="Calibri"/>
          <w:color w:val="000000"/>
          <w:sz w:val="22"/>
          <w:szCs w:val="22"/>
          <w:lang w:eastAsia="en-GB"/>
        </w:rPr>
        <w:fldChar w:fldCharType="end"/>
      </w:r>
      <w:r w:rsidR="00843A2F">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w:t>
      </w:r>
    </w:p>
    <w:p w14:paraId="5CA8B148" w14:textId="23E98458"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interfacial components that make up the SFE described by </w:t>
      </w:r>
      <w:r w:rsidRPr="00843A2F">
        <w:rPr>
          <w:rFonts w:asciiTheme="minorHAnsi" w:eastAsia="Calibri" w:hAnsiTheme="minorHAnsi" w:cs="Calibri"/>
          <w:color w:val="000000"/>
          <w:sz w:val="22"/>
          <w:szCs w:val="22"/>
          <w:lang w:eastAsia="en-GB"/>
        </w:rPr>
        <w:t xml:space="preserve">van Oss, Chaudhury, and Good </w:t>
      </w:r>
      <w:r w:rsidR="00A255E3">
        <w:rPr>
          <w:rFonts w:asciiTheme="minorHAnsi" w:eastAsia="Calibri" w:hAnsiTheme="minorHAnsi" w:cs="Calibri"/>
          <w:color w:val="000000"/>
          <w:sz w:val="22"/>
          <w:szCs w:val="22"/>
          <w:lang w:eastAsia="en-GB"/>
        </w:rPr>
        <w:t>[74]</w:t>
      </w:r>
      <w:r w:rsidRPr="00843A2F">
        <w:rPr>
          <w:rFonts w:asciiTheme="minorHAnsi" w:eastAsia="Calibri" w:hAnsiTheme="minorHAnsi" w:cs="Calibri"/>
          <w:color w:val="000000"/>
          <w:sz w:val="22"/>
          <w:szCs w:val="22"/>
          <w:lang w:eastAsia="en-GB"/>
        </w:rPr>
        <w:t xml:space="preserve"> co</w:t>
      </w:r>
      <w:r w:rsidRPr="00C44D8C">
        <w:rPr>
          <w:rFonts w:asciiTheme="minorHAnsi" w:eastAsia="Calibri" w:hAnsiTheme="minorHAnsi" w:cs="Calibri"/>
          <w:color w:val="000000"/>
          <w:sz w:val="22"/>
          <w:szCs w:val="22"/>
          <w:lang w:eastAsia="en-GB"/>
        </w:rPr>
        <w:t>nsist of the Lifshitz-van der Waals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LW</w:t>
      </w:r>
      <w:r w:rsidRPr="00C44D8C">
        <w:rPr>
          <w:rFonts w:asciiTheme="minorHAnsi" w:eastAsia="Calibri" w:hAnsiTheme="minorHAnsi" w:cs="Calibri"/>
          <w:color w:val="000000"/>
          <w:sz w:val="22"/>
          <w:szCs w:val="22"/>
          <w:lang w:eastAsia="en-GB"/>
        </w:rPr>
        <w:t>) and acid-base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AB</w:t>
      </w:r>
      <w:r w:rsidRPr="00C44D8C">
        <w:rPr>
          <w:rFonts w:asciiTheme="minorHAnsi" w:eastAsia="Calibri" w:hAnsiTheme="minorHAnsi" w:cs="Calibri"/>
          <w:color w:val="000000"/>
          <w:sz w:val="22"/>
          <w:szCs w:val="22"/>
          <w:lang w:eastAsia="en-GB"/>
        </w:rPr>
        <w:t>) components, where the polar AB component is partitioned into electron-donating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w:t>
      </w:r>
      <w:r w:rsidRPr="00C44D8C">
        <w:rPr>
          <w:rFonts w:asciiTheme="minorHAnsi" w:eastAsia="Calibri" w:hAnsiTheme="minorHAnsi" w:cs="Calibri"/>
          <w:color w:val="000000"/>
          <w:sz w:val="22"/>
          <w:szCs w:val="22"/>
          <w:lang w:eastAsia="en-GB"/>
        </w:rPr>
        <w:t>) and electron-accepting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w:t>
      </w:r>
      <w:r w:rsidRPr="00C44D8C">
        <w:rPr>
          <w:rFonts w:asciiTheme="minorHAnsi" w:eastAsia="Calibri" w:hAnsiTheme="minorHAnsi" w:cs="Calibri"/>
          <w:color w:val="000000"/>
          <w:sz w:val="22"/>
          <w:szCs w:val="22"/>
          <w:lang w:eastAsia="en-GB"/>
        </w:rPr>
        <w:t xml:space="preserve">) parameters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"10.1163/156856102760099870", "ISSN" : "0169-4243", "author" : [ { "dropping-particle" : "", "family" : "Oss", "given" : "Carel Jan", "non-dropping-particle" : "van", "parse-names" : false, "suffix" : "" } ], "container-title" : "Journal of Adhesion Science and Technology", "id" : "ITEM-1", "issue" : "6", "issued" : { "date-parts" : [ [ "2002", "1" ] ] }, "page" : "669-677", "title" : "Use of the combined Lifshitz\u2013van der Waals and Lewis acid\u2013base approaches in determining the apolar and polar contributions to surface and interfacial tensions and free energies", "type" : "article-journal", "volume" : "16" }, "uris" : [ "http://www.mendeley.com/documents/?uuid=0a96bb39-a8f2-45bb-ad5e-81c6078f119f" ] } ], "mendeley" : { "formattedCitation" : "[68]", "plainTextFormattedCitation" : "[68]", "previouslyFormattedCitation" : "[68]"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[68]</w:t>
      </w:r>
      <w:r w:rsidR="00843A2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4EA6036D" w14:textId="58EDC0EB"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In order to calculate the three unknown SFE components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LW</w:t>
      </w:r>
      <w:r w:rsidRPr="00C44D8C">
        <w:rPr>
          <w:rFonts w:asciiTheme="minorHAnsi" w:eastAsia="Calibri" w:hAnsiTheme="minorHAnsi" w:cs="Calibri"/>
          <w:i/>
          <w:color w:val="000000"/>
          <w:sz w:val="22"/>
          <w:szCs w:val="22"/>
          <w:lang w:eastAsia="en-GB"/>
        </w:rPr>
        <w:t>, γ</w:t>
      </w:r>
      <w:r w:rsidRPr="00C44D8C">
        <w:rPr>
          <w:rFonts w:asciiTheme="minorHAnsi" w:eastAsia="Calibri" w:hAnsiTheme="minorHAnsi" w:cs="Calibri"/>
          <w:i/>
          <w:color w:val="000000"/>
          <w:sz w:val="22"/>
          <w:szCs w:val="22"/>
          <w:vertAlign w:val="superscript"/>
          <w:lang w:eastAsia="en-GB"/>
        </w:rPr>
        <w:t>+</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and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w:t>
      </w:r>
      <w:r w:rsidRPr="00C44D8C">
        <w:rPr>
          <w:rFonts w:asciiTheme="minorHAnsi" w:eastAsia="Calibri" w:hAnsiTheme="minorHAnsi" w:cs="Calibri"/>
          <w:color w:val="000000"/>
          <w:sz w:val="22"/>
          <w:szCs w:val="22"/>
          <w:lang w:eastAsia="en-GB"/>
        </w:rPr>
        <w:t xml:space="preserve">), contact angles are measured from three probe liquids, typically diiodomethane, formamide and water, as they yield the best reliable results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[78]</w:t>
      </w:r>
      <w:r w:rsidR="00843A2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Their surface tension components are known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[69]</w:t>
      </w:r>
      <w:r w:rsidR="00843A2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These combine to yield the total SFE of a surface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tota</w:t>
      </w:r>
      <w:r w:rsidRPr="00C44D8C">
        <w:rPr>
          <w:rFonts w:asciiTheme="minorHAnsi" w:eastAsia="Calibri" w:hAnsiTheme="minorHAnsi" w:cs="Calibri"/>
          <w:b/>
          <w:i/>
          <w:color w:val="000000"/>
          <w:sz w:val="22"/>
          <w:szCs w:val="22"/>
          <w:vertAlign w:val="superscript"/>
          <w:lang w:eastAsia="en-GB"/>
        </w:rPr>
        <w:t>l</w:t>
      </w:r>
      <w:r w:rsidRPr="00C44D8C">
        <w:rPr>
          <w:rFonts w:asciiTheme="minorHAnsi" w:eastAsia="Calibri" w:hAnsiTheme="minorHAnsi" w:cs="Calibri"/>
          <w:color w:val="000000"/>
          <w:sz w:val="22"/>
          <w:szCs w:val="22"/>
          <w:lang w:eastAsia="en-GB"/>
        </w:rPr>
        <w:t>) to give an indication of the adhesive properties of a surface.</w:t>
      </w:r>
    </w:p>
    <w:p w14:paraId="380C4C84" w14:textId="7CB43227" w:rsidR="00B94D0C" w:rsidRDefault="00436CD0" w:rsidP="00B94D0C">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The apolar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LW</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component is calculated from contact angles using an apolar liquid, typically diiodomethane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"10.1163/156856102760099870", "ISSN" : "0169-4243", "author" : [ { "dropping-particle" : "", "family" : "Oss", "given" : "Carel Jan", "non-dropping-particle" : "van", "parse-names" : false, "suffix" : "" } ], "container-title" : "Journal of Adhesion Science and Technology", "id" : "ITEM-1", "issue" : "6", "issued" : { "date-parts" : [ [ "2002", "1" ] ] }, "page" : "669-677", "title" : "Use of the combined Lifshitz\u2013van der Waals and Lewis acid\u2013base approaches in determining the apolar and polar contributions to surface and interfacial tensions and free energies", "type" : "article-journal", "volume" : "16" }, "uris" : [ "http://www.mendeley.com/documents/?uuid=0a96bb39-a8f2-45bb-ad5e-81c6078f119f" ] }, { "id" : "ITEM-2",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"ITEM-2",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"[68,78]", "plainTextFormattedCitation" : "[68,78]", "previouslyFormattedCitation" : "[68,78]"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[68,78]</w:t>
      </w:r>
      <w:r w:rsidR="00843A2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polar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and </w:t>
      </w:r>
      <w:r w:rsidRPr="00C44D8C">
        <w:rPr>
          <w:rFonts w:asciiTheme="minorHAnsi" w:eastAsia="Calibri" w:hAnsiTheme="minorHAnsi" w:cs="Calibri"/>
          <w:i/>
          <w:color w:val="000000"/>
          <w:sz w:val="22"/>
          <w:szCs w:val="22"/>
          <w:lang w:eastAsia="en-GB"/>
        </w:rPr>
        <w:t>γ</w:t>
      </w:r>
      <w:r w:rsidRPr="00C44D8C">
        <w:rPr>
          <w:rFonts w:asciiTheme="minorHAnsi" w:eastAsia="Calibri" w:hAnsiTheme="minorHAnsi" w:cs="Calibri"/>
          <w:i/>
          <w:color w:val="000000"/>
          <w:sz w:val="22"/>
          <w:szCs w:val="22"/>
          <w:vertAlign w:val="superscript"/>
          <w:lang w:eastAsia="en-GB"/>
        </w:rPr>
        <w:t>-</w:t>
      </w:r>
      <w:r w:rsidRPr="00C44D8C">
        <w:rPr>
          <w:rFonts w:asciiTheme="minorHAnsi" w:eastAsia="Calibri" w:hAnsiTheme="minorHAnsi" w:cs="Calibri"/>
          <w:color w:val="000000"/>
          <w:sz w:val="22"/>
          <w:szCs w:val="22"/>
          <w:lang w:eastAsia="en-GB"/>
        </w:rPr>
        <w:t xml:space="preserve"> components are calculated from contact angles using two polar liquids, typically water and formamide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[78]</w:t>
      </w:r>
      <w:r w:rsidR="00843A2F">
        <w:rPr>
          <w:rFonts w:asciiTheme="minorHAnsi" w:eastAsia="Calibri" w:hAnsiTheme="minorHAnsi" w:cs="Calibri"/>
          <w:color w:val="000000"/>
          <w:sz w:val="22"/>
          <w:szCs w:val="22"/>
          <w:lang w:eastAsia="en-GB"/>
        </w:rPr>
        <w:fldChar w:fldCharType="end"/>
      </w:r>
      <w:r w:rsidR="00843A2F">
        <w:rPr>
          <w:rFonts w:asciiTheme="minorHAnsi" w:eastAsia="Calibri" w:hAnsiTheme="minorHAnsi" w:cs="Calibri"/>
          <w:color w:val="000000"/>
          <w:sz w:val="22"/>
          <w:szCs w:val="22"/>
          <w:lang w:eastAsia="en-GB"/>
        </w:rPr>
        <w:t>.</w:t>
      </w:r>
    </w:p>
    <w:p w14:paraId="0EE581C6" w14:textId="77777777" w:rsidR="00A9324D" w:rsidRDefault="00A9324D" w:rsidP="00B94D0C">
      <w:pPr>
        <w:spacing w:line="360" w:lineRule="auto"/>
        <w:ind w:firstLine="720"/>
        <w:rPr>
          <w:rFonts w:asciiTheme="minorHAnsi" w:eastAsia="Arial" w:hAnsiTheme="minorHAnsi" w:cs="Arial"/>
          <w:color w:val="000000"/>
          <w:sz w:val="22"/>
          <w:szCs w:val="22"/>
          <w:lang w:eastAsia="en-GB"/>
        </w:rPr>
      </w:pPr>
    </w:p>
    <w:p w14:paraId="45343A76" w14:textId="53F8165F" w:rsidR="00436CD0" w:rsidRPr="00B94D0C" w:rsidRDefault="00B94D0C" w:rsidP="00B94D0C">
      <w:pPr>
        <w:pStyle w:val="Heading6"/>
        <w:rPr>
          <w:rFonts w:eastAsia="Arial"/>
        </w:rPr>
      </w:pPr>
      <w:bookmarkStart w:id="56" w:name="_Toc462575273"/>
      <w:r w:rsidRPr="00B94D0C">
        <w:rPr>
          <w:rFonts w:eastAsia="Calibri"/>
        </w:rPr>
        <w:t xml:space="preserve">2.5.2. </w:t>
      </w:r>
      <w:r w:rsidR="00436CD0" w:rsidRPr="00B94D0C">
        <w:rPr>
          <w:rFonts w:eastAsia="Calibri"/>
        </w:rPr>
        <w:t>Modelling initial adhesion - DLVO model</w:t>
      </w:r>
      <w:bookmarkEnd w:id="56"/>
    </w:p>
    <w:p w14:paraId="7FB39CA7" w14:textId="6A315A8F"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Microbial cells are considered to be colloids, having a high surface area-to-volume ratio and a size range of 1 nm - 10 μm, which is similar to the properties of colloids </w:t>
      </w:r>
      <w:r w:rsidR="00843A2F">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sidR="00843A2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Therefore, microbial aggregation, or biofilm formation, can be modelled on colloidal aggregation. For more than 40 years, microbiologists have examined the underlying physicochemical interactions governing the initial adhesion of microbial cells to a solid surface by using </w:t>
      </w:r>
      <w:r w:rsidRPr="00C44D8C">
        <w:rPr>
          <w:rFonts w:asciiTheme="minorHAnsi" w:eastAsia="Calibri" w:hAnsiTheme="minorHAnsi" w:cs="Calibri"/>
          <w:color w:val="000000"/>
          <w:sz w:val="22"/>
          <w:szCs w:val="22"/>
          <w:lang w:eastAsia="en-GB"/>
        </w:rPr>
        <w:lastRenderedPageBreak/>
        <w:t xml:space="preserve">traditional colloidal models and theories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"mendeley" : { "formattedCitation" : "[79]", "plainTextFormattedCitation" : "[79]", "previouslyFormattedCitation" : "[79]"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[79]</w:t>
      </w:r>
      <w:r w:rsidR="00843A2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such as the commonly used Derjaguin, Landau, Verwey, and Overbeek (DLVO) colloidal model</w:t>
      </w:r>
      <w:r w:rsidR="00843A2F">
        <w:rPr>
          <w:rFonts w:asciiTheme="minorHAnsi" w:eastAsia="Calibri" w:hAnsiTheme="minorHAnsi" w:cs="Calibri"/>
          <w:color w:val="000000"/>
          <w:sz w:val="22"/>
          <w:szCs w:val="22"/>
          <w:lang w:eastAsia="en-GB"/>
        </w:rPr>
        <w:t xml:space="preserve">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"id" : "ITEM-2",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"ITEM-2",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"[63,69]", "plainTextFormattedCitation" : "[63,69]", "previouslyFormattedCitation" : "[63,69]"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[63,69]</w:t>
      </w:r>
      <w:r w:rsidR="00843A2F">
        <w:rPr>
          <w:rFonts w:asciiTheme="minorHAnsi" w:eastAsia="Calibri" w:hAnsiTheme="minorHAnsi" w:cs="Calibri"/>
          <w:color w:val="000000"/>
          <w:sz w:val="22"/>
          <w:szCs w:val="22"/>
          <w:lang w:eastAsia="en-GB"/>
        </w:rPr>
        <w:fldChar w:fldCharType="end"/>
      </w:r>
      <w:r w:rsidR="00843A2F">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w:t>
      </w:r>
    </w:p>
    <w:p w14:paraId="288DA011" w14:textId="1E2DAF70" w:rsidR="00436CD0" w:rsidRPr="00C44D8C" w:rsidRDefault="00436CD0" w:rsidP="00436CD0">
      <w:pPr>
        <w:spacing w:line="360" w:lineRule="auto"/>
        <w:rPr>
          <w:rFonts w:asciiTheme="minorHAnsi" w:eastAsia="Calibri" w:hAnsiTheme="minorHAnsi" w:cs="Calibri"/>
          <w:color w:val="000000"/>
          <w:sz w:val="22"/>
          <w:szCs w:val="22"/>
          <w:vertAlign w:val="superscript"/>
          <w:lang w:eastAsia="en-GB"/>
        </w:rPr>
      </w:pPr>
      <w:r w:rsidRPr="00C44D8C">
        <w:rPr>
          <w:rFonts w:asciiTheme="minorHAnsi" w:eastAsia="Calibri" w:hAnsiTheme="minorHAnsi" w:cs="Calibri"/>
          <w:color w:val="000000"/>
          <w:sz w:val="22"/>
          <w:szCs w:val="22"/>
          <w:lang w:eastAsia="en-GB"/>
        </w:rPr>
        <w:tab/>
        <w:t>The DLVO model describes the net interaction energy between two interacting colloidal surfaces, and has also been used to describe the interaction between a microbial cell and an abiotic surface</w:t>
      </w:r>
      <w:r w:rsidR="00843A2F">
        <w:rPr>
          <w:rFonts w:asciiTheme="minorHAnsi" w:eastAsia="Calibri" w:hAnsiTheme="minorHAnsi" w:cs="Calibri"/>
          <w:color w:val="000000"/>
          <w:sz w:val="22"/>
          <w:szCs w:val="22"/>
          <w:lang w:eastAsia="en-GB"/>
        </w:rPr>
        <w:t xml:space="preserve">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"id" : "ITEM-2",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"ITEM-2", "issue" : "2", "issued" : { "date-parts" : [ [ "1999", "4" ] ] }, "page" : "179-230", "title" : "Physico-chemistry of initial microbial adhesive interactions--its mechanisms and methods for study.", "type" : "article-journal", "volume" : "23" }, "uris" : [ "http://www.mendeley.com/documents/?uuid=76307d2d-eec2-4aa7-9afe-a712c36fc1f3" ] }, { "id" : "ITEM-3",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"ITEM-3",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"[63,69,79]", "plainTextFormattedCitation" : "[63,69,79]", "previouslyFormattedCitation" : "[63,69,79]"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[63,69,79]</w:t>
      </w:r>
      <w:r w:rsidR="00843A2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It takes into account the additive effect of the main interfacial interactions: Lifshitz-van der Waals (LW) and electrostatic forces (EL), and describes their decay with distance</w:t>
      </w:r>
      <w:r w:rsidR="00843A2F">
        <w:rPr>
          <w:rFonts w:asciiTheme="minorHAnsi" w:eastAsia="Calibri" w:hAnsiTheme="minorHAnsi" w:cs="Calibri"/>
          <w:color w:val="000000"/>
          <w:sz w:val="22"/>
          <w:szCs w:val="22"/>
          <w:lang w:eastAsia="en-GB"/>
        </w:rPr>
        <w:t xml:space="preserve">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"mendeley" : { "formattedCitation" : "[72]", "plainTextFormattedCitation" : "[72]", "previouslyFormattedCitation" : "[72]"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[72]</w:t>
      </w:r>
      <w:r w:rsidR="00843A2F">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vertAlign w:val="superscript"/>
          <w:lang w:eastAsia="en-GB"/>
        </w:rPr>
        <w:t xml:space="preserve"> </w:t>
      </w:r>
    </w:p>
    <w:p w14:paraId="5C426725" w14:textId="5110EFEE"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important contribution of the short-range Lewis acid-base (AB) interactions to initial microbial adhesion (refer to 2.3.2) was further acknowledged and incorporated by </w:t>
      </w:r>
      <w:r w:rsidR="00843A2F">
        <w:rPr>
          <w:rFonts w:asciiTheme="minorHAnsi" w:eastAsia="Calibri" w:hAnsiTheme="minorHAnsi" w:cs="Calibri"/>
          <w:color w:val="000000"/>
          <w:sz w:val="22"/>
          <w:szCs w:val="22"/>
          <w:lang w:eastAsia="en-GB"/>
        </w:rPr>
        <w:t>V</w:t>
      </w:r>
      <w:r w:rsidR="00A255E3">
        <w:rPr>
          <w:rFonts w:asciiTheme="minorHAnsi" w:eastAsia="Calibri" w:hAnsiTheme="minorHAnsi" w:cs="Calibri"/>
          <w:color w:val="000000"/>
          <w:sz w:val="22"/>
          <w:szCs w:val="22"/>
          <w:lang w:eastAsia="en-GB"/>
        </w:rPr>
        <w:t>an Oss and co-workers</w:t>
      </w:r>
      <w:r w:rsidR="00843A2F">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into the classic DLVO model</w:t>
      </w:r>
      <w:r w:rsidR="00843A2F">
        <w:rPr>
          <w:rFonts w:asciiTheme="minorHAnsi" w:eastAsia="Calibri" w:hAnsiTheme="minorHAnsi" w:cs="Calibri"/>
          <w:color w:val="000000"/>
          <w:sz w:val="22"/>
          <w:szCs w:val="22"/>
          <w:lang w:eastAsia="en-GB"/>
        </w:rPr>
        <w:t xml:space="preserve"> </w:t>
      </w:r>
      <w:r w:rsidR="00843A2F">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"10.1163/156856102760099870", "ISSN" : "0169-4243", "author" : [ { "dropping-particle" : "", "family" : "Oss", "given" : "Carel Jan", "non-dropping-particle" : "van", "parse-names" : false, "suffix" : "" } ], "container-title" : "Journal of Adhesion Science and Technology", "id" : "ITEM-1", "issue" : "6", "issued" : { "date-parts" : [ [ "2002", "1" ] ] }, "page" : "669-677", "title" : "Use of the combined Lifshitz\u2013van der Waals and Lewis acid\u2013base approaches in determining the apolar and polar contributions to surface and interfacial tensions and free energies", "type" : "article-journal", "volume" : "16" }, "uris" : [ "http://www.mendeley.com/documents/?uuid=0a96bb39-a8f2-45bb-ad5e-81c6078f119f" ] } ], "mendeley" : { "formattedCitation" : "[68]", "plainTextFormattedCitation" : "[68]", "previouslyFormattedCitation" : "[68]" }, "properties" : { "noteIndex" : 0 }, "schema" : "https://github.com/citation-style-language/schema/raw/master/csl-citation.json" }</w:instrText>
      </w:r>
      <w:r w:rsidR="00843A2F">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[68]</w:t>
      </w:r>
      <w:r w:rsidR="00843A2F">
        <w:rPr>
          <w:rFonts w:asciiTheme="minorHAnsi" w:eastAsia="Calibri" w:hAnsiTheme="minorHAnsi" w:cs="Calibri"/>
          <w:color w:val="000000"/>
          <w:sz w:val="22"/>
          <w:szCs w:val="22"/>
          <w:lang w:eastAsia="en-GB"/>
        </w:rPr>
        <w:fldChar w:fldCharType="end"/>
      </w:r>
      <w:r w:rsidR="00843A2F">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This gave rise to the extended DLVO model, otherwise known as the xDLVO model</w:t>
      </w:r>
      <w:r w:rsidR="00A9324D">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The model is based on the assumption that the microbial cell is rigid and spherical </w:t>
      </w:r>
      <w:r w:rsidR="00D23B90">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"mendeley" : { "formattedCitation" : "[79]", "plainTextFormattedCitation" : "[79]", "previouslyFormattedCitation" : "[79]" }, "properties" : { "noteIndex" : 0 }, "schema" : "https://github.com/citation-style-language/schema/raw/master/csl-citation.json" }</w:instrText>
      </w:r>
      <w:r w:rsidR="00D23B90">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[79]</w:t>
      </w:r>
      <w:r w:rsidR="00D23B90">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7A7BCE67" w14:textId="50FFF7A2"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The xDLVO model is used to determine the total free energy of interaction between a microbial and abiotic surface (G</w:t>
      </w:r>
      <w:r w:rsidRPr="00C44D8C">
        <w:rPr>
          <w:rFonts w:asciiTheme="minorHAnsi" w:eastAsia="Calibri" w:hAnsiTheme="minorHAnsi" w:cs="Calibri"/>
          <w:color w:val="000000"/>
          <w:sz w:val="22"/>
          <w:szCs w:val="22"/>
          <w:vertAlign w:val="superscript"/>
          <w:lang w:eastAsia="en-GB"/>
        </w:rPr>
        <w:t>TOT</w:t>
      </w:r>
      <w:r w:rsidRPr="00C44D8C">
        <w:rPr>
          <w:rFonts w:asciiTheme="minorHAnsi" w:eastAsia="Calibri" w:hAnsiTheme="minorHAnsi" w:cs="Calibri"/>
          <w:color w:val="000000"/>
          <w:sz w:val="22"/>
          <w:szCs w:val="22"/>
          <w:lang w:eastAsia="en-GB"/>
        </w:rPr>
        <w:t xml:space="preserve">) as a balance of the three main interfacial forces (LW, EL and AB) over a separation distance, </w:t>
      </w:r>
      <w:r w:rsidRPr="00C44D8C">
        <w:rPr>
          <w:rFonts w:asciiTheme="minorHAnsi" w:eastAsia="Calibri" w:hAnsiTheme="minorHAnsi" w:cs="Calibri"/>
          <w:i/>
          <w:color w:val="000000"/>
          <w:sz w:val="22"/>
          <w:szCs w:val="22"/>
          <w:lang w:eastAsia="en-GB"/>
        </w:rPr>
        <w:t>H</w:t>
      </w:r>
      <w:r w:rsidRPr="00C44D8C">
        <w:rPr>
          <w:rFonts w:asciiTheme="minorHAnsi" w:eastAsia="Calibri" w:hAnsiTheme="minorHAnsi" w:cs="Calibri"/>
          <w:color w:val="000000"/>
          <w:sz w:val="22"/>
          <w:szCs w:val="22"/>
          <w:lang w:eastAsia="en-GB"/>
        </w:rPr>
        <w:t xml:space="preserve">. As such, it is partly based on a thermodynamic perspective, which pertains to describe the total Gibbs free energy of adhesion between two interacting surfaces and therefore, whether adhesion is thermodynamically favourable </w:t>
      </w:r>
      <w:r w:rsidR="00D23B90">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"id" : "ITEM-2",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"ITEM-2", "issue" : "1", "issued" : { "date-parts" : [ [ "2002", "6" ] ] }, "page" : "1-32", "title" : "Electric double layer interactions in bacterial adhesion to surfaces", "type" : "article-journal", "volume" : "47" }, "uris" : [ "http://www.mendeley.com/documents/?uuid=9f7a7ce8-5377-4cc5-a187-a84ad6b0f675" ] } ], "mendeley" : { "formattedCitation" : "[69,72]", "plainTextFormattedCitation" : "[69,72]", "previouslyFormattedCitation" : "[69,72]" }, "properties" : { "noteIndex" : 0 }, "schema" : "https://github.com/citation-style-language/schema/raw/master/csl-citation.json" }</w:instrText>
      </w:r>
      <w:r w:rsidR="00D23B90">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[69,72]</w:t>
      </w:r>
      <w:r w:rsidR="00D23B90">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Microbial adhesion is said to be thermodynamically favourable when </w:t>
      </w:r>
      <m:oMath>
        <m:sSup>
          <m:sSupPr>
            <m:ctrlPr>
              <w:rPr>
                <w:rFonts w:ascii="Cambria Math" w:eastAsia="Arial" w:hAnsi="Cambria Math" w:cs="Arial"/>
                <w:bCs/>
                <w:i/>
                <w:color w:val="000000"/>
                <w:sz w:val="22"/>
                <w:szCs w:val="22"/>
                <w:lang w:eastAsia="en-GB"/>
              </w:rPr>
            </m:ctrlPr>
          </m:sSupPr>
          <m:e>
            <m:r>
              <w:rPr>
                <w:rFonts w:ascii="Cambria Math" w:eastAsia="Arial" w:hAnsi="Cambria Math" w:cs="Arial"/>
                <w:color w:val="000000"/>
                <w:sz w:val="22"/>
                <w:szCs w:val="22"/>
                <w:lang w:eastAsia="en-GB"/>
              </w:rPr>
              <m:t>G</m:t>
            </m:r>
          </m:e>
          <m:sup>
            <m:r>
              <w:rPr>
                <w:rFonts w:ascii="Cambria Math" w:eastAsia="Arial" w:hAnsi="Cambria Math" w:cs="Arial"/>
                <w:color w:val="000000"/>
                <w:sz w:val="22"/>
                <w:szCs w:val="22"/>
                <w:lang w:eastAsia="en-GB"/>
              </w:rPr>
              <m:t>TOT</m:t>
            </m:r>
          </m:sup>
        </m:sSup>
      </m:oMath>
      <w:r w:rsidRPr="00C44D8C">
        <w:rPr>
          <w:rFonts w:asciiTheme="minorHAnsi" w:eastAsia="Calibri" w:hAnsiTheme="minorHAnsi" w:cs="Calibri"/>
          <w:color w:val="000000"/>
          <w:sz w:val="22"/>
          <w:szCs w:val="22"/>
          <w:lang w:eastAsia="en-GB"/>
        </w:rPr>
        <w:t xml:space="preserve"> is negative, and is thermodynamically unfavourable when </w:t>
      </w:r>
      <m:oMath>
        <m:sSup>
          <m:sSupPr>
            <m:ctrlPr>
              <w:rPr>
                <w:rFonts w:ascii="Cambria Math" w:eastAsia="Arial" w:hAnsi="Cambria Math" w:cs="Arial"/>
                <w:bCs/>
                <w:i/>
                <w:color w:val="000000"/>
                <w:sz w:val="22"/>
                <w:szCs w:val="22"/>
                <w:lang w:eastAsia="en-GB"/>
              </w:rPr>
            </m:ctrlPr>
          </m:sSupPr>
          <m:e>
            <m:r>
              <w:rPr>
                <w:rFonts w:ascii="Cambria Math" w:eastAsia="Arial" w:hAnsi="Cambria Math" w:cs="Arial"/>
                <w:color w:val="000000"/>
                <w:sz w:val="22"/>
                <w:szCs w:val="22"/>
                <w:lang w:eastAsia="en-GB"/>
              </w:rPr>
              <m:t>G</m:t>
            </m:r>
          </m:e>
          <m:sup>
            <m:r>
              <w:rPr>
                <w:rFonts w:ascii="Cambria Math" w:eastAsia="Arial" w:hAnsi="Cambria Math" w:cs="Arial"/>
                <w:color w:val="000000"/>
                <w:sz w:val="22"/>
                <w:szCs w:val="22"/>
                <w:lang w:eastAsia="en-GB"/>
              </w:rPr>
              <m:t>TOT</m:t>
            </m:r>
          </m:sup>
        </m:sSup>
      </m:oMath>
      <w:r w:rsidRPr="00C44D8C">
        <w:rPr>
          <w:rFonts w:asciiTheme="minorHAnsi" w:eastAsia="Calibri" w:hAnsiTheme="minorHAnsi" w:cs="Calibri"/>
          <w:bCs/>
          <w:color w:val="000000"/>
          <w:sz w:val="22"/>
          <w:szCs w:val="22"/>
          <w:lang w:eastAsia="en-GB"/>
        </w:rPr>
        <w:t xml:space="preserve"> is positive </w:t>
      </w:r>
      <w:r w:rsidR="00D23B90">
        <w:rPr>
          <w:rFonts w:asciiTheme="minorHAnsi" w:eastAsia="Calibri" w:hAnsiTheme="minorHAnsi" w:cs="Calibri"/>
          <w:bCs/>
          <w:color w:val="000000"/>
          <w:sz w:val="22"/>
          <w:szCs w:val="22"/>
          <w:lang w:eastAsia="en-GB"/>
        </w:rPr>
        <w:fldChar w:fldCharType="begin" w:fldLock="1"/>
      </w:r>
      <w:r w:rsidR="00AF47D2">
        <w:rPr>
          <w:rFonts w:asciiTheme="minorHAnsi" w:eastAsia="Calibri" w:hAnsiTheme="minorHAnsi" w:cs="Calibri"/>
          <w:bCs/>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D23B90">
        <w:rPr>
          <w:rFonts w:asciiTheme="minorHAnsi" w:eastAsia="Calibri" w:hAnsiTheme="minorHAnsi" w:cs="Calibri"/>
          <w:bCs/>
          <w:color w:val="000000"/>
          <w:sz w:val="22"/>
          <w:szCs w:val="22"/>
          <w:lang w:eastAsia="en-GB"/>
        </w:rPr>
        <w:fldChar w:fldCharType="separate"/>
      </w:r>
      <w:r w:rsidR="00AF47D2" w:rsidRPr="00AF47D2">
        <w:rPr>
          <w:rFonts w:asciiTheme="minorHAnsi" w:eastAsia="Calibri" w:hAnsiTheme="minorHAnsi" w:cs="Calibri"/>
          <w:bCs/>
          <w:noProof/>
          <w:color w:val="000000"/>
          <w:sz w:val="22"/>
          <w:szCs w:val="22"/>
          <w:lang w:eastAsia="en-GB"/>
        </w:rPr>
        <w:t>[63]</w:t>
      </w:r>
      <w:r w:rsidR="00D23B90">
        <w:rPr>
          <w:rFonts w:asciiTheme="minorHAnsi" w:eastAsia="Calibri" w:hAnsiTheme="minorHAnsi" w:cs="Calibri"/>
          <w:bCs/>
          <w:color w:val="000000"/>
          <w:sz w:val="22"/>
          <w:szCs w:val="22"/>
          <w:lang w:eastAsia="en-GB"/>
        </w:rPr>
        <w:fldChar w:fldCharType="end"/>
      </w:r>
      <w:r w:rsidRPr="00C44D8C">
        <w:rPr>
          <w:rFonts w:asciiTheme="minorHAnsi" w:eastAsia="Calibri" w:hAnsiTheme="minorHAnsi" w:cs="Calibri"/>
          <w:bCs/>
          <w:color w:val="000000"/>
          <w:sz w:val="22"/>
          <w:szCs w:val="22"/>
          <w:lang w:eastAsia="en-GB"/>
        </w:rPr>
        <w:t>:</w:t>
      </w:r>
    </w:p>
    <w:p w14:paraId="7AAA4F0F" w14:textId="77777777" w:rsidR="00436CD0" w:rsidRPr="00C44D8C" w:rsidRDefault="00436CD0" w:rsidP="00436CD0">
      <w:pPr>
        <w:spacing w:line="360" w:lineRule="auto"/>
        <w:rPr>
          <w:rFonts w:asciiTheme="minorHAnsi" w:eastAsia="Arial" w:hAnsiTheme="minorHAnsi" w:cs="Arial"/>
          <w:color w:val="000000"/>
          <w:sz w:val="22"/>
          <w:szCs w:val="22"/>
          <w:lang w:eastAsia="en-GB"/>
        </w:rPr>
      </w:pPr>
    </w:p>
    <w:p w14:paraId="4C059DD5" w14:textId="77777777" w:rsidR="00D20D2A" w:rsidRDefault="00A36734" w:rsidP="00D20D2A">
      <w:pPr>
        <w:spacing w:line="360" w:lineRule="auto"/>
        <w:jc w:val="center"/>
        <w:rPr>
          <w:rFonts w:asciiTheme="minorHAnsi" w:eastAsia="Calibri" w:hAnsiTheme="minorHAnsi" w:cs="Calibri"/>
          <w:color w:val="000000"/>
          <w:sz w:val="22"/>
          <w:szCs w:val="22"/>
          <w:lang w:eastAsia="en-GB"/>
        </w:rPr>
      </w:pPr>
      <m:oMath>
        <m:sSup>
          <m:sSupPr>
            <m:ctrlPr>
              <w:rPr>
                <w:rFonts w:ascii="Cambria Math" w:eastAsia="Arial" w:hAnsi="Cambria Math" w:cs="Arial"/>
                <w:bCs/>
                <w:i/>
                <w:color w:val="000000"/>
                <w:sz w:val="22"/>
                <w:szCs w:val="22"/>
                <w:lang w:eastAsia="en-GB"/>
              </w:rPr>
            </m:ctrlPr>
          </m:sSupPr>
          <m:e>
            <m:r>
              <w:rPr>
                <w:rFonts w:ascii="Cambria Math" w:eastAsia="Arial" w:hAnsi="Cambria Math" w:cs="Arial"/>
                <w:color w:val="000000"/>
                <w:sz w:val="22"/>
                <w:szCs w:val="22"/>
                <w:lang w:eastAsia="en-GB"/>
              </w:rPr>
              <m:t>G</m:t>
            </m:r>
          </m:e>
          <m:sup>
            <m:r>
              <w:rPr>
                <w:rFonts w:ascii="Cambria Math" w:eastAsia="Arial" w:hAnsi="Cambria Math" w:cs="Arial"/>
                <w:color w:val="000000"/>
                <w:sz w:val="22"/>
                <w:szCs w:val="22"/>
                <w:lang w:eastAsia="en-GB"/>
              </w:rPr>
              <m:t>TOT</m:t>
            </m:r>
          </m:sup>
        </m:sSup>
        <m:r>
          <w:rPr>
            <w:rFonts w:ascii="Cambria Math" w:eastAsia="Arial" w:hAnsi="Cambria Math" w:cs="Arial"/>
            <w:color w:val="000000"/>
            <w:sz w:val="22"/>
            <w:szCs w:val="22"/>
            <w:lang w:eastAsia="en-GB"/>
          </w:rPr>
          <m:t xml:space="preserve">(H)= </m:t>
        </m:r>
        <m:sSup>
          <m:sSupPr>
            <m:ctrlPr>
              <w:rPr>
                <w:rFonts w:ascii="Cambria Math" w:eastAsia="Arial" w:hAnsi="Cambria Math" w:cs="Arial"/>
                <w:bCs/>
                <w:i/>
                <w:color w:val="000000"/>
                <w:sz w:val="22"/>
                <w:szCs w:val="22"/>
                <w:lang w:eastAsia="en-GB"/>
              </w:rPr>
            </m:ctrlPr>
          </m:sSupPr>
          <m:e>
            <m:r>
              <w:rPr>
                <w:rFonts w:ascii="Cambria Math" w:eastAsia="Arial" w:hAnsi="Cambria Math" w:cs="Arial"/>
                <w:color w:val="000000"/>
                <w:sz w:val="22"/>
                <w:szCs w:val="22"/>
                <w:lang w:eastAsia="en-GB"/>
              </w:rPr>
              <m:t>G</m:t>
            </m:r>
          </m:e>
          <m:sup>
            <m:r>
              <w:rPr>
                <w:rFonts w:ascii="Cambria Math" w:eastAsia="Arial" w:hAnsi="Cambria Math" w:cs="Arial"/>
                <w:color w:val="000000"/>
                <w:sz w:val="22"/>
                <w:szCs w:val="22"/>
                <w:lang w:eastAsia="en-GB"/>
              </w:rPr>
              <m:t>LW</m:t>
            </m:r>
          </m:sup>
        </m:sSup>
        <m:r>
          <w:rPr>
            <w:rFonts w:ascii="Cambria Math" w:eastAsia="Arial" w:hAnsi="Cambria Math" w:cs="Arial"/>
            <w:color w:val="000000"/>
            <w:sz w:val="22"/>
            <w:szCs w:val="22"/>
            <w:lang w:eastAsia="en-GB"/>
          </w:rPr>
          <m:t xml:space="preserve">(H)+ </m:t>
        </m:r>
        <m:sSup>
          <m:sSupPr>
            <m:ctrlPr>
              <w:rPr>
                <w:rFonts w:ascii="Cambria Math" w:eastAsia="Arial" w:hAnsi="Cambria Math" w:cs="Arial"/>
                <w:bCs/>
                <w:i/>
                <w:color w:val="000000"/>
                <w:sz w:val="22"/>
                <w:szCs w:val="22"/>
                <w:lang w:eastAsia="en-GB"/>
              </w:rPr>
            </m:ctrlPr>
          </m:sSupPr>
          <m:e>
            <m:r>
              <w:rPr>
                <w:rFonts w:ascii="Cambria Math" w:eastAsia="Arial" w:hAnsi="Cambria Math" w:cs="Arial"/>
                <w:color w:val="000000"/>
                <w:sz w:val="22"/>
                <w:szCs w:val="22"/>
                <w:lang w:eastAsia="en-GB"/>
              </w:rPr>
              <m:t>G</m:t>
            </m:r>
          </m:e>
          <m:sup>
            <m:r>
              <w:rPr>
                <w:rFonts w:ascii="Cambria Math" w:eastAsia="Arial" w:hAnsi="Cambria Math" w:cs="Arial"/>
                <w:color w:val="000000"/>
                <w:sz w:val="22"/>
                <w:szCs w:val="22"/>
                <w:lang w:eastAsia="en-GB"/>
              </w:rPr>
              <m:t>EL</m:t>
            </m:r>
          </m:sup>
        </m:sSup>
        <m:r>
          <w:rPr>
            <w:rFonts w:ascii="Cambria Math" w:eastAsia="Arial" w:hAnsi="Cambria Math" w:cs="Arial"/>
            <w:color w:val="000000"/>
            <w:sz w:val="22"/>
            <w:szCs w:val="22"/>
            <w:lang w:eastAsia="en-GB"/>
          </w:rPr>
          <m:t xml:space="preserve">(H)+ </m:t>
        </m:r>
        <m:sSup>
          <m:sSupPr>
            <m:ctrlPr>
              <w:rPr>
                <w:rFonts w:ascii="Cambria Math" w:eastAsia="Arial" w:hAnsi="Cambria Math" w:cs="Arial"/>
                <w:bCs/>
                <w:i/>
                <w:color w:val="000000"/>
                <w:sz w:val="22"/>
                <w:szCs w:val="22"/>
                <w:lang w:eastAsia="en-GB"/>
              </w:rPr>
            </m:ctrlPr>
          </m:sSupPr>
          <m:e>
            <m:r>
              <w:rPr>
                <w:rFonts w:ascii="Cambria Math" w:eastAsia="Arial" w:hAnsi="Cambria Math" w:cs="Arial"/>
                <w:color w:val="000000"/>
                <w:sz w:val="22"/>
                <w:szCs w:val="22"/>
                <w:lang w:eastAsia="en-GB"/>
              </w:rPr>
              <m:t>G</m:t>
            </m:r>
          </m:e>
          <m:sup>
            <m:r>
              <w:rPr>
                <w:rFonts w:ascii="Cambria Math" w:eastAsia="Arial" w:hAnsi="Cambria Math" w:cs="Arial"/>
                <w:color w:val="000000"/>
                <w:sz w:val="22"/>
                <w:szCs w:val="22"/>
                <w:lang w:eastAsia="en-GB"/>
              </w:rPr>
              <m:t>AB</m:t>
            </m:r>
          </m:sup>
        </m:sSup>
        <m:r>
          <w:rPr>
            <w:rFonts w:ascii="Cambria Math" w:eastAsia="Arial" w:hAnsi="Cambria Math" w:cs="Arial"/>
            <w:color w:val="000000"/>
            <w:sz w:val="22"/>
            <w:szCs w:val="22"/>
            <w:lang w:eastAsia="en-GB"/>
          </w:rPr>
          <m:t>(H)</m:t>
        </m:r>
      </m:oMath>
      <w:r w:rsidR="00436CD0" w:rsidRPr="00C44D8C">
        <w:rPr>
          <w:rFonts w:asciiTheme="minorHAnsi" w:eastAsia="Calibri" w:hAnsiTheme="minorHAnsi" w:cs="Calibri"/>
          <w:color w:val="000000"/>
          <w:sz w:val="22"/>
          <w:szCs w:val="22"/>
          <w:lang w:eastAsia="en-GB"/>
        </w:rPr>
        <w:tab/>
        <w:t xml:space="preserve"> </w:t>
      </w:r>
      <w:r w:rsidR="00436CD0" w:rsidRPr="00C44D8C">
        <w:rPr>
          <w:rFonts w:asciiTheme="minorHAnsi" w:eastAsia="Calibri" w:hAnsiTheme="minorHAnsi" w:cs="Calibri"/>
          <w:color w:val="000000"/>
          <w:sz w:val="22"/>
          <w:szCs w:val="22"/>
          <w:lang w:eastAsia="en-GB"/>
        </w:rPr>
        <w:tab/>
        <w:t>(Equation 3)</w:t>
      </w:r>
    </w:p>
    <w:p w14:paraId="0B202BF7" w14:textId="77777777" w:rsidR="00D20D2A" w:rsidRDefault="00D20D2A" w:rsidP="00D20D2A">
      <w:pPr>
        <w:spacing w:line="360" w:lineRule="auto"/>
        <w:jc w:val="center"/>
        <w:rPr>
          <w:rFonts w:asciiTheme="minorHAnsi" w:eastAsia="Calibri" w:hAnsiTheme="minorHAnsi" w:cs="Calibri"/>
          <w:color w:val="000000"/>
          <w:sz w:val="22"/>
          <w:szCs w:val="22"/>
          <w:lang w:eastAsia="en-GB"/>
        </w:rPr>
      </w:pPr>
    </w:p>
    <w:p w14:paraId="25CA9318" w14:textId="64D086AA" w:rsidR="00436CD0" w:rsidRPr="00C44D8C" w:rsidRDefault="00D20D2A" w:rsidP="00D20D2A">
      <w:pPr>
        <w:spacing w:line="360" w:lineRule="auto"/>
        <w:ind w:firstLine="720"/>
        <w:rPr>
          <w:rFonts w:asciiTheme="minorHAnsi" w:eastAsia="Arial" w:hAnsiTheme="minorHAnsi" w:cs="Arial"/>
          <w:color w:val="000000"/>
          <w:sz w:val="22"/>
          <w:szCs w:val="22"/>
          <w:lang w:eastAsia="en-GB"/>
        </w:rPr>
      </w:pPr>
      <w:r>
        <w:rPr>
          <w:rFonts w:asciiTheme="minorHAnsi" w:eastAsia="Arial" w:hAnsiTheme="minorHAnsi" w:cs="Arial"/>
          <w:color w:val="000000"/>
          <w:sz w:val="22"/>
          <w:szCs w:val="22"/>
          <w:lang w:eastAsia="en-GB"/>
        </w:rPr>
        <w:t>W</w:t>
      </w:r>
      <w:r w:rsidR="00436CD0" w:rsidRPr="00C44D8C">
        <w:rPr>
          <w:rFonts w:asciiTheme="minorHAnsi" w:eastAsia="Arial" w:hAnsiTheme="minorHAnsi" w:cs="Arial"/>
          <w:color w:val="000000"/>
          <w:sz w:val="22"/>
          <w:szCs w:val="22"/>
          <w:lang w:eastAsia="en-GB"/>
        </w:rPr>
        <w:t xml:space="preserve">hen these three physicochemical parameters are plotted as a function of distance, a DLVO energy profile can be ascertained (Fig. 2.8) that typically shows the presence of a shallow energy minimum at large separation distances between the microbial and abiotic surface. This is referred to as the secondary minimum and is when cells are able to reversibly attach to a surface, meaning that they can be easily dispersed by shear forces </w:t>
      </w:r>
      <w:r w:rsidR="00D23B90">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"id" : "ITEM-2", "itemData" : { "ISBN" : "9783527314614", "abstract" : "Cite: Tadros, T. (2006) General Principles of Colloid Stability and the Role of Surface Forces, in Colloid Stability: The Role of Surface Forces - Part I, Volume 1 (ed T. F. Tadros), Wiley-VCH Verlag GmbH &amp; Co. KGaA, Weinheim, Germany. doi: 10.1002/9783527631070.ch1", "author" : [ { "dropping-particle" : "", "family" : "Tadros", "given" : "Th. F.", "non-dropping-particle" : "", "parse-names" : false, "suffix" : "" } ], "id" : "ITEM-2", "issued" : { "date-parts" : [ [ "2006" ] ] }, "number-of-pages" : "1-22", "title" : "General Principles of Colloid Stability and the Role of Surface Forces, in Colloid Stability: The Role of Surface Forces - Part I, Volume 1", "type" : "book", "volume" : "1" }, "uris" : [ "http://www.mendeley.com/documents/?uuid=51f437e2-f21a-497f-b791-1cc45fb7b787" ] } ], "mendeley" : { "formattedCitation" : "[79,119]", "plainTextFormattedCitation" : "[79,119]", "previouslyFormattedCitation" : "[79,119]" }, "properties" : { "noteIndex" : 0 }, "schema" : "https://github.com/citation-style-language/schema/raw/master/csl-citation.json" }</w:instrText>
      </w:r>
      <w:r w:rsidR="00D23B90">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[79,119]</w:t>
      </w:r>
      <w:r w:rsidR="00D23B90">
        <w:rPr>
          <w:rFonts w:asciiTheme="minorHAnsi" w:eastAsia="Arial" w:hAnsiTheme="minorHAnsi" w:cs="Arial"/>
          <w:color w:val="000000"/>
          <w:sz w:val="22"/>
          <w:szCs w:val="22"/>
          <w:lang w:eastAsia="en-GB"/>
        </w:rPr>
        <w:fldChar w:fldCharType="end"/>
      </w:r>
      <w:r w:rsidR="00436CD0" w:rsidRPr="00C44D8C">
        <w:rPr>
          <w:rFonts w:asciiTheme="minorHAnsi" w:eastAsia="Arial" w:hAnsiTheme="minorHAnsi" w:cs="Arial"/>
          <w:color w:val="000000"/>
          <w:sz w:val="22"/>
          <w:szCs w:val="22"/>
          <w:lang w:eastAsia="en-GB"/>
        </w:rPr>
        <w:t>. A deep energy minimum at short separation distances can be observed, and is referred to as the primary minimum at which cells become irreversibly attached to a surface. An energy barrier also exists, which separates cells from an abiotic surface at the minimum distance of separation due to short range repulsive forces</w:t>
      </w:r>
      <w:r w:rsidR="00D23B90">
        <w:rPr>
          <w:rFonts w:asciiTheme="minorHAnsi" w:eastAsia="Arial" w:hAnsiTheme="minorHAnsi" w:cs="Arial"/>
          <w:color w:val="000000"/>
          <w:sz w:val="22"/>
          <w:szCs w:val="22"/>
          <w:lang w:eastAsia="en-GB"/>
        </w:rPr>
        <w:t xml:space="preserve"> </w:t>
      </w:r>
      <w:r w:rsidR="00D23B90">
        <w:rPr>
          <w:rFonts w:asciiTheme="minorHAnsi" w:eastAsia="Arial" w:hAnsiTheme="minorHAnsi" w:cs="Arial"/>
          <w:color w:val="000000"/>
          <w:sz w:val="22"/>
          <w:szCs w:val="22"/>
          <w:lang w:eastAsia="en-GB"/>
        </w:rPr>
        <w:fldChar w:fldCharType="begin" w:fldLock="1"/>
      </w:r>
      <w:r w:rsidR="00AF47D2">
        <w:rPr>
          <w:rFonts w:asciiTheme="minorHAnsi" w:eastAsia="Arial" w:hAnsiTheme="minorHAnsi" w:cs="Arial"/>
          <w:color w:val="000000"/>
          <w:sz w:val="22"/>
          <w:szCs w:val="22"/>
          <w:lang w:eastAsia="en-GB"/>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"mendeley" : { "formattedCitation" : "[79]", "plainTextFormattedCitation" : "[79]", "previouslyFormattedCitation" : "[79]" }, "properties" : { "noteIndex" : 0 }, "schema" : "https://github.com/citation-style-language/schema/raw/master/csl-citation.json" }</w:instrText>
      </w:r>
      <w:r w:rsidR="00D23B90">
        <w:rPr>
          <w:rFonts w:asciiTheme="minorHAnsi" w:eastAsia="Arial" w:hAnsiTheme="minorHAnsi" w:cs="Arial"/>
          <w:color w:val="000000"/>
          <w:sz w:val="22"/>
          <w:szCs w:val="22"/>
          <w:lang w:eastAsia="en-GB"/>
        </w:rPr>
        <w:fldChar w:fldCharType="separate"/>
      </w:r>
      <w:r w:rsidR="00AF47D2" w:rsidRPr="00AF47D2">
        <w:rPr>
          <w:rFonts w:asciiTheme="minorHAnsi" w:eastAsia="Arial" w:hAnsiTheme="minorHAnsi" w:cs="Arial"/>
          <w:noProof/>
          <w:color w:val="000000"/>
          <w:sz w:val="22"/>
          <w:szCs w:val="22"/>
          <w:lang w:eastAsia="en-GB"/>
        </w:rPr>
        <w:t>[79]</w:t>
      </w:r>
      <w:r w:rsidR="00D23B90">
        <w:rPr>
          <w:rFonts w:asciiTheme="minorHAnsi" w:eastAsia="Arial" w:hAnsiTheme="minorHAnsi" w:cs="Arial"/>
          <w:color w:val="000000"/>
          <w:sz w:val="22"/>
          <w:szCs w:val="22"/>
          <w:lang w:eastAsia="en-GB"/>
        </w:rPr>
        <w:fldChar w:fldCharType="end"/>
      </w:r>
      <w:r w:rsidR="00D23B90">
        <w:rPr>
          <w:rFonts w:asciiTheme="minorHAnsi" w:eastAsia="Arial" w:hAnsiTheme="minorHAnsi" w:cs="Arial"/>
          <w:color w:val="000000"/>
          <w:sz w:val="22"/>
          <w:szCs w:val="22"/>
          <w:lang w:eastAsia="en-GB"/>
        </w:rPr>
        <w:t>.</w:t>
      </w:r>
      <w:r w:rsidR="00436CD0" w:rsidRPr="00C44D8C">
        <w:rPr>
          <w:rFonts w:asciiTheme="minorHAnsi" w:eastAsia="Arial" w:hAnsiTheme="minorHAnsi" w:cs="Arial"/>
          <w:color w:val="000000"/>
          <w:sz w:val="22"/>
          <w:szCs w:val="22"/>
          <w:lang w:eastAsia="en-GB"/>
        </w:rPr>
        <w:t xml:space="preserve"> Cells need to overcome this energy barrier if they are to transition from the secondary minimum to a more irreversible attachment to a surface </w:t>
      </w:r>
      <w:r w:rsidR="00D23B90">
        <w:rPr>
          <w:rFonts w:asciiTheme="minorHAnsi" w:eastAsia="Arial" w:hAnsiTheme="minorHAnsi" w:cs="Arial"/>
          <w:color w:val="000000"/>
          <w:sz w:val="22"/>
          <w:szCs w:val="22"/>
          <w:lang w:eastAsia="en-GB"/>
        </w:rPr>
        <w:fldChar w:fldCharType="begin" w:fldLock="1"/>
      </w:r>
      <w:r w:rsidR="00AF47D2">
        <w:rPr>
          <w:rFonts w:asciiTheme="minorHAnsi" w:eastAsia="Arial" w:hAnsiTheme="minorHAnsi" w:cs="Arial"/>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D23B90">
        <w:rPr>
          <w:rFonts w:asciiTheme="minorHAnsi" w:eastAsia="Arial" w:hAnsiTheme="minorHAnsi" w:cs="Arial"/>
          <w:color w:val="000000"/>
          <w:sz w:val="22"/>
          <w:szCs w:val="22"/>
          <w:lang w:eastAsia="en-GB"/>
        </w:rPr>
        <w:fldChar w:fldCharType="separate"/>
      </w:r>
      <w:r w:rsidR="00AF47D2" w:rsidRPr="00AF47D2">
        <w:rPr>
          <w:rFonts w:asciiTheme="minorHAnsi" w:eastAsia="Arial" w:hAnsiTheme="minorHAnsi" w:cs="Arial"/>
          <w:noProof/>
          <w:color w:val="000000"/>
          <w:sz w:val="22"/>
          <w:szCs w:val="22"/>
          <w:lang w:eastAsia="en-GB"/>
        </w:rPr>
        <w:t>[63]</w:t>
      </w:r>
      <w:r w:rsidR="00D23B90">
        <w:rPr>
          <w:rFonts w:asciiTheme="minorHAnsi" w:eastAsia="Arial" w:hAnsiTheme="minorHAnsi" w:cs="Arial"/>
          <w:color w:val="000000"/>
          <w:sz w:val="22"/>
          <w:szCs w:val="22"/>
          <w:lang w:eastAsia="en-GB"/>
        </w:rPr>
        <w:fldChar w:fldCharType="end"/>
      </w:r>
      <w:r w:rsidR="00436CD0" w:rsidRPr="00C44D8C">
        <w:rPr>
          <w:rFonts w:asciiTheme="minorHAnsi" w:eastAsia="Arial" w:hAnsiTheme="minorHAnsi" w:cs="Arial"/>
          <w:color w:val="000000"/>
          <w:sz w:val="22"/>
          <w:szCs w:val="22"/>
          <w:lang w:eastAsia="en-GB"/>
        </w:rPr>
        <w:t xml:space="preserve">. </w:t>
      </w:r>
    </w:p>
    <w:p w14:paraId="43B9ACE1" w14:textId="0F583309" w:rsidR="00436CD0" w:rsidRDefault="00436CD0" w:rsidP="00A9324D">
      <w:pPr>
        <w:spacing w:line="360" w:lineRule="auto"/>
        <w:ind w:firstLine="720"/>
        <w:rPr>
          <w:rFonts w:asciiTheme="minorHAnsi" w:eastAsia="Arial" w:hAnsiTheme="minorHAnsi" w:cs="Arial"/>
          <w:color w:val="000000"/>
          <w:sz w:val="22"/>
          <w:szCs w:val="22"/>
          <w:lang w:eastAsia="en-GB"/>
        </w:rPr>
      </w:pPr>
      <w:r w:rsidRPr="00C44D8C">
        <w:rPr>
          <w:rFonts w:asciiTheme="minorHAnsi" w:eastAsia="Arial" w:hAnsiTheme="minorHAnsi" w:cs="Arial"/>
          <w:color w:val="000000"/>
          <w:sz w:val="22"/>
          <w:szCs w:val="22"/>
          <w:lang w:eastAsia="en-GB"/>
        </w:rPr>
        <w:t xml:space="preserve">The size of the energy barrier is dependent on the zeta potential and ionic concentration of the aqueous solution. Increasing the ionic concentration of the aqueous </w:t>
      </w:r>
      <w:r w:rsidRPr="00C44D8C">
        <w:rPr>
          <w:rFonts w:asciiTheme="minorHAnsi" w:eastAsia="Arial" w:hAnsiTheme="minorHAnsi" w:cs="Arial"/>
          <w:color w:val="000000"/>
          <w:sz w:val="22"/>
          <w:szCs w:val="22"/>
          <w:lang w:eastAsia="en-GB"/>
        </w:rPr>
        <w:lastRenderedPageBreak/>
        <w:t>solution decreases the electrostatic interactions due to the shielding effects of the ions in suspension, and this can decrease the energy barrier</w:t>
      </w:r>
      <w:r w:rsidR="00D23B90">
        <w:rPr>
          <w:rFonts w:asciiTheme="minorHAnsi" w:eastAsia="Arial" w:hAnsiTheme="minorHAnsi" w:cs="Arial"/>
          <w:color w:val="000000"/>
          <w:sz w:val="22"/>
          <w:szCs w:val="22"/>
          <w:lang w:eastAsia="en-GB"/>
        </w:rPr>
        <w:t xml:space="preserve"> </w:t>
      </w:r>
      <w:r w:rsidR="00D23B90">
        <w:rPr>
          <w:rFonts w:asciiTheme="minorHAnsi" w:eastAsia="Arial" w:hAnsiTheme="minorHAnsi" w:cs="Arial"/>
          <w:color w:val="000000"/>
          <w:sz w:val="22"/>
          <w:szCs w:val="22"/>
          <w:lang w:eastAsia="en-GB"/>
        </w:rPr>
        <w:fldChar w:fldCharType="begin" w:fldLock="1"/>
      </w:r>
      <w:r w:rsidR="00AF47D2">
        <w:rPr>
          <w:rFonts w:asciiTheme="minorHAnsi" w:eastAsia="Arial" w:hAnsiTheme="minorHAnsi" w:cs="Arial"/>
          <w:color w:val="000000"/>
          <w:sz w:val="22"/>
          <w:szCs w:val="22"/>
          <w:lang w:eastAsia="en-GB"/>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"mendeley" : { "formattedCitation" : "[72]", "plainTextFormattedCitation" : "[72]", "previouslyFormattedCitation" : "[72]" }, "properties" : { "noteIndex" : 0 }, "schema" : "https://github.com/citation-style-language/schema/raw/master/csl-citation.json" }</w:instrText>
      </w:r>
      <w:r w:rsidR="00D23B90">
        <w:rPr>
          <w:rFonts w:asciiTheme="minorHAnsi" w:eastAsia="Arial" w:hAnsiTheme="minorHAnsi" w:cs="Arial"/>
          <w:color w:val="000000"/>
          <w:sz w:val="22"/>
          <w:szCs w:val="22"/>
          <w:lang w:eastAsia="en-GB"/>
        </w:rPr>
        <w:fldChar w:fldCharType="separate"/>
      </w:r>
      <w:r w:rsidR="00AF47D2" w:rsidRPr="00AF47D2">
        <w:rPr>
          <w:rFonts w:asciiTheme="minorHAnsi" w:eastAsia="Arial" w:hAnsiTheme="minorHAnsi" w:cs="Arial"/>
          <w:noProof/>
          <w:color w:val="000000"/>
          <w:sz w:val="22"/>
          <w:szCs w:val="22"/>
          <w:lang w:eastAsia="en-GB"/>
        </w:rPr>
        <w:t>[72]</w:t>
      </w:r>
      <w:r w:rsidR="00D23B90">
        <w:rPr>
          <w:rFonts w:asciiTheme="minorHAnsi" w:eastAsia="Arial" w:hAnsiTheme="minorHAnsi" w:cs="Arial"/>
          <w:color w:val="000000"/>
          <w:sz w:val="22"/>
          <w:szCs w:val="22"/>
          <w:lang w:eastAsia="en-GB"/>
        </w:rPr>
        <w:fldChar w:fldCharType="end"/>
      </w:r>
      <w:r w:rsidRPr="00C44D8C">
        <w:rPr>
          <w:rFonts w:asciiTheme="minorHAnsi" w:eastAsia="Arial" w:hAnsiTheme="minorHAnsi" w:cs="Arial"/>
          <w:color w:val="000000"/>
          <w:sz w:val="22"/>
          <w:szCs w:val="22"/>
          <w:lang w:eastAsia="en-GB"/>
        </w:rPr>
        <w:t>. Therefore, microbial adhesion can be promoted by changing the ionic concentration of the solution. The interaction energies are generally represented by a kT energy scale, owing to the fact that 1 kT is equal to the Brownian motion energy</w:t>
      </w:r>
      <w:r w:rsidR="00D23B90">
        <w:rPr>
          <w:rFonts w:asciiTheme="minorHAnsi" w:eastAsia="Arial" w:hAnsiTheme="minorHAnsi" w:cs="Arial"/>
          <w:color w:val="000000"/>
          <w:sz w:val="22"/>
          <w:szCs w:val="22"/>
          <w:lang w:eastAsia="en-GB"/>
        </w:rPr>
        <w:t xml:space="preserve"> </w:t>
      </w:r>
      <w:r w:rsidR="00D23B90">
        <w:rPr>
          <w:rFonts w:asciiTheme="minorHAnsi" w:eastAsia="Arial" w:hAnsiTheme="minorHAnsi" w:cs="Arial"/>
          <w:color w:val="000000"/>
          <w:sz w:val="22"/>
          <w:szCs w:val="22"/>
          <w:lang w:eastAsia="en-GB"/>
        </w:rPr>
        <w:fldChar w:fldCharType="begin" w:fldLock="1"/>
      </w:r>
      <w:r w:rsidR="00AF47D2">
        <w:rPr>
          <w:rFonts w:asciiTheme="minorHAnsi" w:eastAsia="Arial" w:hAnsiTheme="minorHAnsi" w:cs="Arial"/>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D23B90">
        <w:rPr>
          <w:rFonts w:asciiTheme="minorHAnsi" w:eastAsia="Arial" w:hAnsiTheme="minorHAnsi" w:cs="Arial"/>
          <w:color w:val="000000"/>
          <w:sz w:val="22"/>
          <w:szCs w:val="22"/>
          <w:lang w:eastAsia="en-GB"/>
        </w:rPr>
        <w:fldChar w:fldCharType="separate"/>
      </w:r>
      <w:r w:rsidR="00AF47D2" w:rsidRPr="00AF47D2">
        <w:rPr>
          <w:rFonts w:asciiTheme="minorHAnsi" w:eastAsia="Arial" w:hAnsiTheme="minorHAnsi" w:cs="Arial"/>
          <w:noProof/>
          <w:color w:val="000000"/>
          <w:sz w:val="22"/>
          <w:szCs w:val="22"/>
          <w:lang w:eastAsia="en-GB"/>
        </w:rPr>
        <w:t>[63]</w:t>
      </w:r>
      <w:r w:rsidR="00D23B90">
        <w:rPr>
          <w:rFonts w:asciiTheme="minorHAnsi" w:eastAsia="Arial" w:hAnsiTheme="minorHAnsi" w:cs="Arial"/>
          <w:color w:val="000000"/>
          <w:sz w:val="22"/>
          <w:szCs w:val="22"/>
          <w:lang w:eastAsia="en-GB"/>
        </w:rPr>
        <w:fldChar w:fldCharType="end"/>
      </w:r>
      <w:r w:rsidR="00A9324D">
        <w:rPr>
          <w:rFonts w:asciiTheme="minorHAnsi" w:eastAsia="Arial" w:hAnsiTheme="minorHAnsi" w:cs="Arial"/>
          <w:color w:val="000000"/>
          <w:sz w:val="22"/>
          <w:szCs w:val="22"/>
          <w:lang w:eastAsia="en-GB"/>
        </w:rPr>
        <w:t>.</w:t>
      </w:r>
    </w:p>
    <w:p w14:paraId="5E7CB262" w14:textId="77777777" w:rsidR="00A255E3" w:rsidRDefault="00A255E3" w:rsidP="00A9324D">
      <w:pPr>
        <w:spacing w:line="360" w:lineRule="auto"/>
        <w:ind w:firstLine="720"/>
        <w:rPr>
          <w:rFonts w:asciiTheme="minorHAnsi" w:eastAsia="Arial" w:hAnsiTheme="minorHAnsi" w:cs="Arial"/>
          <w:color w:val="000000"/>
          <w:sz w:val="22"/>
          <w:szCs w:val="22"/>
          <w:lang w:eastAsia="en-GB"/>
        </w:rPr>
      </w:pPr>
    </w:p>
    <w:p w14:paraId="70D44725" w14:textId="77777777" w:rsidR="00A255E3" w:rsidRPr="00C44D8C" w:rsidRDefault="00A255E3" w:rsidP="00A9324D">
      <w:pPr>
        <w:spacing w:line="360" w:lineRule="auto"/>
        <w:ind w:firstLine="720"/>
        <w:rPr>
          <w:rFonts w:asciiTheme="minorHAnsi" w:eastAsia="Arial" w:hAnsiTheme="minorHAnsi" w:cs="Arial"/>
          <w:color w:val="000000"/>
          <w:sz w:val="22"/>
          <w:szCs w:val="22"/>
          <w:lang w:eastAsia="en-GB"/>
        </w:rPr>
      </w:pPr>
    </w:p>
    <w:p w14:paraId="452A02B6" w14:textId="77777777"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582464" behindDoc="0" locked="0" layoutInCell="1" allowOverlap="1" wp14:anchorId="2C16E7B5" wp14:editId="05C3E379">
                <wp:simplePos x="0" y="0"/>
                <wp:positionH relativeFrom="column">
                  <wp:posOffset>2435860</wp:posOffset>
                </wp:positionH>
                <wp:positionV relativeFrom="paragraph">
                  <wp:posOffset>1493699</wp:posOffset>
                </wp:positionV>
                <wp:extent cx="669701" cy="4318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69701" cy="431800"/>
                        </a:xfrm>
                        <a:prstGeom prst="rect">
                          <a:avLst/>
                        </a:prstGeom>
                        <a:solidFill>
                          <a:sysClr val="window" lastClr="FFFFFF"/>
                        </a:solidFill>
                        <a:ln w="6350">
                          <a:noFill/>
                        </a:ln>
                        <a:effectLst/>
                      </wps:spPr>
                      <wps:txbx>
                        <w:txbxContent>
                          <w:p w14:paraId="6B55EB1E" w14:textId="77777777" w:rsidR="007715D2" w:rsidRPr="00B94D0C" w:rsidRDefault="007715D2" w:rsidP="00436CD0">
                            <w:pPr>
                              <w:rPr>
                                <w:rFonts w:ascii="Calibri" w:hAnsi="Calibri"/>
                                <w:sz w:val="22"/>
                                <w:szCs w:val="22"/>
                              </w:rPr>
                            </w:pPr>
                            <w:r w:rsidRPr="00B94D0C">
                              <w:rPr>
                                <w:rFonts w:ascii="Calibri" w:hAnsi="Calibri"/>
                                <w:sz w:val="22"/>
                                <w:szCs w:val="22"/>
                              </w:rPr>
                              <w:t>Energy</w:t>
                            </w:r>
                          </w:p>
                          <w:p w14:paraId="5A29CA65" w14:textId="77777777" w:rsidR="007715D2" w:rsidRPr="00B94D0C" w:rsidRDefault="007715D2" w:rsidP="00436CD0">
                            <w:pPr>
                              <w:rPr>
                                <w:rFonts w:ascii="Calibri" w:hAnsi="Calibri"/>
                                <w:sz w:val="22"/>
                                <w:szCs w:val="22"/>
                              </w:rPr>
                            </w:pPr>
                            <w:r w:rsidRPr="00B94D0C">
                              <w:rPr>
                                <w:rFonts w:ascii="Calibri" w:hAnsi="Calibri"/>
                                <w:sz w:val="22"/>
                                <w:szCs w:val="22"/>
                              </w:rPr>
                              <w:t>barrier</w:t>
                            </w:r>
                          </w:p>
                          <w:p w14:paraId="10465F22" w14:textId="77777777" w:rsidR="007715D2" w:rsidRPr="00436CD0" w:rsidRDefault="007715D2" w:rsidP="00436CD0">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C16E7B5" id="Text Box 19" o:spid="_x0000_s1031" type="#_x0000_t202" style="position:absolute;margin-left:191.8pt;margin-top:117.6pt;width:52.75pt;height:3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" fillcolor="window" stroked="f" strokeweight=".5pt">
                <v:textbox>
                  <w:txbxContent>
                    <w:p w14:paraId="6B55EB1E" w14:textId="77777777" w:rsidR="007715D2" w:rsidRPr="00B94D0C" w:rsidRDefault="007715D2" w:rsidP="00436CD0">
                      <w:pPr>
                        <w:rPr>
                          <w:rFonts w:ascii="Calibri" w:hAnsi="Calibri"/>
                          <w:sz w:val="22"/>
                          <w:szCs w:val="22"/>
                        </w:rPr>
                      </w:pPr>
                      <w:r w:rsidRPr="00B94D0C">
                        <w:rPr>
                          <w:rFonts w:ascii="Calibri" w:hAnsi="Calibri"/>
                          <w:sz w:val="22"/>
                          <w:szCs w:val="22"/>
                        </w:rPr>
                        <w:t>Energy</w:t>
                      </w:r>
                    </w:p>
                    <w:p w14:paraId="5A29CA65" w14:textId="77777777" w:rsidR="007715D2" w:rsidRPr="00B94D0C" w:rsidRDefault="007715D2" w:rsidP="00436CD0">
                      <w:pPr>
                        <w:rPr>
                          <w:rFonts w:ascii="Calibri" w:hAnsi="Calibri"/>
                          <w:sz w:val="22"/>
                          <w:szCs w:val="22"/>
                        </w:rPr>
                      </w:pPr>
                      <w:r w:rsidRPr="00B94D0C">
                        <w:rPr>
                          <w:rFonts w:ascii="Calibri" w:hAnsi="Calibri"/>
                          <w:sz w:val="22"/>
                          <w:szCs w:val="22"/>
                        </w:rPr>
                        <w:t>barrier</w:t>
                      </w:r>
                    </w:p>
                    <w:p w14:paraId="10465F22" w14:textId="77777777" w:rsidR="007715D2" w:rsidRPr="00436CD0" w:rsidRDefault="007715D2" w:rsidP="00436CD0">
                      <w:pPr>
                        <w:rPr>
                          <w:rFonts w:ascii="Calibri" w:hAnsi="Calibri"/>
                        </w:rPr>
                      </w:pP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590656" behindDoc="0" locked="0" layoutInCell="1" allowOverlap="1" wp14:anchorId="46FA4ED5" wp14:editId="0BAF0BDC">
                <wp:simplePos x="0" y="0"/>
                <wp:positionH relativeFrom="column">
                  <wp:posOffset>2614930</wp:posOffset>
                </wp:positionH>
                <wp:positionV relativeFrom="paragraph">
                  <wp:posOffset>689187</wp:posOffset>
                </wp:positionV>
                <wp:extent cx="1659255" cy="262255"/>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1659255" cy="262255"/>
                        </a:xfrm>
                        <a:prstGeom prst="rect">
                          <a:avLst/>
                        </a:prstGeom>
                        <a:solidFill>
                          <a:sysClr val="window" lastClr="FFFFFF"/>
                        </a:solidFill>
                        <a:ln w="6350">
                          <a:noFill/>
                        </a:ln>
                        <a:effectLst/>
                      </wps:spPr>
                      <wps:txbx>
                        <w:txbxContent>
                          <w:p w14:paraId="328A7CC8" w14:textId="77777777" w:rsidR="007715D2" w:rsidRPr="00B94D0C" w:rsidRDefault="007715D2" w:rsidP="00436CD0">
                            <w:pPr>
                              <w:rPr>
                                <w:rFonts w:ascii="Calibri" w:hAnsi="Calibri"/>
                                <w:color w:val="0070C0"/>
                                <w:sz w:val="22"/>
                                <w:szCs w:val="22"/>
                              </w:rPr>
                            </w:pPr>
                            <w:r w:rsidRPr="00B94D0C">
                              <w:rPr>
                                <w:rFonts w:ascii="Calibri" w:hAnsi="Calibri"/>
                                <w:color w:val="0070C0"/>
                                <w:sz w:val="22"/>
                                <w:szCs w:val="22"/>
                              </w:rPr>
                              <w:t>Electrostatic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6FA4ED5" id="Text Box 20" o:spid="_x0000_s1032" type="#_x0000_t202" style="position:absolute;margin-left:205.9pt;margin-top:54.25pt;width:130.65pt;height:20.6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" fillcolor="window" stroked="f" strokeweight=".5pt">
                <v:textbox>
                  <w:txbxContent>
                    <w:p w14:paraId="328A7CC8" w14:textId="77777777" w:rsidR="007715D2" w:rsidRPr="00B94D0C" w:rsidRDefault="007715D2" w:rsidP="00436CD0">
                      <w:pPr>
                        <w:rPr>
                          <w:rFonts w:ascii="Calibri" w:hAnsi="Calibri"/>
                          <w:color w:val="0070C0"/>
                          <w:sz w:val="22"/>
                          <w:szCs w:val="22"/>
                        </w:rPr>
                      </w:pPr>
                      <w:r w:rsidRPr="00B94D0C">
                        <w:rPr>
                          <w:rFonts w:ascii="Calibri" w:hAnsi="Calibri"/>
                          <w:color w:val="0070C0"/>
                          <w:sz w:val="22"/>
                          <w:szCs w:val="22"/>
                        </w:rPr>
                        <w:t>Electrostatic forces</w:t>
                      </w: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15232" behindDoc="0" locked="0" layoutInCell="1" allowOverlap="1" wp14:anchorId="5566BF87" wp14:editId="61CE7841">
                <wp:simplePos x="0" y="0"/>
                <wp:positionH relativeFrom="column">
                  <wp:posOffset>279083</wp:posOffset>
                </wp:positionH>
                <wp:positionV relativeFrom="paragraph">
                  <wp:posOffset>1355195</wp:posOffset>
                </wp:positionV>
                <wp:extent cx="1422400" cy="262467"/>
                <wp:effectExtent l="8572" t="0" r="0" b="0"/>
                <wp:wrapNone/>
                <wp:docPr id="23" name="Text Box 23"/>
                <wp:cNvGraphicFramePr/>
                <a:graphic xmlns:a="http://schemas.openxmlformats.org/drawingml/2006/main">
                  <a:graphicData uri="http://schemas.microsoft.com/office/word/2010/wordprocessingShape">
                    <wps:wsp>
                      <wps:cNvSpPr txBox="1"/>
                      <wps:spPr>
                        <a:xfrm rot="16200000">
                          <a:off x="0" y="0"/>
                          <a:ext cx="1422400" cy="262467"/>
                        </a:xfrm>
                        <a:prstGeom prst="rect">
                          <a:avLst/>
                        </a:prstGeom>
                        <a:solidFill>
                          <a:sysClr val="window" lastClr="FFFFFF"/>
                        </a:solidFill>
                        <a:ln w="6350">
                          <a:noFill/>
                        </a:ln>
                        <a:effectLst/>
                      </wps:spPr>
                      <wps:txbx>
                        <w:txbxContent>
                          <w:p w14:paraId="43D9CE8D" w14:textId="77777777" w:rsidR="007715D2" w:rsidRPr="00B94D0C" w:rsidRDefault="007715D2" w:rsidP="00436CD0">
                            <w:pPr>
                              <w:rPr>
                                <w:rFonts w:ascii="Calibri" w:hAnsi="Calibri"/>
                                <w:b/>
                                <w:i/>
                                <w:sz w:val="22"/>
                                <w:szCs w:val="22"/>
                              </w:rPr>
                            </w:pPr>
                            <w:r w:rsidRPr="00B94D0C">
                              <w:rPr>
                                <w:rFonts w:ascii="Calibri" w:hAnsi="Calibri"/>
                                <w:b/>
                                <w:i/>
                                <w:sz w:val="22"/>
                                <w:szCs w:val="22"/>
                              </w:rPr>
                              <w:t>Interaction energy (Kt)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566BF87" id="Text Box 23" o:spid="_x0000_s1033" type="#_x0000_t202" style="position:absolute;margin-left:22pt;margin-top:106.7pt;width:112pt;height:20.65pt;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" fillcolor="window" stroked="f" strokeweight=".5pt">
                <v:textbox>
                  <w:txbxContent>
                    <w:p w14:paraId="43D9CE8D" w14:textId="77777777" w:rsidR="007715D2" w:rsidRPr="00B94D0C" w:rsidRDefault="007715D2" w:rsidP="00436CD0">
                      <w:pPr>
                        <w:rPr>
                          <w:rFonts w:ascii="Calibri" w:hAnsi="Calibri"/>
                          <w:b/>
                          <w:i/>
                          <w:sz w:val="22"/>
                          <w:szCs w:val="22"/>
                        </w:rPr>
                      </w:pPr>
                      <w:r w:rsidRPr="00B94D0C">
                        <w:rPr>
                          <w:rFonts w:ascii="Calibri" w:hAnsi="Calibri"/>
                          <w:b/>
                          <w:i/>
                          <w:sz w:val="22"/>
                          <w:szCs w:val="22"/>
                        </w:rPr>
                        <w:t>Interaction energy (Kt)</w:t>
                      </w: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07040" behindDoc="0" locked="0" layoutInCell="1" allowOverlap="1" wp14:anchorId="48E84A20" wp14:editId="127098C7">
                <wp:simplePos x="0" y="0"/>
                <wp:positionH relativeFrom="column">
                  <wp:posOffset>4545118</wp:posOffset>
                </wp:positionH>
                <wp:positionV relativeFrom="paragraph">
                  <wp:posOffset>1871980</wp:posOffset>
                </wp:positionV>
                <wp:extent cx="897467" cy="245533"/>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897467" cy="245533"/>
                        </a:xfrm>
                        <a:prstGeom prst="rect">
                          <a:avLst/>
                        </a:prstGeom>
                        <a:solidFill>
                          <a:sysClr val="window" lastClr="FFFFFF"/>
                        </a:solidFill>
                        <a:ln w="6350">
                          <a:noFill/>
                        </a:ln>
                        <a:effectLst/>
                      </wps:spPr>
                      <wps:txbx>
                        <w:txbxContent>
                          <w:p w14:paraId="481B14F7" w14:textId="77777777" w:rsidR="007715D2" w:rsidRPr="00B94D0C" w:rsidRDefault="007715D2" w:rsidP="00436CD0">
                            <w:pPr>
                              <w:rPr>
                                <w:rFonts w:ascii="Calibri" w:hAnsi="Calibri"/>
                                <w:b/>
                                <w:i/>
                                <w:sz w:val="22"/>
                                <w:szCs w:val="22"/>
                              </w:rPr>
                            </w:pPr>
                            <w:r w:rsidRPr="00B94D0C">
                              <w:rPr>
                                <w:rFonts w:ascii="Calibri" w:hAnsi="Calibri"/>
                                <w:b/>
                                <w:i/>
                                <w:sz w:val="22"/>
                                <w:szCs w:val="22"/>
                              </w:rPr>
                              <w:t>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E84A20" id="Text Box 22" o:spid="_x0000_s1034" type="#_x0000_t202" style="position:absolute;margin-left:357.9pt;margin-top:147.4pt;width:70.65pt;height:19.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" fillcolor="window" stroked="f" strokeweight=".5pt">
                <v:textbox>
                  <w:txbxContent>
                    <w:p w14:paraId="481B14F7" w14:textId="77777777" w:rsidR="007715D2" w:rsidRPr="00B94D0C" w:rsidRDefault="007715D2" w:rsidP="00436CD0">
                      <w:pPr>
                        <w:rPr>
                          <w:rFonts w:ascii="Calibri" w:hAnsi="Calibri"/>
                          <w:b/>
                          <w:i/>
                          <w:sz w:val="22"/>
                          <w:szCs w:val="22"/>
                        </w:rPr>
                      </w:pPr>
                      <w:r w:rsidRPr="00B94D0C">
                        <w:rPr>
                          <w:rFonts w:ascii="Calibri" w:hAnsi="Calibri"/>
                          <w:b/>
                          <w:i/>
                          <w:sz w:val="22"/>
                          <w:szCs w:val="22"/>
                        </w:rPr>
                        <w:t>Distance</w:t>
                      </w: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594752" behindDoc="0" locked="0" layoutInCell="1" allowOverlap="1" wp14:anchorId="04A1B408" wp14:editId="4A84510D">
                <wp:simplePos x="0" y="0"/>
                <wp:positionH relativeFrom="column">
                  <wp:posOffset>1957282</wp:posOffset>
                </wp:positionH>
                <wp:positionV relativeFrom="paragraph">
                  <wp:posOffset>2832100</wp:posOffset>
                </wp:positionV>
                <wp:extent cx="1659255" cy="26225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1659255" cy="262255"/>
                        </a:xfrm>
                        <a:prstGeom prst="rect">
                          <a:avLst/>
                        </a:prstGeom>
                        <a:solidFill>
                          <a:sysClr val="window" lastClr="FFFFFF"/>
                        </a:solidFill>
                        <a:ln w="6350">
                          <a:noFill/>
                        </a:ln>
                        <a:effectLst/>
                      </wps:spPr>
                      <wps:txbx>
                        <w:txbxContent>
                          <w:p w14:paraId="6AA4693E" w14:textId="77777777" w:rsidR="007715D2" w:rsidRPr="00436CD0" w:rsidRDefault="007715D2" w:rsidP="00436CD0">
                            <w:pPr>
                              <w:rPr>
                                <w:rFonts w:ascii="Calibri" w:hAnsi="Calibri"/>
                                <w:color w:val="0070C0"/>
                              </w:rPr>
                            </w:pPr>
                            <w:r w:rsidRPr="00436CD0">
                              <w:rPr>
                                <w:rFonts w:ascii="Calibri" w:hAnsi="Calibri"/>
                                <w:color w:val="0070C0"/>
                              </w:rPr>
                              <w:t>Van der Waals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4A1B408" id="Text Box 21" o:spid="_x0000_s1035" type="#_x0000_t202" style="position:absolute;margin-left:154.1pt;margin-top:223pt;width:130.65pt;height:20.6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" fillcolor="window" stroked="f" strokeweight=".5pt">
                <v:textbox>
                  <w:txbxContent>
                    <w:p w14:paraId="6AA4693E" w14:textId="77777777" w:rsidR="007715D2" w:rsidRPr="00436CD0" w:rsidRDefault="007715D2" w:rsidP="00436CD0">
                      <w:pPr>
                        <w:rPr>
                          <w:rFonts w:ascii="Calibri" w:hAnsi="Calibri"/>
                          <w:color w:val="0070C0"/>
                        </w:rPr>
                      </w:pPr>
                      <w:r w:rsidRPr="00436CD0">
                        <w:rPr>
                          <w:rFonts w:ascii="Calibri" w:hAnsi="Calibri"/>
                          <w:color w:val="0070C0"/>
                        </w:rPr>
                        <w:t>Van der Waals forces</w:t>
                      </w: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578368" behindDoc="0" locked="0" layoutInCell="1" allowOverlap="1" wp14:anchorId="512637C3" wp14:editId="42361E17">
                <wp:simplePos x="0" y="0"/>
                <wp:positionH relativeFrom="column">
                  <wp:posOffset>1495637</wp:posOffset>
                </wp:positionH>
                <wp:positionV relativeFrom="paragraph">
                  <wp:posOffset>3316605</wp:posOffset>
                </wp:positionV>
                <wp:extent cx="1659255" cy="26225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659255" cy="262255"/>
                        </a:xfrm>
                        <a:prstGeom prst="rect">
                          <a:avLst/>
                        </a:prstGeom>
                        <a:solidFill>
                          <a:sysClr val="window" lastClr="FFFFFF"/>
                        </a:solidFill>
                        <a:ln w="6350">
                          <a:noFill/>
                        </a:ln>
                        <a:effectLst/>
                      </wps:spPr>
                      <wps:txbx>
                        <w:txbxContent>
                          <w:p w14:paraId="32A59D97" w14:textId="77777777" w:rsidR="007715D2" w:rsidRPr="00B94D0C" w:rsidRDefault="007715D2" w:rsidP="00436CD0">
                            <w:pPr>
                              <w:rPr>
                                <w:rFonts w:ascii="Calibri" w:hAnsi="Calibri"/>
                                <w:sz w:val="22"/>
                                <w:szCs w:val="22"/>
                              </w:rPr>
                            </w:pPr>
                            <w:r w:rsidRPr="00B94D0C">
                              <w:rPr>
                                <w:rFonts w:ascii="Calibri" w:hAnsi="Calibri"/>
                                <w:sz w:val="22"/>
                                <w:szCs w:val="22"/>
                              </w:rPr>
                              <w:t>Primary minimum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12637C3" id="Text Box 7" o:spid="_x0000_s1036" type="#_x0000_t202" style="position:absolute;margin-left:117.75pt;margin-top:261.15pt;width:130.65pt;height:20.6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" fillcolor="window" stroked="f" strokeweight=".5pt">
                <v:textbox>
                  <w:txbxContent>
                    <w:p w14:paraId="32A59D97" w14:textId="77777777" w:rsidR="007715D2" w:rsidRPr="00B94D0C" w:rsidRDefault="007715D2" w:rsidP="00436CD0">
                      <w:pPr>
                        <w:rPr>
                          <w:rFonts w:ascii="Calibri" w:hAnsi="Calibri"/>
                          <w:sz w:val="22"/>
                          <w:szCs w:val="22"/>
                        </w:rPr>
                      </w:pPr>
                      <w:r w:rsidRPr="00B94D0C">
                        <w:rPr>
                          <w:rFonts w:ascii="Calibri" w:hAnsi="Calibri"/>
                          <w:sz w:val="22"/>
                          <w:szCs w:val="22"/>
                        </w:rPr>
                        <w:t>Primary minimum</w:t>
                      </w: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598848" behindDoc="0" locked="0" layoutInCell="1" allowOverlap="1" wp14:anchorId="312D2190" wp14:editId="2B6D568C">
                <wp:simplePos x="0" y="0"/>
                <wp:positionH relativeFrom="column">
                  <wp:posOffset>1319530</wp:posOffset>
                </wp:positionH>
                <wp:positionV relativeFrom="paragraph">
                  <wp:posOffset>902546</wp:posOffset>
                </wp:positionV>
                <wp:extent cx="618067" cy="254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18067" cy="254000"/>
                        </a:xfrm>
                        <a:prstGeom prst="rect">
                          <a:avLst/>
                        </a:prstGeom>
                        <a:solidFill>
                          <a:sysClr val="window" lastClr="FFFFFF"/>
                        </a:solidFill>
                        <a:ln w="6350">
                          <a:noFill/>
                        </a:ln>
                        <a:effectLst/>
                      </wps:spPr>
                      <wps:txbx>
                        <w:txbxContent>
                          <w:p w14:paraId="6757527D" w14:textId="77777777" w:rsidR="007715D2" w:rsidRPr="00B94D0C" w:rsidRDefault="007715D2" w:rsidP="00436CD0">
                            <w:pPr>
                              <w:rPr>
                                <w:rFonts w:ascii="Calibri" w:hAnsi="Calibri"/>
                                <w:b/>
                                <w:color w:val="FF0000"/>
                                <w:sz w:val="22"/>
                                <w:szCs w:val="22"/>
                              </w:rPr>
                            </w:pPr>
                            <w:r w:rsidRPr="00B94D0C">
                              <w:rPr>
                                <w:rFonts w:ascii="Calibri" w:hAnsi="Calibri"/>
                                <w:b/>
                                <w:color w:val="FF0000"/>
                                <w:sz w:val="22"/>
                                <w:szCs w:val="22"/>
                              </w:rPr>
                              <w:t>DLVO</w:t>
                            </w:r>
                          </w:p>
                          <w:p w14:paraId="1C04773B" w14:textId="77777777" w:rsidR="007715D2" w:rsidRPr="00436CD0" w:rsidRDefault="007715D2" w:rsidP="00436CD0">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12D2190" id="Text Box 18" o:spid="_x0000_s1037" type="#_x0000_t202" style="position:absolute;margin-left:103.9pt;margin-top:71.05pt;width:48.65pt;height:2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" fillcolor="window" stroked="f" strokeweight=".5pt">
                <v:textbox>
                  <w:txbxContent>
                    <w:p w14:paraId="6757527D" w14:textId="77777777" w:rsidR="007715D2" w:rsidRPr="00B94D0C" w:rsidRDefault="007715D2" w:rsidP="00436CD0">
                      <w:pPr>
                        <w:rPr>
                          <w:rFonts w:ascii="Calibri" w:hAnsi="Calibri"/>
                          <w:b/>
                          <w:color w:val="FF0000"/>
                          <w:sz w:val="22"/>
                          <w:szCs w:val="22"/>
                        </w:rPr>
                      </w:pPr>
                      <w:r w:rsidRPr="00B94D0C">
                        <w:rPr>
                          <w:rFonts w:ascii="Calibri" w:hAnsi="Calibri"/>
                          <w:b/>
                          <w:color w:val="FF0000"/>
                          <w:sz w:val="22"/>
                          <w:szCs w:val="22"/>
                        </w:rPr>
                        <w:t>DLVO</w:t>
                      </w:r>
                    </w:p>
                    <w:p w14:paraId="1C04773B" w14:textId="77777777" w:rsidR="007715D2" w:rsidRPr="00436CD0" w:rsidRDefault="007715D2" w:rsidP="00436CD0">
                      <w:pPr>
                        <w:rPr>
                          <w:rFonts w:ascii="Calibri" w:hAnsi="Calibri"/>
                        </w:rPr>
                      </w:pP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35712" behindDoc="0" locked="0" layoutInCell="1" allowOverlap="1" wp14:anchorId="1C9E0C68" wp14:editId="764EB98F">
                <wp:simplePos x="0" y="0"/>
                <wp:positionH relativeFrom="column">
                  <wp:posOffset>2911475</wp:posOffset>
                </wp:positionH>
                <wp:positionV relativeFrom="paragraph">
                  <wp:posOffset>2502535</wp:posOffset>
                </wp:positionV>
                <wp:extent cx="1659467" cy="262466"/>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1659467" cy="262466"/>
                        </a:xfrm>
                        <a:prstGeom prst="rect">
                          <a:avLst/>
                        </a:prstGeom>
                        <a:solidFill>
                          <a:sysClr val="window" lastClr="FFFFFF"/>
                        </a:solidFill>
                        <a:ln w="6350">
                          <a:noFill/>
                        </a:ln>
                        <a:effectLst/>
                      </wps:spPr>
                      <wps:txbx>
                        <w:txbxContent>
                          <w:p w14:paraId="3859F323" w14:textId="77777777" w:rsidR="007715D2" w:rsidRPr="00B94D0C" w:rsidRDefault="007715D2" w:rsidP="00436CD0">
                            <w:pPr>
                              <w:rPr>
                                <w:rFonts w:ascii="Calibri" w:hAnsi="Calibri"/>
                                <w:sz w:val="22"/>
                                <w:szCs w:val="22"/>
                              </w:rPr>
                            </w:pPr>
                            <w:r w:rsidRPr="00B94D0C">
                              <w:rPr>
                                <w:rFonts w:ascii="Calibri" w:hAnsi="Calibri"/>
                                <w:sz w:val="22"/>
                                <w:szCs w:val="22"/>
                              </w:rPr>
                              <w:t>Secondary minimum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C9E0C68" id="Text Box 10" o:spid="_x0000_s1038" type="#_x0000_t202" style="position:absolute;margin-left:229.25pt;margin-top:197.05pt;width:130.65pt;height:20.6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" fillcolor="window" stroked="f" strokeweight=".5pt">
                <v:textbox>
                  <w:txbxContent>
                    <w:p w14:paraId="3859F323" w14:textId="77777777" w:rsidR="007715D2" w:rsidRPr="00B94D0C" w:rsidRDefault="007715D2" w:rsidP="00436CD0">
                      <w:pPr>
                        <w:rPr>
                          <w:rFonts w:ascii="Calibri" w:hAnsi="Calibri"/>
                          <w:sz w:val="22"/>
                          <w:szCs w:val="22"/>
                        </w:rPr>
                      </w:pPr>
                      <w:r w:rsidRPr="00B94D0C">
                        <w:rPr>
                          <w:rFonts w:ascii="Calibri" w:hAnsi="Calibri"/>
                          <w:sz w:val="22"/>
                          <w:szCs w:val="22"/>
                        </w:rPr>
                        <w:t>Secondary minimum</w:t>
                      </w:r>
                    </w:p>
                  </w:txbxContent>
                </v:textbox>
              </v:shape>
            </w:pict>
          </mc:Fallback>
        </mc:AlternateContent>
      </w: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39808" behindDoc="1" locked="0" layoutInCell="1" allowOverlap="1" wp14:anchorId="4531A39A" wp14:editId="1C5E2024">
                <wp:simplePos x="0" y="0"/>
                <wp:positionH relativeFrom="column">
                  <wp:posOffset>2461260</wp:posOffset>
                </wp:positionH>
                <wp:positionV relativeFrom="paragraph">
                  <wp:posOffset>1105535</wp:posOffset>
                </wp:positionV>
                <wp:extent cx="609600" cy="491066"/>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609600" cy="491066"/>
                        </a:xfrm>
                        <a:prstGeom prst="rect">
                          <a:avLst/>
                        </a:prstGeom>
                        <a:solidFill>
                          <a:sysClr val="window" lastClr="FFFFFF"/>
                        </a:solidFill>
                        <a:ln w="6350">
                          <a:noFill/>
                        </a:ln>
                        <a:effectLst/>
                      </wps:spPr>
                      <wps:txbx>
                        <w:txbxContent>
                          <w:p w14:paraId="1348E7E6" w14:textId="77777777" w:rsidR="007715D2" w:rsidRPr="00436CD0" w:rsidRDefault="007715D2" w:rsidP="00436CD0">
                            <w:pPr>
                              <w:rPr>
                                <w:rFonts w:ascii="Calibri" w:hAnsi="Calibri"/>
                              </w:rPr>
                            </w:pPr>
                            <w:r w:rsidRPr="00436CD0">
                              <w:rPr>
                                <w:rFonts w:ascii="Calibri" w:hAnsi="Calibri"/>
                              </w:rPr>
                              <w:t>Energy</w:t>
                            </w:r>
                          </w:p>
                          <w:p w14:paraId="6EF52F34" w14:textId="77777777" w:rsidR="007715D2" w:rsidRPr="00436CD0" w:rsidRDefault="007715D2" w:rsidP="00436CD0">
                            <w:pPr>
                              <w:rPr>
                                <w:rFonts w:ascii="Calibri" w:hAnsi="Calibri"/>
                              </w:rPr>
                            </w:pPr>
                            <w:r w:rsidRPr="00436CD0">
                              <w:rPr>
                                <w:rFonts w:ascii="Calibri" w:hAnsi="Calibri"/>
                              </w:rPr>
                              <w:t>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531A39A" id="Text Box 11" o:spid="_x0000_s1039" type="#_x0000_t202" style="position:absolute;margin-left:193.8pt;margin-top:87.05pt;width:48pt;height:3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" fillcolor="window" stroked="f" strokeweight=".5pt">
                <v:textbox>
                  <w:txbxContent>
                    <w:p w14:paraId="1348E7E6" w14:textId="77777777" w:rsidR="007715D2" w:rsidRPr="00436CD0" w:rsidRDefault="007715D2" w:rsidP="00436CD0">
                      <w:pPr>
                        <w:rPr>
                          <w:rFonts w:ascii="Calibri" w:hAnsi="Calibri"/>
                        </w:rPr>
                      </w:pPr>
                      <w:r w:rsidRPr="00436CD0">
                        <w:rPr>
                          <w:rFonts w:ascii="Calibri" w:hAnsi="Calibri"/>
                        </w:rPr>
                        <w:t>Energy</w:t>
                      </w:r>
                    </w:p>
                    <w:p w14:paraId="6EF52F34" w14:textId="77777777" w:rsidR="007715D2" w:rsidRPr="00436CD0" w:rsidRDefault="007715D2" w:rsidP="00436CD0">
                      <w:pPr>
                        <w:rPr>
                          <w:rFonts w:ascii="Calibri" w:hAnsi="Calibri"/>
                        </w:rPr>
                      </w:pPr>
                      <w:r w:rsidRPr="00436CD0">
                        <w:rPr>
                          <w:rFonts w:ascii="Calibri" w:hAnsi="Calibri"/>
                        </w:rPr>
                        <w:t>barrier</w:t>
                      </w:r>
                    </w:p>
                  </w:txbxContent>
                </v:textbox>
              </v:shape>
            </w:pict>
          </mc:Fallback>
        </mc:AlternateContent>
      </w:r>
      <w:r w:rsidRPr="00C44D8C">
        <w:rPr>
          <w:rFonts w:asciiTheme="minorHAnsi" w:eastAsia="Arial" w:hAnsiTheme="minorHAnsi" w:cs="Arial"/>
          <w:noProof/>
          <w:color w:val="000000"/>
          <w:sz w:val="22"/>
          <w:szCs w:val="22"/>
          <w:lang w:eastAsia="en-GB"/>
        </w:rPr>
        <w:drawing>
          <wp:inline distT="0" distB="0" distL="0" distR="0" wp14:anchorId="6203CCB5" wp14:editId="381CC963">
            <wp:extent cx="5352203" cy="3631797"/>
            <wp:effectExtent l="0" t="0" r="127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lvo model lit review.tif"/>
                    <pic:cNvPicPr/>
                  </pic:nvPicPr>
                  <pic:blipFill>
                    <a:blip r:embed="rId20">
                      <a:extLst>
                        <a:ext uri="{28A0092B-C50C-407E-A947-70E740481C1C}">
                          <a14:useLocalDpi xmlns:a14="http://schemas.microsoft.com/office/drawing/2010/main" val="0"/>
                        </a:ext>
                      </a:extLst>
                    </a:blip>
                    <a:stretch>
                      <a:fillRect/>
                    </a:stretch>
                  </pic:blipFill>
                  <pic:spPr>
                    <a:xfrm>
                      <a:off x="0" y="0"/>
                      <a:ext cx="5352203" cy="3631797"/>
                    </a:xfrm>
                    <a:prstGeom prst="rect">
                      <a:avLst/>
                    </a:prstGeom>
                  </pic:spPr>
                </pic:pic>
              </a:graphicData>
            </a:graphic>
          </wp:inline>
        </w:drawing>
      </w:r>
    </w:p>
    <w:p w14:paraId="59689AFD" w14:textId="77777777" w:rsidR="00D20D2A" w:rsidRDefault="00D20D2A" w:rsidP="00D20D2A">
      <w:pPr>
        <w:spacing w:line="360" w:lineRule="auto"/>
        <w:rPr>
          <w:rFonts w:asciiTheme="minorHAnsi" w:eastAsia="Arial" w:hAnsiTheme="minorHAnsi" w:cs="Arial"/>
          <w:b/>
          <w:color w:val="000000"/>
          <w:sz w:val="22"/>
          <w:szCs w:val="22"/>
          <w:lang w:eastAsia="en-GB"/>
        </w:rPr>
      </w:pPr>
    </w:p>
    <w:p w14:paraId="1D0EB800" w14:textId="77777777" w:rsidR="00D20D2A" w:rsidRDefault="00436CD0" w:rsidP="00D20D2A">
      <w:pPr>
        <w:spacing w:line="360" w:lineRule="auto"/>
        <w:rPr>
          <w:rFonts w:asciiTheme="minorHAnsi" w:eastAsia="Arial" w:hAnsiTheme="minorHAnsi" w:cs="Arial"/>
          <w:color w:val="000000"/>
          <w:sz w:val="22"/>
          <w:szCs w:val="22"/>
          <w:lang w:eastAsia="en-GB"/>
        </w:rPr>
      </w:pPr>
      <w:r w:rsidRPr="00C44D8C">
        <w:rPr>
          <w:rFonts w:asciiTheme="minorHAnsi" w:eastAsia="Arial" w:hAnsiTheme="minorHAnsi" w:cs="Arial"/>
          <w:b/>
          <w:color w:val="000000"/>
          <w:sz w:val="22"/>
          <w:szCs w:val="22"/>
          <w:lang w:eastAsia="en-GB"/>
        </w:rPr>
        <w:t xml:space="preserve">Fig. 2.8 </w:t>
      </w:r>
      <w:r w:rsidRPr="00C44D8C">
        <w:rPr>
          <w:rFonts w:asciiTheme="minorHAnsi" w:eastAsia="Arial" w:hAnsiTheme="minorHAnsi" w:cs="Arial"/>
          <w:color w:val="000000"/>
          <w:sz w:val="22"/>
          <w:szCs w:val="22"/>
          <w:lang w:eastAsia="en-GB"/>
        </w:rPr>
        <w:t>Typical DLVO interaction energy profiles and the influence of the electrostatic and van der Waals forces.</w:t>
      </w:r>
    </w:p>
    <w:p w14:paraId="49106958" w14:textId="77777777" w:rsidR="00D20D2A" w:rsidRDefault="00D20D2A" w:rsidP="00D20D2A">
      <w:pPr>
        <w:spacing w:line="360" w:lineRule="auto"/>
        <w:rPr>
          <w:rFonts w:asciiTheme="minorHAnsi" w:eastAsia="Arial" w:hAnsiTheme="minorHAnsi" w:cs="Arial"/>
          <w:color w:val="000000"/>
          <w:sz w:val="22"/>
          <w:szCs w:val="22"/>
          <w:lang w:eastAsia="en-GB"/>
        </w:rPr>
      </w:pPr>
    </w:p>
    <w:p w14:paraId="4D5DB217" w14:textId="15F5446C" w:rsidR="00436CD0" w:rsidRPr="00C44D8C" w:rsidRDefault="00436CD0" w:rsidP="00D20D2A">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However, the DLVO model only describes the contribution of a small fraction of the possible interactions occurring at the microbe-abiotic interface that are influential in microbial adhesion </w:t>
      </w:r>
      <w:r w:rsidR="00D23B90">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"1473-2262", "PMID" : "15593018", "abstract" : "This article reviews the mechanisms of bacterial adhesion to biomaterial surfaces, the factors affecting the adhesion, the techniques used in estimating bacteria-material interactions and the models that have been developed in order to predict adhesion. The process of bacterial adhesion includes an initial physicochemical interaction phase and a late molecular and cellular one. It is a complicated process influenced by many factors, including the bacterial properties, the material surface characteristics, the environmental factors, such as the presence of serum proteins and the associated flow conditions. Two categories of techniques used in estimating bacteria-material interactions are described: those that utilize fluid flowing against the adhered bacteria and counting the percentage of bacteria that detach, and those that manipulate single bacteria in various configurations which lend themselves to more specific force application and provide the basis for theoretical analysis of the receptor-ligand interactions. The theories that are reviewed are the Derjaguin-Landau-Verwey-Overbeek (DLVO) theory, the thermodynamic approach and the extended DLVO theory. Over the years, significant work has been done to investigate the process of bacterial adhesion to biomaterial surfaces, however a lot of questions still remain unanswered.", "author" : [ { "dropping-particle" : "", "family" : "Katsikogianni", "given" : "M", "non-dropping-particle" : "", "parse-names" : false, "suffix" : "" }, { "dropping-particle" : "", "family" : "Missirlis", "given" : "Y F", "non-dropping-particle" : "", "parse-names" : false, "suffix" : "" } ], "container-title" : "European cells &amp; materials", "id" : "ITEM-1", "issued" : { "date-parts" : [ [ "2004", "12", "7" ] ] }, "page" : "37-57", "title" : "Concise review of mechanisms of bacterial adhesion to biomaterials and of techniques used in estimating bacteria-material interactions.", "type" : "article-journal", "volume" : "8" }, "uris" : [ "http://www.mendeley.com/documents/?uuid=4eda8098-d6b0-46bf-a937-897b50c8ad2c" ] } ], "mendeley" : { "formattedCitation" : "[66]", "plainTextFormattedCitation" : "[66]", "previouslyFormattedCitation" : "[66]" }, "properties" : { "noteIndex" : 0 }, "schema" : "https://github.com/citation-style-language/schema/raw/master/csl-citation.json" }</w:instrText>
      </w:r>
      <w:r w:rsidR="00D23B90">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[66]</w:t>
      </w:r>
      <w:r w:rsidR="00D23B90">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 microbial cell surface is covered by surface polymers and structures, such as pili and capsule material, which can also interact with the abiotic surface and take part in microbial adhesion</w:t>
      </w:r>
      <w:r w:rsidR="00D23B90">
        <w:rPr>
          <w:rFonts w:asciiTheme="minorHAnsi" w:eastAsia="Calibri" w:hAnsiTheme="minorHAnsi" w:cs="Calibri"/>
          <w:color w:val="000000"/>
          <w:sz w:val="22"/>
          <w:szCs w:val="22"/>
          <w:lang w:eastAsia="en-GB"/>
        </w:rPr>
        <w:t xml:space="preserve"> </w:t>
      </w:r>
      <w:r w:rsidR="00D23B90">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"mendeley" : { "formattedCitation" : "[79]", "plainTextFormattedCitation" : "[79]", "previouslyFormattedCitation" : "[79]" }, "properties" : { "noteIndex" : 0 }, "schema" : "https://github.com/citation-style-language/schema/raw/master/csl-citation.json" }</w:instrText>
      </w:r>
      <w:r w:rsidR="00D23B90">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[79]</w:t>
      </w:r>
      <w:r w:rsidR="00D23B90">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These interactions are not taken into account by the DLVO model. Therefore, despite the success that the DLVO model has incurred to describe</w:t>
      </w:r>
      <w:r w:rsidR="00D23B90">
        <w:rPr>
          <w:rFonts w:asciiTheme="minorHAnsi" w:eastAsia="Calibri" w:hAnsiTheme="minorHAnsi" w:cs="Calibri"/>
          <w:color w:val="000000"/>
          <w:sz w:val="22"/>
          <w:szCs w:val="22"/>
          <w:lang w:eastAsia="en-GB"/>
        </w:rPr>
        <w:t xml:space="preserve"> microbial adhesion to surfaces, </w:t>
      </w:r>
      <w:r w:rsidRPr="00C44D8C">
        <w:rPr>
          <w:rFonts w:asciiTheme="minorHAnsi" w:eastAsia="Calibri" w:hAnsiTheme="minorHAnsi" w:cs="Calibri"/>
          <w:color w:val="000000"/>
          <w:sz w:val="22"/>
          <w:szCs w:val="22"/>
          <w:lang w:eastAsia="en-GB"/>
        </w:rPr>
        <w:t xml:space="preserve">it has not always been able to fully explain initial adhesion in </w:t>
      </w:r>
      <w:r w:rsidR="00EE1C35">
        <w:rPr>
          <w:rFonts w:asciiTheme="minorHAnsi" w:eastAsia="Calibri" w:hAnsiTheme="minorHAnsi" w:cs="Calibri"/>
          <w:color w:val="000000"/>
          <w:sz w:val="22"/>
          <w:szCs w:val="22"/>
          <w:lang w:eastAsia="en-GB"/>
        </w:rPr>
        <w:t>some</w:t>
      </w:r>
      <w:r w:rsidRPr="00C44D8C">
        <w:rPr>
          <w:rFonts w:asciiTheme="minorHAnsi" w:eastAsia="Calibri" w:hAnsiTheme="minorHAnsi" w:cs="Calibri"/>
          <w:color w:val="000000"/>
          <w:sz w:val="22"/>
          <w:szCs w:val="22"/>
          <w:lang w:eastAsia="en-GB"/>
        </w:rPr>
        <w:t xml:space="preserve"> studies </w:t>
      </w:r>
      <w:r w:rsidR="00D23B90">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"10.1099/mic.0.29005-0", "ISSN" : "1350-0872", "PMID" : "16946262", "abstract" : "Most bacterial strains adhere poorly to poly(ethylene oxide) (PEO)-brush coatings, with the exception of a Pseudomonas aeruginosa strain. The aim of this study was to find factors determining whether P. aeruginosa strains do or do not adhere to a PEO-brush coating in a parallel plate flow chamber. On the basis of their adhesion, a distinction could be made between three adhesive and three non-adhesive strains of P. aeruginosa, while bacterial motilities and zeta potentials were comparable for all six strains. However, water contact angles indicated that the adhesive strains were much more hydrophobic than the non-adhesive strains. Furthermore, only adhesive strains released surfactive extracellular substances, which may be engaged in attractive interactions with the PEO chains. Atomic force microscopy showed that the adhesion energy, measured from the retract curves of a bacterial-coated cantilever from a brush coating, was significantly more negative for adhesive strains than for non-adhesive strains (P&lt;0.001). Through surface thermodynamic and extended-DLVO (Derjaguin, Landau, Verwey, Overbeek) analyses, these stronger adhesion energies could be attributed to acid-base interactions. However, the energies of adhesion of all strains to a brush coating were small when compared with their energies of adhesion to a glass surface. Accordingly, even the adhesive P. aeruginosa strains could be easily removed from a PEO-brush coating by the passage of a liquid-air interface. In conclusion, cell surface hydrophobicity and surfactant release are the main factors involved in adhesion of P. aeruginosa strains to PEO-brush coatings.", "author" : [ { "dropping-particle" : "", "family" : "Roosjen", "given" : "Astrid", "non-dropping-particle" : "", "parse-names" : false, "suffix" : "" }, { "dropping-particle" : "", "family" : "Busscher", "given" : "Henk J", "non-dropping-particle" : "", "parse-names" : false, "suffix" : "" }, { "dropping-particle" : "", "family" : "Norde", "given" : "Willem", "non-dropping-particle" : "", "parse-names" : false, "suffix" : "" }, { "dropping-particle" : "", "family" : "Mei", "given" : "Henny C", "non-dropping-particle" : "van der", "parse-names" : false, "suffix" : "" } ], "container-title" : "Microbiology (Reading, England)", "id" : "ITEM-1", "issue" : "Pt 9", "issued" : { "date-parts" : [ [ "2006", "9" ] ] }, "page" : "2673-82", "title" : "Bacterial factors influencing adhesion of Pseudomonas aeruginosa strains to a poly(ethylene oxide) brush.", "type" : "article-journal", "volume" : "152" }, "uris" : [ "http://www.mendeley.com/documents/?uuid=0591c941-3d0e-4f27-a395-032bcca79aaa" ] }, { "id" : "ITEM-2", "itemData" : { "ISSN" : "0099-2240", "PMID" : "10543826", "abstract" : "In order to exploit the ability of anaerobic bacteria to degrade certain contaminants for bioremediation of polluted subsurface environments, we need to understand the mechanisms by which such bacteria partition between aqueous and solid phases, as well as the environmental conditions that influence partitioning. We studied four strictly anaerobic bacteria, Desulfomonile tiedjei, Syntrophomonas wolfei, Syntrophobacter wolinii, and Desulfovibrio sp. strain G11, which theoretically together can constitute a tetrachloroethylene- and trichloroethylene-dechlorinating consortium. Adhesion of these organisms was evaluated by microscopic determination of the numbers of cells that attached to glass coverslips exposed to cell suspensions under anaerobic conditions. We studied the effects of the growth phase of the organisms on adhesion, as well as the influence of electrostatic and hydrophobic properties of the substratum. Results indicate that S. wolfei adheres in considerably higher numbers to glass surfaces than the other three organisms. Starvation greatly decreases adhesion of S. wolfei and Desulfovibrio sp. strain G11 but seems to have less of an effect on the adhesion of the other bacteria. The presence of Fe(3+) on the substratum, which would be electropositive, significantly increased the adhesion of S. wolfei, whereas the presence of silicon hydrophobic groups decreased the numbers of attached cells of all species. Measurements of transport of cells through hydrophobic-interaction and electrostatic-interaction columns indicated that all four species had negatively charged cell surfaces and that D. tiedjei and Desulfovibrio sp. strain G11 possessed some hydrophobic cell surface properties. These findings are an early step toward understanding the dynamic attachment of anaerobic bacteria in anoxic environments.", "author" : [ { "dropping-particle" : "", "family" : "Schie", "given" : "P M", "non-dropping-particle" : "van", "parse-names" : false, "suffix" : "" }, { "dropping-particle" : "", "family" : "Fletcher", "given" : "M", "non-dropping-particle" : "", "parse-names" : false, "suffix" : "" } ], "container-title" : "Applied and environmental microbiology", "id" : "ITEM-2", "issue" : "11", "issued" : { "date-parts" : [ [ "1999", "11" ] ] }, "page" : "5082-8", "title" : "Adhesion of biodegradative anaerobic bacteria to solid surfaces.", "type" : "article-journal", "volume" : "65" }, "uris" : [ "http://www.mendeley.com/documents/?uuid=b5262d9a-325f-4e90-9400-a5a60ef75ee9" ] }, { "id" : "ITEM-3", "itemData" : { "DOI" : "10.1128/AEM.68.6.2794", "author" : [ { "dropping-particle" : "", "family" : "Vigeant", "given" : "Margot A", "non-dropping-particle" : "", "parse-names" : false, "suffix" : "" }, { "dropping-particle" : "", "family" : "Ford", "given" : "Roseanne M", "non-dropping-particle" : "", "parse-names" : false, "suffix" : "" }, { "dropping-particle" : "", "family" : "Wagner", "given" : "Michael", "non-dropping-particle" : "", "parse-names" : false, "suffix" : "" }, { "dropping-particle" : "", "family" : "Tamm", "given" : "Lukas K", "non-dropping-particle" : "", "parse-names" : false, "suffix" : "" } ], "container-title" : "Applied and environmental microbiology", "id" : "ITEM-3", "issue" : "6", "issued" : { "date-parts" : [ [ "2002" ] ] }, "page" : "2794", "title" : "Reversible and Irreversible Adhesion of Motile Escherichia coli Cells Analyzed by Total Internal Reflection Aqueous Fluorescence Microscopy", "type" : "article-journal", "volume" : "68" }, "uris" : [ "http://www.mendeley.com/documents/?uuid=18e932da-6f47-4166-b16d-d6b4247c655c" ] } ], "mendeley" : { "formattedCitation" : "[120\u2013122]", "plainTextFormattedCitation" : "[120\u2013122]", "previouslyFormattedCitation" : "[120\u2013122]" }, "properties" : { "noteIndex" : 0 }, "schema" : "https://github.com/citation-style-language/schema/raw/master/csl-citation.json" }</w:instrText>
      </w:r>
      <w:r w:rsidR="00D23B90">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[120–122]</w:t>
      </w:r>
      <w:r w:rsidR="00D23B90">
        <w:rPr>
          <w:rFonts w:asciiTheme="minorHAnsi" w:eastAsia="Calibri" w:hAnsiTheme="minorHAnsi" w:cs="Calibri"/>
          <w:color w:val="000000"/>
          <w:sz w:val="22"/>
          <w:szCs w:val="22"/>
          <w:lang w:eastAsia="en-GB"/>
        </w:rPr>
        <w:fldChar w:fldCharType="end"/>
      </w:r>
      <w:r w:rsidR="00D23B90">
        <w:rPr>
          <w:rFonts w:asciiTheme="minorHAnsi" w:eastAsia="Calibri" w:hAnsiTheme="minorHAnsi" w:cs="Calibri"/>
          <w:color w:val="000000"/>
          <w:sz w:val="22"/>
          <w:szCs w:val="22"/>
          <w:lang w:eastAsia="en-GB"/>
        </w:rPr>
        <w:t xml:space="preserve">. </w:t>
      </w:r>
    </w:p>
    <w:p w14:paraId="13EF5197" w14:textId="3A8D8EE1" w:rsidR="00436CD0" w:rsidRDefault="00436CD0" w:rsidP="00B94D0C">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lastRenderedPageBreak/>
        <w:t>However, the DLVO model is still to date the most commonly used method of qualitatively and quantitatively describing the process of initial adhesion at the microbe-abiotic interface. It has been able to successfully further understanding of the initial adhesion of a wide range of microorganisms to a flat surface as a function of the main interfacial interactions at the surface</w:t>
      </w:r>
      <w:r w:rsidR="00D23B90">
        <w:rPr>
          <w:rFonts w:asciiTheme="minorHAnsi" w:eastAsia="Calibri" w:hAnsiTheme="minorHAnsi" w:cs="Calibri"/>
          <w:color w:val="000000"/>
          <w:sz w:val="22"/>
          <w:szCs w:val="22"/>
          <w:lang w:eastAsia="en-GB"/>
        </w:rPr>
        <w:t xml:space="preserve"> </w:t>
      </w:r>
      <w:r w:rsidR="00D23B90">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sidR="00D23B90">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sidR="00D23B90">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0E4FB15F" w14:textId="77777777" w:rsidR="00407878" w:rsidRDefault="00407878" w:rsidP="00B94D0C">
      <w:pPr>
        <w:spacing w:line="360" w:lineRule="auto"/>
        <w:ind w:firstLine="720"/>
        <w:rPr>
          <w:rFonts w:asciiTheme="minorHAnsi" w:eastAsia="Calibri" w:hAnsiTheme="minorHAnsi" w:cs="Calibri"/>
          <w:color w:val="000000"/>
          <w:sz w:val="22"/>
          <w:szCs w:val="22"/>
          <w:lang w:eastAsia="en-GB"/>
        </w:rPr>
      </w:pPr>
    </w:p>
    <w:p w14:paraId="5F19C54D" w14:textId="5B498B78" w:rsidR="00436CD0" w:rsidRPr="00B94D0C" w:rsidRDefault="00B94D0C" w:rsidP="00B94D0C">
      <w:pPr>
        <w:pStyle w:val="Heading6"/>
        <w:rPr>
          <w:rFonts w:eastAsia="Arial"/>
        </w:rPr>
      </w:pPr>
      <w:bookmarkStart w:id="57" w:name="_Toc462575274"/>
      <w:r w:rsidRPr="00B94D0C">
        <w:rPr>
          <w:rFonts w:eastAsia="Calibri"/>
        </w:rPr>
        <w:t xml:space="preserve">2.5.3. </w:t>
      </w:r>
      <w:r w:rsidR="00436CD0" w:rsidRPr="00B94D0C">
        <w:rPr>
          <w:rFonts w:eastAsia="Calibri"/>
        </w:rPr>
        <w:t>Examining secondary irreversible adhesion</w:t>
      </w:r>
      <w:bookmarkEnd w:id="57"/>
      <w:r w:rsidR="00436CD0" w:rsidRPr="00B94D0C">
        <w:rPr>
          <w:rFonts w:eastAsia="Calibri"/>
        </w:rPr>
        <w:t xml:space="preserve"> </w:t>
      </w:r>
    </w:p>
    <w:p w14:paraId="7AB304B1" w14:textId="27C7DA20"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Secondary irreversible adhesion is typically facilitated by the increased growth and abundance of attached cells and the self-secretion of EPS to bind cells to a surface</w:t>
      </w:r>
      <w:r w:rsidR="0051590D">
        <w:rPr>
          <w:rFonts w:asciiTheme="minorHAnsi" w:eastAsia="Calibri" w:hAnsiTheme="minorHAnsi" w:cs="Calibri"/>
          <w:color w:val="000000"/>
          <w:sz w:val="22"/>
          <w:szCs w:val="22"/>
          <w:lang w:eastAsia="en-GB"/>
        </w:rPr>
        <w:t xml:space="preserve"> </w:t>
      </w:r>
      <w:r w:rsidR="0051590D">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51590D">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5159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As such, numerous standard laboratory methods used to monitor this later stage of biofilm formation focus on the reliable quantification and visualisation of biofilms (extracellular analysis), and on the examination of the biological mechanisms governing biofilm formation (intracellular analysis). There is an exhaustive list of different methods for the quantification and detection of biofilms</w:t>
      </w:r>
      <w:r w:rsidR="0051590D">
        <w:rPr>
          <w:rFonts w:asciiTheme="minorHAnsi" w:eastAsia="Calibri" w:hAnsiTheme="minorHAnsi" w:cs="Calibri"/>
          <w:color w:val="000000"/>
          <w:sz w:val="22"/>
          <w:szCs w:val="22"/>
          <w:lang w:eastAsia="en-GB"/>
        </w:rPr>
        <w:t xml:space="preserve"> </w:t>
      </w:r>
      <w:r w:rsidR="0051590D">
        <w:rPr>
          <w:rFonts w:asciiTheme="minorHAnsi" w:eastAsia="Calibri" w:hAnsiTheme="minorHAnsi" w:cs="Calibri"/>
          <w:color w:val="000000"/>
          <w:sz w:val="22"/>
          <w:szCs w:val="22"/>
          <w:lang w:eastAsia="en-GB"/>
        </w:rPr>
        <w:fldChar w:fldCharType="begin" w:fldLock="1"/>
      </w:r>
      <w:r w:rsidR="0051590D">
        <w:rPr>
          <w:rFonts w:asciiTheme="minorHAnsi" w:eastAsia="Calibri" w:hAnsiTheme="minorHAnsi" w:cs="Calibri"/>
          <w:color w:val="000000"/>
          <w:sz w:val="22"/>
          <w:szCs w:val="22"/>
          <w:lang w:eastAsia="en-GB"/>
        </w:rPr>
        <w:instrText>ADDIN CSL_CITATION { "citationItems" : [ { "id" : "ITEM-1", "itemData" : { "DOI" : "10.1016/S0167-7012(97)00058-4", "ISSN" : "01677012", "author" : [ { "dropping-particle" : "", "family" : "An", "given" : "Yuehuei H", "non-dropping-particle" : "", "parse-names" : false, "suffix" : "" }, { "dropping-particle" : "", "family" : "Friedman", "given" : "Richard J", "non-dropping-particle" : "", "parse-names" : false, "suffix" : "" } ], "container-title" : "Journal of Microbiological Methods", "id" : "ITEM-1", "issue" : "2", "issued" : { "date-parts" : [ [ "1997", "8" ] ] }, "page" : "141-152", "title" : "Laboratory methods for studies of bacterial adhesion", "type" : "article-journal", "volume" : "30" }, "uris" : [ "http://www.mendeley.com/documents/?uuid=a2942c76-e961-4a5a-b60f-3947fca50dd1" ] } ], "mendeley" : { "formattedCitation" : "[25]", "plainTextFormattedCitation" : "[25]", "previouslyFormattedCitation" : "[25]" }, "properties" : { "noteIndex" : 0 }, "schema" : "https://github.com/citation-style-language/schema/raw/master/csl-citation.json" }</w:instrText>
      </w:r>
      <w:r w:rsidR="0051590D">
        <w:rPr>
          <w:rFonts w:asciiTheme="minorHAnsi" w:eastAsia="Calibri" w:hAnsiTheme="minorHAnsi" w:cs="Calibri"/>
          <w:color w:val="000000"/>
          <w:sz w:val="22"/>
          <w:szCs w:val="22"/>
          <w:lang w:eastAsia="en-GB"/>
        </w:rPr>
        <w:fldChar w:fldCharType="separate"/>
      </w:r>
      <w:r w:rsidR="0051590D" w:rsidRPr="0051590D">
        <w:rPr>
          <w:rFonts w:asciiTheme="minorHAnsi" w:eastAsia="Calibri" w:hAnsiTheme="minorHAnsi" w:cs="Calibri"/>
          <w:noProof/>
          <w:color w:val="000000"/>
          <w:sz w:val="22"/>
          <w:szCs w:val="22"/>
          <w:lang w:eastAsia="en-GB"/>
        </w:rPr>
        <w:t>[25]</w:t>
      </w:r>
      <w:r w:rsidR="005159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therefore this thesis will only briefly consider the most commonly used methods.</w:t>
      </w:r>
    </w:p>
    <w:p w14:paraId="40C805D1" w14:textId="77777777" w:rsidR="00436CD0" w:rsidRPr="00C44D8C" w:rsidRDefault="00436CD0" w:rsidP="00436CD0">
      <w:pPr>
        <w:spacing w:line="360" w:lineRule="auto"/>
        <w:rPr>
          <w:rFonts w:asciiTheme="minorHAnsi" w:eastAsia="Calibri" w:hAnsiTheme="minorHAnsi" w:cs="Calibri"/>
          <w:b/>
          <w:i/>
          <w:color w:val="000000"/>
          <w:sz w:val="22"/>
          <w:szCs w:val="22"/>
          <w:lang w:eastAsia="en-GB"/>
        </w:rPr>
      </w:pPr>
    </w:p>
    <w:p w14:paraId="54940528" w14:textId="57C1A92E" w:rsidR="00436CD0" w:rsidRPr="00C44D8C" w:rsidRDefault="00B94D0C" w:rsidP="00B94D0C">
      <w:pPr>
        <w:pStyle w:val="Heading7"/>
        <w:rPr>
          <w:rFonts w:eastAsia="Calibri" w:cs="Calibri"/>
          <w:lang w:eastAsia="en-GB"/>
        </w:rPr>
      </w:pPr>
      <w:bookmarkStart w:id="58" w:name="_Toc462575275"/>
      <w:r>
        <w:rPr>
          <w:rFonts w:eastAsia="Calibri" w:cs="Calibri"/>
          <w:lang w:eastAsia="en-GB"/>
        </w:rPr>
        <w:t>2.5.3</w:t>
      </w:r>
      <w:r w:rsidR="00436CD0" w:rsidRPr="00C44D8C">
        <w:rPr>
          <w:rFonts w:eastAsia="Calibri" w:cs="Calibri"/>
          <w:lang w:eastAsia="en-GB"/>
        </w:rPr>
        <w:t xml:space="preserve">.1. Extracellular analysis - </w:t>
      </w:r>
      <w:r w:rsidR="00436CD0" w:rsidRPr="00C44D8C">
        <w:rPr>
          <w:lang w:eastAsia="en-GB"/>
        </w:rPr>
        <w:t>Adenosine triphosphate (ATP) bioluminescence assay</w:t>
      </w:r>
      <w:bookmarkEnd w:id="58"/>
    </w:p>
    <w:p w14:paraId="4D96AE64" w14:textId="01CA393B"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All living cells rely on an internal energy currency in the form of adenosine triphosphate (ATP) that enables them to carry</w:t>
      </w:r>
      <w:r w:rsidR="0051590D">
        <w:rPr>
          <w:rFonts w:asciiTheme="minorHAnsi" w:hAnsiTheme="minorHAnsi"/>
          <w:color w:val="000000"/>
          <w:sz w:val="22"/>
          <w:szCs w:val="22"/>
          <w:lang w:eastAsia="en-GB"/>
        </w:rPr>
        <w:t xml:space="preserve"> out their metabolic functions</w:t>
      </w:r>
      <w:r w:rsidRPr="00C44D8C">
        <w:rPr>
          <w:rFonts w:asciiTheme="minorHAnsi" w:hAnsiTheme="minorHAnsi"/>
          <w:color w:val="000000"/>
          <w:sz w:val="22"/>
          <w:szCs w:val="22"/>
          <w:lang w:eastAsia="en-GB"/>
        </w:rPr>
        <w:t xml:space="preserve">. As such, the detection of intracellular ATP in environmental samples has been a common method for indirectly monitoring and quantifying viable biofilms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"10.1371/journal.pone.0096354", "ISSN" : "1932-6203", "PMID" : "24796923", "abstract" : "The purpose of a drinking water distribution system is to deliver drinking water to the consumer, preferably with the same quality as when it left the treatment plant. In this context, the maintenance of good microbiological quality is often referred to as biological stability, and the addition of sufficient chlorine residuals is regarded as one way to achieve this. The full-scale drinking water distribution system of Riga (Latvia) was investigated with respect to biological stability in chlorinated drinking water. Flow cytometric (FCM) intact cell concentrations, intracellular adenosine tri-phosphate (ATP), heterotrophic plate counts and residual chlorine measurements were performed to evaluate the drinking water quality and stability at 49 sampling points throughout the distribution network. Cell viability methods were compared and the importance of extracellular ATP measurements was examined as well. FCM intact cell concentrations varied from 5\u00d7103 cells mL-1 to 4.66\u00d7105 cells mL-1 in the network. While this parameter did not exceed 2.1\u00d7104 cells mL-1 in the effluent from any water treatment plant, 50% of all the network samples contained more than 1.06\u00d7105 cells mL-1. This indisputably demonstrates biological instability in this particular drinking water distribution system, which was ascribed to a loss of disinfectant residuals and concomitant bacterial growth. The study highlights the potential of using cultivation-independent methods for the assessment of chlorinated water samples. In addition, it underlines the complexity of full-scale drinking water distribution systems, and the resulting challenges to establish the causes of biological instability.", "author" : [ { "dropping-particle" : "", "family" : "Nescerecka", "given" : "Alina", "non-dropping-particle" : "", "parse-names" : false, "suffix" : "" }, { "dropping-particle" : "", "family" : "Rubulis", "given" : "Janis", "non-dropping-particle" : "", "parse-names" : false, "suffix" : "" }, { "dropping-particle" : "", "family" : "Vital", "given" : "Marius", "non-dropping-particle" : "", "parse-names" : false, "suffix" : "" }, { "dropping-particle" : "", "family" : "Juhna", "given" : "Talis", "non-dropping-particle" : "", "parse-names" : false, "suffix" : "" }, { "dropping-particle" : "", "family" : "Hammes", "given" : "Frederik", "non-dropping-particle" : "", "parse-names" : false, "suffix" : "" } ], "container-title" : "PloS one", "id" : "ITEM-1", "issue" : "5", "issued" : { "date-parts" : [ [ "2014", "1" ] ] }, "page" : "e96354", "title" : "Biological instability in a chlorinated drinking water distribution network.", "type" : "article-journal", "volume" : "9" }, "uris" : [ "http://www.mendeley.com/documents/?uuid=f8a25b0f-321a-4f65-88c2-aa7e5fe9e698" ] } ], "mendeley" : { "formattedCitation" : "[123]", "plainTextFormattedCitation" : "[123]", "previouslyFormattedCitation" : "[123]"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[123]</w:t>
      </w:r>
      <w:r w:rsidR="0051590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w:t>
      </w:r>
    </w:p>
    <w:p w14:paraId="28AD0A85" w14:textId="6CDE3612"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The ATP bioluminescence assay is a method for quantifying biofilms, and is highly selective and sensitive to low levels of ATP in samples. It is based on a biochemical reaction between intracellular ATP and the luciferin-luciferase enzyme found in the firefly, causing the emission of light (bioluminescence). The reaction involves lysing cells in the sample to release intracellular ATP, adding the luciferin-luciferase enzyme to catalyse the reaction and induce bioluminescence, and measuring the light emission on a luminometer. The bioluminescence is proportional to the amount of biomass in a biofilm, and also gives an indication of the metabolic state of the biofilm</w:t>
      </w:r>
      <w:r w:rsidR="0051590D">
        <w:rPr>
          <w:rFonts w:asciiTheme="minorHAnsi" w:hAnsiTheme="minorHAnsi"/>
          <w:color w:val="000000"/>
          <w:sz w:val="22"/>
          <w:szCs w:val="22"/>
          <w:lang w:eastAsia="en-GB"/>
        </w:rPr>
        <w:t xml:space="preserve">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"10.1016/j.archoralbio.2004.04.011", "ISSN" : "0003-9969", "PMID" : "15308423", "abstract" : "The pathogenesis of both superficial and systemic candidiasis is closely dictated by properties of the yeast biofilms. Despite extensive investigations on bacterial biofilms, the characteristics of candidal biofilms, and various factors affecting this process remain to be determined. Therefore we examined the effect of human whole saliva and dietary sugars, glucose and galactose on the adhesion and biofilm formation of Candida albicans. Biofilms of C. albicans isolate 192 887 g were developed on polystyrene, flat-bottomed 96-well microtiter plates and monitored using ATP bioluminescence and tetrazolium (XTT) reduction assays as well as the conventional colony forming unit (CFU) evaluation. Our data showed that both the ATP and the XTT assays strongly correlated with the CFU assay (ATP versus CFU: r = 0.994, P = 0.006; XTT versus CFU: r = 0.985, P = 0.015). Compared with a glucose-supplemented (100 mM) medium, galactose containing (500 mM) medium generated consistently lower levels of both candidal adhesion and biofilm formation (all P &lt; 0.05), but a higher pace of biofilm development over time (96 h). Whist the presence of an immobilised saliva coating had little effect on either the candidal adhesion or biofilm formation, the addition of saliva to the incubation medium quantitatively affected biofilm formation especially on day 3 and 4, without any significant effect on yeast adhesion. To conclude, biofilm formation of C. albicans within the oral milieu appears to be modulated to varying extents by dietary and salivary factors and, further investigations are required to elucidate these complex interactions.", "author" : [ { "dropping-particle" : "", "family" : "Jin", "given" : "Ye", "non-dropping-particle" : "", "parse-names" : false, "suffix" : "" }, { "dropping-particle" : "", "family" : "Samaranayake", "given" : "Lakshman P", "non-dropping-particle" : "", "parse-names" : false, "suffix" : "" }, { "dropping-particle" : "", "family" : "Samaranayake", "given" : "Yuthika", "non-dropping-particle" : "", "parse-names" : false, "suffix" : "" }, { "dropping-particle" : "", "family" : "Yip", "given" : "Hak Kong", "non-dropping-particle" : "", "parse-names" : false, "suffix" : "" } ], "container-title" : "Archives of oral biology", "id" : "ITEM-1", "issue" : "10", "issued" : { "date-parts" : [ [ "2004", "10" ] ] }, "page" : "789-98", "title" : "Biofilm formation of Candida albicans is variably affected by saliva and dietary sugars.", "type" : "article-journal", "volume" : "49" }, "uris" : [ "http://www.mendeley.com/documents/?uuid=1530f147-a5e4-4384-8b1b-a9d32dc0938a" ] } ], "mendeley" : { "formattedCitation" : "[124]", "plainTextFormattedCitation" : "[124]", "previouslyFormattedCitation" : "[124]"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[124]</w:t>
      </w:r>
      <w:r w:rsidR="0051590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w:t>
      </w:r>
    </w:p>
    <w:p w14:paraId="11796224" w14:textId="40A33B3E"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This assay has been used for both pure cultures</w:t>
      </w:r>
      <w:r w:rsidR="0051590D">
        <w:rPr>
          <w:rFonts w:asciiTheme="minorHAnsi" w:hAnsiTheme="minorHAnsi"/>
          <w:color w:val="000000"/>
          <w:sz w:val="22"/>
          <w:szCs w:val="22"/>
          <w:lang w:eastAsia="en-GB"/>
        </w:rPr>
        <w:t xml:space="preserve">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"10.1016/j.archoralbio.2004.04.011", "ISSN" : "0003-9969", "PMID" : "15308423", "abstract" : "The pathogenesis of both superficial and systemic candidiasis is closely dictated by properties of the yeast biofilms. Despite extensive investigations on bacterial biofilms, the characteristics of candidal biofilms, and various factors affecting this process remain to be determined. Therefore we examined the effect of human whole saliva and dietary sugars, glucose and galactose on the adhesion and biofilm formation of Candida albicans. Biofilms of C. albicans isolate 192 887 g were developed on polystyrene, flat-bottomed 96-well microtiter plates and monitored using ATP bioluminescence and tetrazolium (XTT) reduction assays as well as the conventional colony forming unit (CFU) evaluation. Our data showed that both the ATP and the XTT assays strongly correlated with the CFU assay (ATP versus CFU: r = 0.994, P = 0.006; XTT versus CFU: r = 0.985, P = 0.015). Compared with a glucose-supplemented (100 mM) medium, galactose containing (500 mM) medium generated consistently lower levels of both candidal adhesion and biofilm formation (all P &lt; 0.05), but a higher pace of biofilm development over time (96 h). Whist the presence of an immobilised saliva coating had little effect on either the candidal adhesion or biofilm formation, the addition of saliva to the incubation medium quantitatively affected biofilm formation especially on day 3 and 4, without any significant effect on yeast adhesion. To conclude, biofilm formation of C. albicans within the oral milieu appears to be modulated to varying extents by dietary and salivary factors and, further investigations are required to elucidate these complex interactions.", "author" : [ { "dropping-particle" : "", "family" : "Jin", "given" : "Ye", "non-dropping-particle" : "", "parse-names" : false, "suffix" : "" }, { "dropping-particle" : "", "family" : "Samaranayake", "given" : "Lakshman P", "non-dropping-particle" : "", "parse-names" : false, "suffix" : "" }, { "dropping-particle" : "", "family" : "Samaranayake", "given" : "Yuthika", "non-dropping-particle" : "", "parse-names" : false, "suffix" : "" }, { "dropping-particle" : "", "family" : "Yip", "given" : "Hak Kong", "non-dropping-particle" : "", "parse-names" : false, "suffix" : "" } ], "container-title" : "Archives of oral biology", "id" : "ITEM-1", "issue" : "10", "issued" : { "date-parts" : [ [ "2004", "10" ] ] }, "page" : "789-98", "title" : "Biofilm formation of Candida albicans is variably affected by saliva and dietary sugars.", "type" : "article-journal", "volume" : "49" }, "uris" : [ "http://www.mendeley.com/documents/?uuid=1530f147-a5e4-4384-8b1b-a9d32dc0938a" ] }, { "id" : "ITEM-2", "itemData" : { "DOI" : "10.1111/j.1472-765X.2009.02659.x.A", "author" : [ { "dropping-particle" : "", "family" : "Sule", "given" : "Preeti", "non-dropping-particle" : "", "parse-names" : false, "suffix" : "" }, { "dropping-particle" : "", "family" : "Wadhawan", "given" : "Tanush", "non-dropping-particle" : "", "parse-names" : false, "suffix" : "" }, { "dropping-particle" : "", "family" : "Carr", "given" : "Nathan J", "non-dropping-particle" : "", "parse-names" : false, "suffix" : "" }, { "dropping-particle" : "", "family" : "Horne", "given" : "Shelley M", "non-dropping-particle" : "", "parse-names" : false, "suffix" : "" }, { "dropping-particle" : "", "family" : "Wolfe", "given" : "Alan J", "non-dropping-particle" : "", "parse-names" : false, "suffix" : "" }, { "dropping-particle" : "", "family" : "Pr\u00fc", "given" : "Birgit M", "non-dropping-particle" : "", "parse-names" : false, "suffix" : "" } ], "container-title" : "Lett Appl Microbiol.", "id" : "ITEM-2", "issue" : "3", "issued" : { "date-parts" : [ [ "2009" ] ] }, "page" : "299-304", "title" : "A combination of assays reveals biomass differences in biofilms formed by E. coli mutants", "type" : "article-journal", "volume" : "49" }, "uris" : [ "http://www.mendeley.com/documents/?uuid=95c37d21-df13-4d66-bd14-395404c273bb" ] }, { "id" : "ITEM-3", "itemData" : { "author" : [ { "dropping-particle" : "", "family" : "Gracia", "given" : "E", "non-dropping-particle" : "", "parse-names" : false, "suffix" : "" }, { "dropping-particle" : "", "family" : "Fernandez", "given" : "A", "non-dropping-particle" : "", "parse-names" : false, "suffix" : "" }, { "dropping-particle" : "", "family" : "Conchello", "given" : "P", "non-dropping-particle" : "", "parse-names" : false, "suffix" : "" }, { "dropping-particle" : "", "family" : "Alabart", "given" : "J L", "non-dropping-particle" : "", "parse-names" : false, "suffix" : "" }, { "dropping-particle" : "", "family" : "Perez", "given" : "M", "non-dropping-particle" : "", "parse-names" : false, "suffix" : "" }, { "dropping-particle" : "", "family" : "Amorena", "given" : "B", "non-dropping-particle" : "", "parse-names" : false, "suffix" : "" } ], "container-title" : "Luminescence", "id" : "ITEM-3", "issue" : "8", "issued" : { "date-parts" : [ [ "1999" ] ] }, "page" : "23-31", "title" : "In vitro development of Staphylococcus aureus biofilms using slime-producing variants and ATP- bioluminescence for automated bacterial quantification", "type" : "article-journal", "volume" : "14" }, "uris" : [ "http://www.mendeley.com/documents/?uuid=e0757464-7b3f-40f1-a16a-737a34637f28" ] } ], "mendeley" : { "formattedCitation" : "[124\u2013126]", "plainTextFormattedCitation" : "[124\u2013126]", "previouslyFormattedCitation" : "[124\u2013126]"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[124–126]</w:t>
      </w:r>
      <w:r w:rsidR="0051590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and mixed environmental samples from anaerobic digesters</w:t>
      </w:r>
      <w:r w:rsidR="0051590D">
        <w:rPr>
          <w:rFonts w:asciiTheme="minorHAnsi" w:hAnsiTheme="minorHAnsi"/>
          <w:color w:val="000000"/>
          <w:sz w:val="22"/>
          <w:szCs w:val="22"/>
          <w:lang w:eastAsia="en-GB"/>
        </w:rPr>
        <w:t xml:space="preserve">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"10.1016/j.biortech.2008.06.027", "ISSN" : "1873-2976", "PMID" : "18694638", "abstract" : "This paper describes rapid techniques to evaluate the methane potential and biomass yield of solid wastes. A number of solid wastes were mixed to provide a range of C:N ratios. Empirical formulae were calculated for each waste based on the results of chemical analysis and these formulae were used to estimate the COD equivalent and stoichiometric methane potential (SMP). The actual COD and biochemical methane potential (BMP) were determined experimentally for each waste and for both parameters there was a good agreement between the empirical and experimental values. The potential of adenosine triphosphate (ATP) to act as an indicator of biomass yield (mg VSS mg(-1) COD removed) was determined during the anaerobic digestion process. The biomass yield determined from ATP analysis was in the range 0.01-0.25mg VSS mg(-1) COD removed which corroborated well with previously reported studies. Empirical formula based SMP together with ATP measurement were shown to provide rapid methods to replace or augment the traditional BMP and VSS measurements and are useful for evaluating the bioenergy and biomass potential of solid wastes for anaerobic digestion.", "author" : [ { "dropping-particle" : "", "family" : "Shanmugam", "given" : "P", "non-dropping-particle" : "", "parse-names" : false, "suffix" : "" }, { "dropping-particle" : "", "family" : "Horan", "given" : "N J", "non-dropping-particle" : "", "parse-names" : false, "suffix" : "" } ], "container-title" : "Bioresource technology", "id" : "ITEM-1", "issue" : "1", "issued" : { "date-parts" : [ [ "2009", "1" ] ] }, "page" : "471-4", "title" : "Simple and rapid methods to evaluate methane potential and biomass yield for a range of mixed solid wastes.", "type" : "article-journal", "volume" : "100" }, "uris" : [ "http://www.mendeley.com/documents/?uuid=bd053457-1120-4acb-a442-735a68d709cb" ] } ], "mendeley" : { "formattedCitation" : "[127]", "plainTextFormattedCitation" : "[127]", "previouslyFormattedCitation" : "[127]"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[127]</w:t>
      </w:r>
      <w:r w:rsidR="0051590D">
        <w:rPr>
          <w:rFonts w:asciiTheme="minorHAnsi" w:hAnsiTheme="minorHAnsi"/>
          <w:color w:val="000000"/>
          <w:sz w:val="22"/>
          <w:szCs w:val="22"/>
          <w:lang w:eastAsia="en-GB"/>
        </w:rPr>
        <w:fldChar w:fldCharType="end"/>
      </w:r>
      <w:r w:rsidR="0051590D">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as a rapid cell viability indicator. However, the ATP bioluminescence analysis for pure cultures can be highly sensitive to </w:t>
      </w:r>
      <w:r w:rsidRPr="00C44D8C">
        <w:rPr>
          <w:rFonts w:asciiTheme="minorHAnsi" w:hAnsiTheme="minorHAnsi"/>
          <w:color w:val="000000"/>
          <w:sz w:val="22"/>
          <w:szCs w:val="22"/>
          <w:lang w:eastAsia="en-GB"/>
        </w:rPr>
        <w:lastRenderedPageBreak/>
        <w:t xml:space="preserve">sources of contamination in samples, which can skew results and overestimate the quantification of biofilms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"10.1016/j.ijheh.2012.03.009", "ISBN" : "1438-4639", "ISSN" : "14384639", "PMID" : "22541898", "abstract" : "Bioluminescence-based ATP testing of solid surfaces has become well established in the food processing industry as part of general hazard analysis and critical control points (HACCP) measures. The rise in healthcare associated infections (HAIs) at the turn of the century focussed attention on the environment as a potential reservoir of the agents responsible for such infections. In response to the need for objective methods of assessing the efficiency of cleaning in healthcare establishments and for rapid methods for detecting the presence of the pathogens responsible for HAIs, it was proposed that ATP testing of environmental surfaces be introduced. We examine the basis behind the assumptions inherent in these proposals. Intracellular ATP levels are shown to vary between microbial taxa and according to environmental conditions. Good correlations between microbial numbers and ATP levels have been obtained under certain specific conditions, but never within healthcare settings. Notwithstanding, ATP testing may still have a role in providing reassurance that cleaning regimes are being carried out satisfactorily. However, ATP results should not be interpreted as surrogate indicators for the presence of microbial pathogens. ?? 2012 Elsevier GmbH.", "author" : [ { "dropping-particle" : "", "family" : "Shama", "given" : "G.", "non-dropping-particle" : "", "parse-names" : false, "suffix" : "" }, { "dropping-particle" : "", "family" : "Malik", "given" : "D. J.", "non-dropping-particle" : "", "parse-names" : false, "suffix" : "" } ], "container-title" : "International Journal of Hygiene and Environmental Health", "id" : "ITEM-1", "issue" : "2", "issued" : { "date-parts" : [ [ "2013" ] ] }, "page" : "115-125", "title" : "The uses and abuses of rapid bioluminescence-based ATP assays", "type" : "article-journal", "volume" : "216" }, "uris" : [ "http://www.mendeley.com/documents/?uuid=7ced56aa-6fa9-4aa1-95a4-2dc52e9abe03" ] } ], "mendeley" : { "formattedCitation" : "[128]", "plainTextFormattedCitation" : "[128]", "previouslyFormattedCitation" : "[128]"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[128]</w:t>
      </w:r>
      <w:r w:rsidR="0051590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w:t>
      </w:r>
    </w:p>
    <w:p w14:paraId="78B6C00A" w14:textId="77777777" w:rsidR="00436CD0" w:rsidRPr="00C44D8C" w:rsidRDefault="00436CD0" w:rsidP="00436CD0">
      <w:pPr>
        <w:rPr>
          <w:rFonts w:asciiTheme="minorHAnsi" w:hAnsiTheme="minorHAnsi"/>
          <w:sz w:val="22"/>
          <w:szCs w:val="22"/>
          <w:lang w:eastAsia="en-GB"/>
        </w:rPr>
      </w:pPr>
    </w:p>
    <w:p w14:paraId="15F22BFB" w14:textId="2B1AF49F" w:rsidR="00436CD0" w:rsidRPr="00B94D0C" w:rsidRDefault="00B94D0C" w:rsidP="00B94D0C">
      <w:pPr>
        <w:pStyle w:val="Heading7"/>
      </w:pPr>
      <w:bookmarkStart w:id="59" w:name="_Toc462575276"/>
      <w:r w:rsidRPr="00B94D0C">
        <w:t xml:space="preserve">2.5.3.2. </w:t>
      </w:r>
      <w:r w:rsidR="00436CD0" w:rsidRPr="00B94D0C">
        <w:t>Extracellular analysis - Crystal violet assay</w:t>
      </w:r>
      <w:bookmarkEnd w:id="59"/>
    </w:p>
    <w:p w14:paraId="068E08D7" w14:textId="21DBB754"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color w:val="000000"/>
          <w:sz w:val="22"/>
          <w:szCs w:val="22"/>
          <w:lang w:eastAsia="en-GB"/>
        </w:rPr>
        <w:t xml:space="preserve">Crystal violet is a surface-associated dye that stains microbial cells attached to a surface, and as such, is a </w:t>
      </w:r>
      <w:r w:rsidR="00EE1C35" w:rsidRPr="00C44D8C">
        <w:rPr>
          <w:rFonts w:asciiTheme="minorHAnsi" w:hAnsiTheme="minorHAnsi"/>
          <w:color w:val="000000"/>
          <w:sz w:val="22"/>
          <w:szCs w:val="22"/>
          <w:lang w:eastAsia="en-GB"/>
        </w:rPr>
        <w:t>well-established</w:t>
      </w:r>
      <w:r w:rsidRPr="00C44D8C">
        <w:rPr>
          <w:rFonts w:asciiTheme="minorHAnsi" w:hAnsiTheme="minorHAnsi"/>
          <w:color w:val="000000"/>
          <w:sz w:val="22"/>
          <w:szCs w:val="22"/>
          <w:lang w:eastAsia="en-GB"/>
        </w:rPr>
        <w:t xml:space="preserve"> stain for rapidly detecting and quantifying biofilms for a wide range of microbial species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"10.1002/9780471729259.mc01b01s00", "abstract" : "Many bacteria can exist as surface-attached aggregations known as biofilms. Presented in this unit are several approaches for the study of these communities. The focus here is on static biofilm systems, which are particularly useful for examination of the early stages of biofilm formation, including initial adherence to the surface and microcolony formation. Furthermore, most of the techniques presented are easily adapted to the study of biofilms under a variety of conditions and are suitable for either small-or relatively large-scale studies. Unlike assays involving continuous-flow systems, the static biofilm assays described here require very little specialized equipment and are relatively simple to execute. In addition, these static biofilm systems allow analysis of biofilm formation with a variety of readouts, including microscopy of live cells, macroscopic visualization of stained bacteria, and viability counts. Used individually or in combination, these assays provide useful means for the study of biofilms.", "author" : [ { "dropping-particle" : "", "family" : "Merritt", "given" : "Judith H", "non-dropping-particle" : "", "parse-names" : false, "suffix" : "" }, { "dropping-particle" : "", "family" : "Kadouri", "given" : "Daniel E", "non-dropping-particle" : "", "parse-names" : false, "suffix" : "" }, { "dropping-particle" : "", "family" : "O'Toole", "given" : "George A", "non-dropping-particle" : "", "parse-names" : false, "suffix" : "" } ], "container-title" : "Current Protocols in Microbiology", "id" : "ITEM-1", "issued" : { "date-parts" : [ [ "2005" ] ] }, "title" : "Growing and Analyzing Static Biofilms", "type" : "article-journal", "volume" : "00:B:1B.1:" }, "uris" : [ "http://www.mendeley.com/documents/?uuid=c2507912-fd42-39ac-90a6-39c313162a29" ] } ], "mendeley" : { "formattedCitation" : "[129]", "plainTextFormattedCitation" : "[129]", "previouslyFormattedCitation" : "[129]"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[129]</w:t>
      </w:r>
      <w:r w:rsidR="0051590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It has been used in numerous static biofilm studies with biofilms grown within microtitre plates, to quantify the growth of biofilms as a function of time</w:t>
      </w:r>
      <w:r w:rsidR="0051590D">
        <w:rPr>
          <w:rFonts w:asciiTheme="minorHAnsi" w:hAnsiTheme="minorHAnsi"/>
          <w:color w:val="000000"/>
          <w:sz w:val="22"/>
          <w:szCs w:val="22"/>
          <w:lang w:eastAsia="en-GB"/>
        </w:rPr>
        <w:t xml:space="preserve">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"author" : [ { "dropping-particle" : "", "family" : "Toole", "given" : "George A O", "non-dropping-particle" : "", "parse-names" : false, "suffix" : "" }, { "dropping-particle" : "", "family" : "Kolter", "given" : "Roberto", "non-dropping-particle" : "", "parse-names" : false, "suffix" : "" } ], "container-title" : "Molecular Microbiology", "id" : "ITEM-1", "issued" : { "date-parts" : [ [ "1998" ] ] }, "page" : "449-461", "title" : "Initiation of biofilm formation in Pseudomonas fluorescens WCS365 proceeds via multiple , convergent signalling pathways : a genetic analysis", "type" : "article-journal", "volume" : "28" }, "uris" : [ "http://www.mendeley.com/documents/?uuid=19131f22-7ad0-4acd-a4e9-71bdb7918fd0" ] }, { "id" : "ITEM-2", "itemData" : { "DOI" : "10.1016/j.mimet.2004.09.013", "ISSN" : "0167-7012", "PMID" : "15590097", "abstract" : "The adhesion of bacteria to host tissue is the first step in pathogenesis. Similarly, bacterial adhesion to inanimate surfaces is the first step in formation of biofilms-a real problem in industrial processes and medical devices. Various agents capable of blocking the adhesion of bacteria to surfaces have been identified, such as probiotics, which are supposed to prevent the adhesion of pathogenic bacteria to the intestinal mucosa. Although measurement of bacterial adhesion is important itself, especially when agents used to prevent adhesion are developed, a relative small number of techniques can be used in the measurement of adhesion. These techniques are not well validated and there is lack of studies where those methods are compared to each other. Here we have compared different commonly used methods to measure adhesion of bacteria; radioactive labelling, fluorescence tagging, and staining of bacteria. The methods were used to measure the adhesion of Escherichia coli and Salmonella enterica serovar Typhimurium to intestinal mucus. Moreover, selected probiotic strains were used to study whether probiotics or the adhesion method used affected the results. As a result, we show that the best reproducibility and sensitivity were obtained using radioactive labelling. With other methods, the sensitivity was too low due to poorly adhering bacteria and low signal-to-background ratio.", "author" : [ { "dropping-particle" : "", "family" : "Vesterlund", "given" : "Satu", "non-dropping-particle" : "", "parse-names" : false, "suffix" : "" }, { "dropping-particle" : "", "family" : "Paltta", "given" : "Johanna", "non-dropping-particle" : "", "parse-names" : false, "suffix" : "" }, { "dropping-particle" : "", "family" : "Karp", "given" : "Matti", "non-dropping-particle" : "", "parse-names" : false, "suffix" : "" }, { "dropping-particle" : "", "family" : "Ouwehand", "given" : "Arthur C", "non-dropping-particle" : "", "parse-names" : false, "suffix" : "" } ], "container-title" : "Journal of microbiological methods", "id" : "ITEM-2", "issue" : "2", "issued" : { "date-parts" : [ [ "2005", "3" ] ] }, "page" : "225-33", "title" : "Measurement of bacterial adhesion-in vitro evaluation of different methods.", "type" : "article-journal", "volume" : "60" }, "uris" : [ "http://www.mendeley.com/documents/?uuid=db3c1d07-cc1f-47cf-a8ee-296ee98db475" ] }, { "id" : "ITEM-3", "itemData" : { "DOI" : "10.1128/AEM.68.6.2950", "author" : [ { "dropping-particle" : "", "family" : "Djordjevic", "given" : "D", "non-dropping-particle" : "", "parse-names" : false, "suffix" : "" }, { "dropping-particle" : "", "family" : "Wiedmann", "given" : "M", "non-dropping-particle" : "", "parse-names" : false, "suffix" : "" }, { "dropping-particle" : "", "family" : "Mclandsborough", "given" : "L A", "non-dropping-particle" : "", "parse-names" : false, "suffix" : "" } ], "container-title" : "Applied and environmental microbiology", "id" : "ITEM-3", "issue" : "6", "issued" : { "date-parts" : [ [ "2002" ] ] }, "page" : "2950-2958", "title" : "Microtiter Plate Assay for Assessment of Listeria monocytogenes Biofilm Formation", "type" : "article-journal", "volume" : "68" }, "uris" : [ "http://www.mendeley.com/documents/?uuid=d2568107-7392-4c3f-a004-a377ce6010db" ] }, { "id" : "ITEM-4", "itemData" : { "DOI" : "10.1007/s00253-010-2919-2", "ISBN" : "0025301029192", "ISSN" : "1432-0614", "PMID" : "20936277", "abstract" : "Microbial biofilms contribute to biofouling in a wide range of processes from medical implants to processed food. The extracellular polymeric substances (EPS) are implicated in imparting biofilms with structural stability and resistance to cleaning products. Still, very little is known about the structural role of the EPS in Gram-positive systems. Here, we have compared the cell surface and EPS of surface-attached (biofilm) and free-floating (planktonic) cells of Bacillus cereus, an organism routinely isolated from within biofilms on different surfaces. Our results indicate that the surface properties of cells change during biofilm formation and that the EPS proteins function as non-specific adhesions during biofilm formation. The physicochemical traits of the cell surface and the EPS proteins give us an insight into the forces that drive biofilm formation and maintenance in B. cereus.", "author" : [ { "dropping-particle" : "", "family" : "Karunakaran", "given" : "Esther", "non-dropping-particle" : "", "parse-names" : false, "suffix" : "" }, { "dropping-particle" : "", "family" : "Biggs", "given" : "Catherine a", "non-dropping-particle" : "", "parse-names" : false, "suffix" : "" } ], "container-title" : "Applied microbiology and biotechnology", "id" : "ITEM-4", "issue" : "4", "issued" : { "date-parts" : [ [ "2011", "2" ] ] }, "page" : "1161-75", "title" : "Mechanisms of Bacillus cereus biofilm formation: an investigation of the physicochemical characteristics of cell surfaces and extracellular proteins.", "type" : "article-journal", "volume" : "89" }, "uris" : [ "http://www.mendeley.com/documents/?uuid=9047155f-6cf2-4a15-bdb8-e8e0fac78d52" ] } ], "mendeley" : { "formattedCitation" : "[130\u2013133]", "plainTextFormattedCitation" : "[130\u2013133]", "previouslyFormattedCitation" : "[130\u2013133]"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[130–133]</w:t>
      </w:r>
      <w:r w:rsidR="0051590D">
        <w:rPr>
          <w:rFonts w:asciiTheme="minorHAnsi" w:hAnsiTheme="minorHAnsi"/>
          <w:color w:val="000000"/>
          <w:sz w:val="22"/>
          <w:szCs w:val="22"/>
          <w:lang w:eastAsia="en-GB"/>
        </w:rPr>
        <w:fldChar w:fldCharType="end"/>
      </w:r>
      <w:r w:rsidR="0051590D">
        <w:rPr>
          <w:rFonts w:asciiTheme="minorHAnsi" w:hAnsiTheme="minorHAnsi"/>
          <w:color w:val="000000"/>
          <w:sz w:val="22"/>
          <w:szCs w:val="22"/>
          <w:lang w:eastAsia="en-GB"/>
        </w:rPr>
        <w:t>.</w:t>
      </w:r>
    </w:p>
    <w:p w14:paraId="11F5CC9E" w14:textId="07960AE6"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Surface-attached cells are stained by the crystal violet dye in the assay, and the adsorbed dye is solubilised by the addition of a solvent such as acetic acid. The solubilised dye can be quantified in terms of optical density, and is proportional to the size of the biofilm</w:t>
      </w:r>
      <w:r w:rsidR="0051590D">
        <w:rPr>
          <w:rFonts w:asciiTheme="minorHAnsi" w:hAnsiTheme="minorHAnsi"/>
          <w:color w:val="000000"/>
          <w:sz w:val="22"/>
          <w:szCs w:val="22"/>
          <w:lang w:eastAsia="en-GB"/>
        </w:rPr>
        <w:t xml:space="preserve">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"10.1002/9780471729259.mc01b01s00", "abstract" : "Many bacteria can exist as surface-attached aggregations known as biofilms. Presented in this unit are several approaches for the study of these communities. The focus here is on static biofilm systems, which are particularly useful for examination of the early stages of biofilm formation, including initial adherence to the surface and microcolony formation. Furthermore, most of the techniques presented are easily adapted to the study of biofilms under a variety of conditions and are suitable for either small-or relatively large-scale studies. Unlike assays involving continuous-flow systems, the static biofilm assays described here require very little specialized equipment and are relatively simple to execute. In addition, these static biofilm systems allow analysis of biofilm formation with a variety of readouts, including microscopy of live cells, macroscopic visualization of stained bacteria, and viability counts. Used individually or in combination, these assays provide useful means for the study of biofilms.", "author" : [ { "dropping-particle" : "", "family" : "Merritt", "given" : "Judith H", "non-dropping-particle" : "", "parse-names" : false, "suffix" : "" }, { "dropping-particle" : "", "family" : "Kadouri", "given" : "Daniel E", "non-dropping-particle" : "", "parse-names" : false, "suffix" : "" }, { "dropping-particle" : "", "family" : "O'Toole", "given" : "George A", "non-dropping-particle" : "", "parse-names" : false, "suffix" : "" } ], "container-title" : "Current Protocols in Microbiology", "id" : "ITEM-1", "issued" : { "date-parts" : [ [ "2005" ] ] }, "title" : "Growing and Analyzing Static Biofilms", "type" : "article-journal", "volume" : "00:B:1B.1:" }, "uris" : [ "http://www.mendeley.com/documents/?uuid=c2507912-fd42-39ac-90a6-39c313162a29" ] } ], "mendeley" : { "formattedCitation" : "[129]", "plainTextFormattedCitation" : "[129]", "previouslyFormattedCitation" : "[129]"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[129]</w:t>
      </w:r>
      <w:r w:rsidR="0051590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w:t>
      </w:r>
    </w:p>
    <w:p w14:paraId="1DB778D5" w14:textId="5E2CD2E9" w:rsidR="00436CD0" w:rsidRPr="00C44D8C" w:rsidRDefault="0051590D" w:rsidP="00436CD0">
      <w:pPr>
        <w:spacing w:line="360" w:lineRule="auto"/>
        <w:ind w:firstLine="720"/>
        <w:rPr>
          <w:rFonts w:asciiTheme="minorHAnsi" w:hAnsiTheme="minorHAnsi"/>
          <w:sz w:val="22"/>
          <w:szCs w:val="22"/>
          <w:lang w:eastAsia="en-GB"/>
        </w:rPr>
      </w:pPr>
      <w:r>
        <w:rPr>
          <w:rFonts w:asciiTheme="minorHAnsi" w:hAnsiTheme="minorHAnsi"/>
          <w:color w:val="000000"/>
          <w:sz w:val="22"/>
          <w:szCs w:val="22"/>
          <w:lang w:eastAsia="en-GB"/>
        </w:rPr>
        <w:t xml:space="preserve">Koerdt </w:t>
      </w:r>
      <w:r>
        <w:rPr>
          <w:rFonts w:asciiTheme="minorHAnsi" w:hAnsiTheme="minorHAnsi"/>
          <w:i/>
          <w:color w:val="000000"/>
          <w:sz w:val="22"/>
          <w:szCs w:val="22"/>
          <w:lang w:eastAsia="en-GB"/>
        </w:rPr>
        <w:t xml:space="preserve">et al. </w:t>
      </w:r>
      <w:r>
        <w:rPr>
          <w:rFonts w:asciiTheme="minorHAnsi" w:hAnsiTheme="minorHAnsi"/>
          <w:color w:val="000000"/>
          <w:sz w:val="22"/>
          <w:szCs w:val="22"/>
          <w:lang w:eastAsia="en-GB"/>
        </w:rPr>
        <w:t>(2010) u</w:t>
      </w:r>
      <w:r w:rsidR="00436CD0" w:rsidRPr="00C44D8C">
        <w:rPr>
          <w:rFonts w:asciiTheme="minorHAnsi" w:hAnsiTheme="minorHAnsi"/>
          <w:color w:val="000000"/>
          <w:sz w:val="22"/>
          <w:szCs w:val="22"/>
          <w:lang w:eastAsia="en-GB"/>
        </w:rPr>
        <w:t xml:space="preserve">sed the crystal violet assay to quantify the amount of biofilm formed by the archaeal species, </w:t>
      </w:r>
      <w:r w:rsidR="00436CD0" w:rsidRPr="00C44D8C">
        <w:rPr>
          <w:rFonts w:asciiTheme="minorHAnsi" w:hAnsiTheme="minorHAnsi"/>
          <w:i/>
          <w:iCs/>
          <w:color w:val="000000"/>
          <w:sz w:val="22"/>
          <w:szCs w:val="22"/>
          <w:lang w:eastAsia="en-GB"/>
        </w:rPr>
        <w:t xml:space="preserve">S. acidocaldarius, S. solfataricus </w:t>
      </w:r>
      <w:r w:rsidR="00436CD0" w:rsidRPr="00C44D8C">
        <w:rPr>
          <w:rFonts w:asciiTheme="minorHAnsi" w:hAnsiTheme="minorHAnsi"/>
          <w:color w:val="000000"/>
          <w:sz w:val="22"/>
          <w:szCs w:val="22"/>
          <w:lang w:eastAsia="en-GB"/>
        </w:rPr>
        <w:t>and</w:t>
      </w:r>
      <w:r w:rsidR="00436CD0" w:rsidRPr="00C44D8C">
        <w:rPr>
          <w:rFonts w:asciiTheme="minorHAnsi" w:hAnsiTheme="minorHAnsi"/>
          <w:i/>
          <w:iCs/>
          <w:color w:val="000000"/>
          <w:sz w:val="22"/>
          <w:szCs w:val="22"/>
          <w:lang w:eastAsia="en-GB"/>
        </w:rPr>
        <w:t xml:space="preserve"> S. tokodaii </w:t>
      </w:r>
      <w:r w:rsidR="00436CD0" w:rsidRPr="00C44D8C">
        <w:rPr>
          <w:rFonts w:asciiTheme="minorHAnsi" w:hAnsiTheme="minorHAnsi"/>
          <w:color w:val="000000"/>
          <w:sz w:val="22"/>
          <w:szCs w:val="22"/>
          <w:lang w:eastAsia="en-GB"/>
        </w:rPr>
        <w:t>when grown within microtitre plates</w:t>
      </w:r>
      <w:r>
        <w:rPr>
          <w:rFonts w:asciiTheme="minorHAnsi" w:hAnsiTheme="minorHAnsi"/>
          <w:color w:val="000000"/>
          <w:sz w:val="22"/>
          <w:szCs w:val="22"/>
          <w:lang w:eastAsia="en-GB"/>
        </w:rPr>
        <w:t xml:space="preserve"> </w:t>
      </w:r>
      <w:r>
        <w:rPr>
          <w:rFonts w:asciiTheme="minorHAnsi" w:hAnsiTheme="minorHAnsi"/>
          <w:color w:val="000000"/>
          <w:sz w:val="22"/>
          <w:szCs w:val="22"/>
          <w:lang w:eastAsia="en-GB"/>
        </w:rPr>
        <w:fldChar w:fldCharType="begin" w:fldLock="1"/>
      </w:r>
      <w:r w:rsidR="00AF47D2">
        <w:rPr>
          <w:rFonts w:asciiTheme="minorHAnsi" w:hAnsiTheme="minorHAnsi"/>
          <w:color w:val="000000"/>
          <w:sz w:val="22"/>
          <w:szCs w:val="22"/>
          <w:lang w:eastAsia="en-GB"/>
        </w:rPr>
        <w:instrText>ADDIN CSL_CITATION { "citationItems" : [ { "id" : "ITEM-1", "itemData" : { "DOI" : "10.1371/journal.pone.0014104", "ISSN" : "1932-6203", "PMID" : "21124788", "abstract" : "BACKGROUND: Biofilm formation has been studied in much detail for a variety of bacterial species, as it plays a major role in the pathogenicity of bacteria. However, only limited information is available for the development of archaeal communities that are frequently found in many natural environments.\n\nMETHODOLOGY: We have analyzed biofilm formation in three closely related hyperthermophilic crenarchaeotes: Sulfolobus acidocaldarius, S. solfataricus and S. tokodaii. We established a microtitre plate assay adapted to high temperatures to determine how pH and temperature influence biofilm formation in these organisms. Biofilm analysis by confocal laser scanning microscopy demonstrated that the three strains form very different communities ranging from simple carpet-like structures in S. solfataricus to high density tower-like structures in S. acidocaldarius in static systems. Lectin staining indicated that all three strains produced extracellular polysaccharides containing glucose, galactose, mannose and N-acetylglucosamine once biofilm formation was initiated. While flagella mutants had no phenotype in two days old static biofilms of S. solfataricus, a UV-induced pili deletion mutant showed decreased attachment of cells.\n\nCONCLUSION: The study gives first insights into formation and development of crenarchaeal biofilms in extreme environments.", "author" : [ { "dropping-particle" : "", "family" : "Koerdt", "given" : "Andrea", "non-dropping-particle" : "", "parse-names" : false, "suffix" : "" }, { "dropping-particle" : "", "family" : "G\u00f6deke", "given" : "Julia", "non-dropping-particle" : "", "parse-names" : false, "suffix" : "" }, { "dropping-particle" : "", "family" : "Berger", "given" : "J\u00fcrgen", "non-dropping-particle" : "", "parse-names" : false, "suffix" : "" }, { "dropping-particle" : "", "family" : "Thormann", "given" : "Kai M", "non-dropping-particle" : "", "parse-names" : false, "suffix" : "" }, { "dropping-particle" : "", "family" : "Albers", "given" : "Sonja-Verena", "non-dropping-particle" : "", "parse-names" : false, "suffix" : "" } ], "container-title" : "PloS one", "id" : "ITEM-1", "issue" : "11", "issued" : { "date-parts" : [ [ "2010", "1" ] ] }, "page" : "e14104", "title" : "Crenarchaeal biofilm formation under extreme conditions.", "type" : "article-journal", "volume" : "5" }, "uris" : [ "http://www.mendeley.com/documents/?uuid=9262f2e8-09a6-421b-bdaf-0d81a060cadd" ] } ], "mendeley" : { "formattedCitation" : "[64]", "plainTextFormattedCitation" : "[64]", "previouslyFormattedCitation" : "[64]" }, "properties" : { "noteIndex" : 0 }, "schema" : "https://github.com/citation-style-language/schema/raw/master/csl-citation.json" }</w:instrText>
      </w:r>
      <w:r>
        <w:rPr>
          <w:rFonts w:asciiTheme="minorHAnsi" w:hAnsiTheme="minorHAnsi"/>
          <w:color w:val="000000"/>
          <w:sz w:val="22"/>
          <w:szCs w:val="22"/>
          <w:lang w:eastAsia="en-GB"/>
        </w:rPr>
        <w:fldChar w:fldCharType="separate"/>
      </w:r>
      <w:r w:rsidR="00AF47D2" w:rsidRPr="00AF47D2">
        <w:rPr>
          <w:rFonts w:asciiTheme="minorHAnsi" w:hAnsiTheme="minorHAnsi"/>
          <w:noProof/>
          <w:color w:val="000000"/>
          <w:sz w:val="22"/>
          <w:szCs w:val="22"/>
          <w:lang w:eastAsia="en-GB"/>
        </w:rPr>
        <w:t>[64]</w:t>
      </w:r>
      <w:r>
        <w:rPr>
          <w:rFonts w:asciiTheme="minorHAnsi" w:hAnsiTheme="minorHAnsi"/>
          <w:color w:val="000000"/>
          <w:sz w:val="22"/>
          <w:szCs w:val="22"/>
          <w:lang w:eastAsia="en-GB"/>
        </w:rPr>
        <w:fldChar w:fldCharType="end"/>
      </w:r>
      <w:r w:rsidR="00436CD0" w:rsidRPr="00C44D8C">
        <w:rPr>
          <w:rFonts w:asciiTheme="minorHAnsi" w:hAnsiTheme="minorHAnsi"/>
          <w:color w:val="000000"/>
          <w:sz w:val="22"/>
          <w:szCs w:val="22"/>
          <w:lang w:eastAsia="en-GB"/>
        </w:rPr>
        <w:t xml:space="preserve">. The authors confirmed that the optical density values of resuspended biofilm cells significantly correlated with the crystal violet values. </w:t>
      </w:r>
    </w:p>
    <w:p w14:paraId="22A33608" w14:textId="229FC7B7"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However, this indirect method of detecting and quantifying biofilms is limited by the crystal violet dye, in that it stains not only cells, but also any biomaterial attached to the surface, such as EPS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"10.1002/9780471729259.mc01b01s00", "abstract" : "Many bacteria can exist as surface-attached aggregations known as biofilms. Presented in this unit are several approaches for the study of these communities. The focus here is on static biofilm systems, which are particularly useful for examination of the early stages of biofilm formation, including initial adherence to the surface and microcolony formation. Furthermore, most of the techniques presented are easily adapted to the study of biofilms under a variety of conditions and are suitable for either small-or relatively large-scale studies. Unlike assays involving continuous-flow systems, the static biofilm assays described here require very little specialized equipment and are relatively simple to execute. In addition, these static biofilm systems allow analysis of biofilm formation with a variety of readouts, including microscopy of live cells, macroscopic visualization of stained bacteria, and viability counts. Used individually or in combination, these assays provide useful means for the study of biofilms.", "author" : [ { "dropping-particle" : "", "family" : "Merritt", "given" : "Judith H", "non-dropping-particle" : "", "parse-names" : false, "suffix" : "" }, { "dropping-particle" : "", "family" : "Kadouri", "given" : "Daniel E", "non-dropping-particle" : "", "parse-names" : false, "suffix" : "" }, { "dropping-particle" : "", "family" : "O'Toole", "given" : "George A", "non-dropping-particle" : "", "parse-names" : false, "suffix" : "" } ], "container-title" : "Current Protocols in Microbiology", "id" : "ITEM-1", "issued" : { "date-parts" : [ [ "2005" ] ] }, "title" : "Growing and Analyzing Static Biofilms", "type" : "article-journal", "volume" : "00:B:1B.1:" }, "uris" : [ "http://www.mendeley.com/documents/?uuid=c2507912-fd42-39ac-90a6-39c313162a29" ] }, { "id" : "ITEM-2", "itemData" : { "DOI" : "10.1128/AEM.68.6.2950", "author" : [ { "dropping-particle" : "", "family" : "Djordjevic", "given" : "D", "non-dropping-particle" : "", "parse-names" : false, "suffix" : "" }, { "dropping-particle" : "", "family" : "Wiedmann", "given" : "M", "non-dropping-particle" : "", "parse-names" : false, "suffix" : "" }, { "dropping-particle" : "", "family" : "Mclandsborough", "given" : "L A", "non-dropping-particle" : "", "parse-names" : false, "suffix" : "" } ], "container-title" : "Applied and environmental microbiology", "id" : "ITEM-2", "issue" : "6", "issued" : { "date-parts" : [ [ "2002" ] ] }, "page" : "2950-2958", "title" : "Microtiter Plate Assay for Assessment of Listeria monocytogenes Biofilm Formation", "type" : "article-journal", "volume" : "68" }, "uris" : [ "http://www.mendeley.com/documents/?uuid=d2568107-7392-4c3f-a004-a377ce6010db" ] } ], "mendeley" : { "formattedCitation" : "[129,132]", "plainTextFormattedCitation" : "[129,132]", "previouslyFormattedCitation" : "[129,132]"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[129,132]</w:t>
      </w:r>
      <w:r w:rsidR="0051590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It is also unable to differentiate between living and dead cells in the biofilm</w:t>
      </w:r>
      <w:r w:rsidR="0051590D">
        <w:rPr>
          <w:rFonts w:asciiTheme="minorHAnsi" w:hAnsiTheme="minorHAnsi"/>
          <w:color w:val="000000"/>
          <w:sz w:val="22"/>
          <w:szCs w:val="22"/>
          <w:lang w:eastAsia="en-GB"/>
        </w:rPr>
        <w:t xml:space="preserve"> </w:t>
      </w:r>
      <w:r w:rsidR="0051590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"10.7416/ai.2013.1904", "author" : [ { "dropping-particle" : "", "family" : "Pantanella", "given" : "F", "non-dropping-particle" : "", "parse-names" : false, "suffix" : "" }, { "dropping-particle" : "", "family" : "Valenti", "given" : "P", "non-dropping-particle" : "", "parse-names" : false, "suffix" : "" }, { "dropping-particle" : "", "family" : "Natalizi", "given" : "T", "non-dropping-particle" : "", "parse-names" : false, "suffix" : "" }, { "dropping-particle" : "", "family" : "Passeri", "given" : "D", "non-dropping-particle" : "", "parse-names" : false, "suffix" : "" } ], "container-title" : "Ann Ing", "id" : "ITEM-1", "issued" : { "date-parts" : [ [ "2013" ] ] }, "page" : "31-42", "title" : "Analytical techniques to study microbial biofilm on abiotic surfaces : pros and cons of the main techniques currently in use", "type" : "article-journal", "volume" : "25" }, "uris" : [ "http://www.mendeley.com/documents/?uuid=592cd295-aded-4fe5-9380-a617293189de" ] } ], "mendeley" : { "formattedCitation" : "[134]", "plainTextFormattedCitation" : "[134]", "previouslyFormattedCitation" : "[134]" }, "properties" : { "noteIndex" : 0 }, "schema" : "https://github.com/citation-style-language/schema/raw/master/csl-citation.json" }</w:instrText>
      </w:r>
      <w:r w:rsidR="0051590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[134]</w:t>
      </w:r>
      <w:r w:rsidR="0051590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Therefore, this assay can overestimate the amount of biofilm attached to a surface.</w:t>
      </w:r>
    </w:p>
    <w:p w14:paraId="6A5CA2A7" w14:textId="77777777" w:rsidR="00436CD0" w:rsidRDefault="00436CD0" w:rsidP="00436CD0">
      <w:pPr>
        <w:spacing w:line="360" w:lineRule="auto"/>
        <w:ind w:left="3960"/>
        <w:contextualSpacing/>
        <w:rPr>
          <w:rFonts w:asciiTheme="minorHAnsi" w:eastAsia="Arial" w:hAnsiTheme="minorHAnsi" w:cs="Arial"/>
          <w:color w:val="000000"/>
          <w:sz w:val="22"/>
          <w:szCs w:val="22"/>
          <w:lang w:eastAsia="en-GB"/>
        </w:rPr>
      </w:pPr>
    </w:p>
    <w:p w14:paraId="7ED8C106" w14:textId="6213453E" w:rsidR="00436CD0" w:rsidRPr="00B94D0C" w:rsidRDefault="00B94D0C" w:rsidP="00B94D0C">
      <w:pPr>
        <w:pStyle w:val="Heading7"/>
      </w:pPr>
      <w:bookmarkStart w:id="60" w:name="_Toc462575277"/>
      <w:r w:rsidRPr="00B94D0C">
        <w:t xml:space="preserve">2.5.3.3. </w:t>
      </w:r>
      <w:r w:rsidR="00436CD0" w:rsidRPr="00B94D0C">
        <w:t>Extracellular analysis - Microscopy</w:t>
      </w:r>
      <w:bookmarkEnd w:id="60"/>
      <w:r w:rsidR="00436CD0" w:rsidRPr="00B94D0C">
        <w:t xml:space="preserve"> </w:t>
      </w:r>
    </w:p>
    <w:p w14:paraId="5C71F3A5" w14:textId="4FEE5F1F"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In the last two decades, fluorescence-stained microbial samples combined with epifluorescence or confocal laser scanning microscopy (CLSM) has become a solid part of a microbiologist’s standard suite of biofilm research methods</w:t>
      </w:r>
      <w:r w:rsidR="0051590D">
        <w:rPr>
          <w:rFonts w:asciiTheme="minorHAnsi" w:eastAsia="Calibri" w:hAnsiTheme="minorHAnsi" w:cs="Calibri"/>
          <w:color w:val="000000"/>
          <w:sz w:val="22"/>
          <w:szCs w:val="22"/>
          <w:lang w:eastAsia="en-GB"/>
        </w:rPr>
        <w:t xml:space="preserve"> </w:t>
      </w:r>
      <w:r w:rsidR="0051590D">
        <w:rPr>
          <w:rFonts w:asciiTheme="minorHAnsi" w:eastAsia="Calibri" w:hAnsiTheme="minorHAnsi" w:cs="Calibri"/>
          <w:color w:val="000000"/>
          <w:sz w:val="22"/>
          <w:szCs w:val="22"/>
          <w:lang w:eastAsia="en-GB"/>
        </w:rPr>
        <w:fldChar w:fldCharType="begin" w:fldLock="1"/>
      </w:r>
      <w:r w:rsidR="0051590D">
        <w:rPr>
          <w:rFonts w:asciiTheme="minorHAnsi" w:eastAsia="Calibri" w:hAnsiTheme="minorHAnsi" w:cs="Calibri"/>
          <w:color w:val="000000"/>
          <w:sz w:val="22"/>
          <w:szCs w:val="22"/>
          <w:lang w:eastAsia="en-GB"/>
        </w:rPr>
        <w:instrText>ADDIN CSL_CITATION { "citationItems" : [ { "id" : "ITEM-1", "itemData" : { "DOI" : "10.1016/S0167-7012(97)00058-4", "ISSN" : "01677012", "author" : [ { "dropping-particle" : "", "family" : "An", "given" : "Yuehuei H", "non-dropping-particle" : "", "parse-names" : false, "suffix" : "" }, { "dropping-particle" : "", "family" : "Friedman", "given" : "Richard J", "non-dropping-particle" : "", "parse-names" : false, "suffix" : "" } ], "container-title" : "Journal of Microbiological Methods", "id" : "ITEM-1", "issue" : "2", "issued" : { "date-parts" : [ [ "1997", "8" ] ] }, "page" : "141-152", "title" : "Laboratory methods for studies of bacterial adhesion", "type" : "article-journal", "volume" : "30" }, "uris" : [ "http://www.mendeley.com/documents/?uuid=a2942c76-e961-4a5a-b60f-3947fca50dd1" ] } ], "mendeley" : { "formattedCitation" : "[25]", "plainTextFormattedCitation" : "[25]", "previouslyFormattedCitation" : "[25]" }, "properties" : { "noteIndex" : 0 }, "schema" : "https://github.com/citation-style-language/schema/raw/master/csl-citation.json" }</w:instrText>
      </w:r>
      <w:r w:rsidR="0051590D">
        <w:rPr>
          <w:rFonts w:asciiTheme="minorHAnsi" w:eastAsia="Calibri" w:hAnsiTheme="minorHAnsi" w:cs="Calibri"/>
          <w:color w:val="000000"/>
          <w:sz w:val="22"/>
          <w:szCs w:val="22"/>
          <w:lang w:eastAsia="en-GB"/>
        </w:rPr>
        <w:fldChar w:fldCharType="separate"/>
      </w:r>
      <w:r w:rsidR="0051590D" w:rsidRPr="0051590D">
        <w:rPr>
          <w:rFonts w:asciiTheme="minorHAnsi" w:eastAsia="Calibri" w:hAnsiTheme="minorHAnsi" w:cs="Calibri"/>
          <w:noProof/>
          <w:color w:val="000000"/>
          <w:sz w:val="22"/>
          <w:szCs w:val="22"/>
          <w:lang w:eastAsia="en-GB"/>
        </w:rPr>
        <w:t>[25]</w:t>
      </w:r>
      <w:r w:rsidR="0051590D">
        <w:rPr>
          <w:rFonts w:asciiTheme="minorHAnsi" w:eastAsia="Calibri" w:hAnsiTheme="minorHAnsi" w:cs="Calibri"/>
          <w:color w:val="000000"/>
          <w:sz w:val="22"/>
          <w:szCs w:val="22"/>
          <w:lang w:eastAsia="en-GB"/>
        </w:rPr>
        <w:fldChar w:fldCharType="end"/>
      </w:r>
      <w:r w:rsidR="0051590D">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This method offers a direct insight into the quantification, composition and architecture of surface-attached biofilms in a rapid and reliable way. This is an especially appropriate method for the examination of biofilms formed on non-transparent surfaces, such as plastics and metals </w:t>
      </w:r>
      <w:r w:rsidR="0051590D">
        <w:rPr>
          <w:rFonts w:asciiTheme="minorHAnsi" w:eastAsia="Calibri" w:hAnsiTheme="minorHAnsi" w:cs="Calibri"/>
          <w:color w:val="000000"/>
          <w:sz w:val="22"/>
          <w:szCs w:val="22"/>
          <w:lang w:eastAsia="en-GB"/>
        </w:rPr>
        <w:fldChar w:fldCharType="begin" w:fldLock="1"/>
      </w:r>
      <w:r w:rsidR="0051590D">
        <w:rPr>
          <w:rFonts w:asciiTheme="minorHAnsi" w:eastAsia="Calibri" w:hAnsiTheme="minorHAnsi" w:cs="Calibri"/>
          <w:color w:val="000000"/>
          <w:sz w:val="22"/>
          <w:szCs w:val="22"/>
          <w:lang w:eastAsia="en-GB"/>
        </w:rPr>
        <w:instrText>ADDIN CSL_CITATION { "citationItems" : [ { "id" : "ITEM-1", "itemData" : { "DOI" : "10.1016/S0167-7012(97)00058-4", "ISSN" : "01677012", "author" : [ { "dropping-particle" : "", "family" : "An", "given" : "Yuehuei H", "non-dropping-particle" : "", "parse-names" : false, "suffix" : "" }, { "dropping-particle" : "", "family" : "Friedman", "given" : "Richard J", "non-dropping-particle" : "", "parse-names" : false, "suffix" : "" } ], "container-title" : "Journal of Microbiological Methods", "id" : "ITEM-1", "issue" : "2", "issued" : { "date-parts" : [ [ "1997", "8" ] ] }, "page" : "141-152", "title" : "Laboratory methods for studies of bacterial adhesion", "type" : "article-journal", "volume" : "30" }, "uris" : [ "http://www.mendeley.com/documents/?uuid=a2942c76-e961-4a5a-b60f-3947fca50dd1" ] } ], "mendeley" : { "formattedCitation" : "[25]", "plainTextFormattedCitation" : "[25]", "previouslyFormattedCitation" : "[25]" }, "properties" : { "noteIndex" : 0 }, "schema" : "https://github.com/citation-style-language/schema/raw/master/csl-citation.json" }</w:instrText>
      </w:r>
      <w:r w:rsidR="0051590D">
        <w:rPr>
          <w:rFonts w:asciiTheme="minorHAnsi" w:eastAsia="Calibri" w:hAnsiTheme="minorHAnsi" w:cs="Calibri"/>
          <w:color w:val="000000"/>
          <w:sz w:val="22"/>
          <w:szCs w:val="22"/>
          <w:lang w:eastAsia="en-GB"/>
        </w:rPr>
        <w:fldChar w:fldCharType="separate"/>
      </w:r>
      <w:r w:rsidR="0051590D" w:rsidRPr="0051590D">
        <w:rPr>
          <w:rFonts w:asciiTheme="minorHAnsi" w:eastAsia="Calibri" w:hAnsiTheme="minorHAnsi" w:cs="Calibri"/>
          <w:noProof/>
          <w:color w:val="000000"/>
          <w:sz w:val="22"/>
          <w:szCs w:val="22"/>
          <w:lang w:eastAsia="en-GB"/>
        </w:rPr>
        <w:t>[25]</w:t>
      </w:r>
      <w:r w:rsidR="005159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1A9CF382" w14:textId="740923D5"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Epifluorescence and CLSM have gained much interest for their ability to non-destructively visualise fluorescently stained microbial cells in situ</w:t>
      </w:r>
      <w:r w:rsidR="0051590D">
        <w:rPr>
          <w:rFonts w:asciiTheme="minorHAnsi" w:eastAsia="Calibri" w:hAnsiTheme="minorHAnsi" w:cs="Calibri"/>
          <w:color w:val="000000"/>
          <w:sz w:val="22"/>
          <w:szCs w:val="22"/>
          <w:lang w:eastAsia="en-GB"/>
        </w:rPr>
        <w:t xml:space="preserve"> </w:t>
      </w:r>
      <w:r w:rsidR="005159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"ISSN" : "0167-7012", "PMID" : "12031574", "abstract" : "Fluorescently labelled lectins were used in combination with epifluorescence microscopy and confocal laser scanning microscopy to allow the visualization and characterization of carbohydrate-containing extracellular polymeric substances (EPS) in biofilms of Pseudomonas aeruginosa. A mucoid strain characterized by an overproduction of the exopolysaccharide alginate, and an isogenic, non-mucoid strain were used. Model biofilms grown on polycarbonate filters were treated with lectins concanavalin A (ConA) and wheat germ agglutinin (WGA) that were fluorescently labelled with fluorescein isothiocyanate or tetramethyl rhodamine isothiocyanate. Fluorescently labelled ConA yielded cloud-like regions that were heterogeneously distributed within mucoid biofilms, whereas these structures were only rarely present in biofilms of the non-mucoid strain. The bacteria visualized with the fluorochrome SYTO 9 were localized both within and between the ConA-stained regions. In WGA-treated biofilms, the lectin was predominantly associated with bacterial cells. Alginate seemed to be involved in the interaction of ConA with the EPS matrix, since (i) pre-treatment of biofilms with an alginate lyase resulted in a loss of ConA biofilm staining, and (ii) using an enzyme-linked lectinsorbent assay (ELLA), ConA was shown to bind to purified alginate, but not to alginate that was degraded by alginate lyase. The application of fluorescently labelled lectins in combination with ELLA was found to be useful for the visualization and characterization of extracellular polysaccharide structures in P. aeruginosa biofilms.", "author" : [ { "dropping-particle" : "", "family" : "Strathmann", "given" : "Martin", "non-dropping-particle" : "", "parse-names" : false, "suffix" : "" }, { "dropping-particle" : "", "family" : "Wingender", "given" : "Jost", "non-dropping-particle" : "", "parse-names" : false, "suffix" : "" }, { "dropping-particle" : "", "family" : "Flemming", "given" : "Hans-Curt", "non-dropping-particle" : "", "parse-names" : false, "suffix" : "" } ], "container-title" : "Journal of microbiological methods", "id" : "ITEM-1", "issue" : "3", "issued" : { "date-parts" : [ [ "2002", "8" ] ] }, "page" : "237-48", "title" : "Application of fluorescently labelled lectins for the visualization and biochemical characterization of polysaccharides in biofilms of Pseudomonas aeruginosa.", "type" : "article-journal", "volume" : "50" }, "uris" : [ "http://www.mendeley.com/documents/?uuid=a6af2df4-5ff9-4e31-b1a2-fe9d5741e7d0" ] } ], "mendeley" : { "formattedCitation" : "[135]", "plainTextFormattedCitation" : "[135]", "previouslyFormattedCitation" : "[135]" }, "properties" : { "noteIndex" : 0 }, "schema" : "https://github.com/citation-style-language/schema/raw/master/csl-citation.json" }</w:instrText>
      </w:r>
      <w:r w:rsidR="005159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[135]</w:t>
      </w:r>
      <w:r w:rsidR="005159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CLSM offers the additional advantage of offering higher resolution images than epifluorescence microscopy, </w:t>
      </w:r>
      <w:r w:rsidRPr="00C44D8C">
        <w:rPr>
          <w:rFonts w:asciiTheme="minorHAnsi" w:eastAsia="Calibri" w:hAnsiTheme="minorHAnsi" w:cs="Calibri"/>
          <w:color w:val="000000"/>
          <w:sz w:val="22"/>
          <w:szCs w:val="22"/>
          <w:lang w:eastAsia="en-GB"/>
        </w:rPr>
        <w:lastRenderedPageBreak/>
        <w:t xml:space="preserve">and an ability to examine the depths of biofilms to provide further information on the architecture of biofilms. However, CLSM is limited by the fact that it is time-consuming, requires technical expertise and requires expensive equipment and consumables </w:t>
      </w:r>
      <w:r w:rsidR="005159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"10.1128/AEM.68.6.2950", "author" : [ { "dropping-particle" : "", "family" : "Djordjevic", "given" : "D", "non-dropping-particle" : "", "parse-names" : false, "suffix" : "" }, { "dropping-particle" : "", "family" : "Wiedmann", "given" : "M", "non-dropping-particle" : "", "parse-names" : false, "suffix" : "" }, { "dropping-particle" : "", "family" : "Mclandsborough", "given" : "L A", "non-dropping-particle" : "", "parse-names" : false, "suffix" : "" } ], "container-title" : "Applied and environmental microbiology", "id" : "ITEM-1", "issue" : "6", "issued" : { "date-parts" : [ [ "2002" ] ] }, "page" : "2950-2958", "title" : "Microtiter Plate Assay for Assessment of Listeria monocytogenes Biofilm Formation", "type" : "article-journal", "volume" : "68" }, "uris" : [ "http://www.mendeley.com/documents/?uuid=d2568107-7392-4c3f-a004-a377ce6010db" ] } ], "mendeley" : { "formattedCitation" : "[132]", "plainTextFormattedCitation" : "[132]", "previouslyFormattedCitation" : "[132]" }, "properties" : { "noteIndex" : 0 }, "schema" : "https://github.com/citation-style-language/schema/raw/master/csl-citation.json" }</w:instrText>
      </w:r>
      <w:r w:rsidR="005159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[132]</w:t>
      </w:r>
      <w:r w:rsidR="005159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123691A7" w14:textId="141CD18C"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 Epifluorescence microscopy cannot accurately measure the thickness of biofilms, and is more suited for the investigation of thin and sparse biofilms. It also requires less technical expertise and costly equipment than CLSM </w:t>
      </w:r>
      <w:r w:rsidR="0051590D">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"10.1128/CMR.15.2.155", "author" : [ { "dropping-particle" : "", "family" : "Dunne", "given" : "W Michael", "non-dropping-particle" : "", "parse-names" : false, "suffix" : "" } ], "container-title" : "Clinical Microbiology Reviews", "id" : "ITEM-1", "issue" : "2", "issued" : { "date-parts" : [ [ "2002" ] ] }, "page" : "155-166", "title" : "Bacterial Adhesion : Seen Any Good Biofilms Lately ?", "type" : "article-journal", "volume" : "15" }, "uris" : [ "http://www.mendeley.com/documents/?uuid=ece23a4d-2182-4690-b9d9-594a4923f661" ] } ], "mendeley" : { "formattedCitation" : "[65]", "plainTextFormattedCitation" : "[65]", "previouslyFormattedCitation" : "[65]" }, "properties" : { "noteIndex" : 0 }, "schema" : "https://github.com/citation-style-language/schema/raw/master/csl-citation.json" }</w:instrText>
      </w:r>
      <w:r w:rsidR="0051590D">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[65]</w:t>
      </w:r>
      <w:r w:rsidR="005159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527E7BD3" w14:textId="7FCCCC74"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Microbial biofilms can be stained with various fluorescent dyes that selectively bind to specific biofilm components to allow a visualisation of the spatial arrangement of biofilms, the composition of the surrounding EPS and a means of quantifying cells or biofilm components</w:t>
      </w:r>
      <w:r w:rsidR="0051590D">
        <w:rPr>
          <w:rFonts w:asciiTheme="minorHAnsi" w:eastAsia="Calibri" w:hAnsiTheme="minorHAnsi" w:cs="Calibri"/>
          <w:color w:val="000000"/>
          <w:sz w:val="22"/>
          <w:szCs w:val="22"/>
          <w:lang w:eastAsia="en-GB"/>
        </w:rPr>
        <w:t xml:space="preserve"> </w:t>
      </w:r>
      <w:r w:rsidR="0051590D">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sidR="0051590D">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sidR="0051590D">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For example, 4',6-diamidino-2-phenylindole (DAPI) binds to nuclear DNA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"Tarnowski", "given" : "Betty", "non-dropping-particle" : "", "parse-names" : false, "suffix" : "" }, { "dropping-particle" : "", "family" : "Spinale", "given" : "Francis G", "non-dropping-particle" : "", "parse-names" : false, "suffix" : "" }, { "dropping-particle" : "", "family" : "Nicholson", "given" : "James H", "non-dropping-particle" : "", "parse-names" : false, "suffix" : "" } ], "container-title" : "Biotechnic &amp; Histochemistry", "id" : "ITEM-1", "issued" : { "date-parts" : [ [ "1991" ] ] }, "page" : "296-302", "title" : "DAPl as a Useful Stain for Nuclear Quantitation", "type" : "article-journal" }, "uris" : [ "http://www.mendeley.com/documents/?uuid=91414250-8f64-4400-a104-470a637405aa" ] } ], "mendeley" : { "formattedCitation" : "[136]", "plainTextFormattedCitation" : "[136]", "previouslyFormattedCitation" : "[136]"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[136]</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propidium iodide permeates through damaged cell membranes and can detect dead cells</w:t>
      </w:r>
      <w:r w:rsidR="00142BB4">
        <w:rPr>
          <w:rFonts w:asciiTheme="minorHAnsi" w:eastAsia="Calibri" w:hAnsiTheme="minorHAnsi" w:cs="Calibri"/>
          <w:color w:val="000000"/>
          <w:sz w:val="22"/>
          <w:szCs w:val="22"/>
          <w:lang w:eastAsia="en-GB"/>
        </w:rPr>
        <w:t xml:space="preserve">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"10.1128/AEM.70.11.6884", "author" : [ { "dropping-particle" : "", "family" : "Leuko", "given" : "Stefan", "non-dropping-particle" : "", "parse-names" : false, "suffix" : "" }, { "dropping-particle" : "", "family" : "Legat", "given" : "Andrea", "non-dropping-particle" : "", "parse-names" : false, "suffix" : "" }, { "dropping-particle" : "", "family" : "Fendrihan", "given" : "Sergiu", "non-dropping-particle" : "", "parse-names" : false, "suffix" : "" }, { "dropping-particle" : "", "family" : "Stan-lotter", "given" : "Helga", "non-dropping-particle" : "", "parse-names" : false, "suffix" : "" } ], "container-title" : "Appl. Environ. Microbiol.", "id" : "ITEM-1", "issue" : "11", "issued" : { "date-parts" : [ [ "2004" ] ] }, "page" : "6884-6886", "title" : "Evaluation of the LIVE / DEAD Bac Light Kit for Detection of Extremophilic Archaea and Visualization of Microorganisms in Environmental Hypersaline Samples", "type" : "article-journal", "volume" : "70" }, "uris" : [ "http://www.mendeley.com/documents/?uuid=65eceaac-8d4d-43a3-aa18-3e602c6c261b" ] } ], "mendeley" : { "formattedCitation" : "[137]", "plainTextFormattedCitation" : "[137]", "previouslyFormattedCitation" : "[137]"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[137]</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concanavalin A (ConA) binds to glucose and mannose residues </w:t>
      </w:r>
      <w:r w:rsidR="00142BB4">
        <w:rPr>
          <w:rFonts w:asciiTheme="minorHAnsi" w:eastAsia="Calibri" w:hAnsiTheme="minorHAnsi" w:cs="Calibri"/>
          <w:color w:val="000000"/>
          <w:sz w:val="22"/>
          <w:szCs w:val="22"/>
          <w:lang w:eastAsia="en-GB"/>
        </w:rPr>
        <w:fldChar w:fldCharType="begin" w:fldLock="1"/>
      </w:r>
      <w:r w:rsidR="00142BB4">
        <w:rPr>
          <w:rFonts w:asciiTheme="minorHAnsi" w:eastAsia="Calibri" w:hAnsiTheme="minorHAnsi" w:cs="Calibri"/>
          <w:color w:val="000000"/>
          <w:sz w:val="22"/>
          <w:szCs w:val="22"/>
          <w:lang w:eastAsia="en-GB"/>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"mendeley" : { "formattedCitation" : "[20]", "plainTextFormattedCitation" : "[20]", "previouslyFormattedCitation" : "[20]"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142BB4" w:rsidRPr="00142BB4">
        <w:rPr>
          <w:rFonts w:asciiTheme="minorHAnsi" w:eastAsia="Calibri" w:hAnsiTheme="minorHAnsi" w:cs="Calibri"/>
          <w:noProof/>
          <w:color w:val="000000"/>
          <w:sz w:val="22"/>
          <w:szCs w:val="22"/>
          <w:lang w:eastAsia="en-GB"/>
        </w:rPr>
        <w:t>[20]</w:t>
      </w:r>
      <w:r w:rsidR="00142BB4">
        <w:rPr>
          <w:rFonts w:asciiTheme="minorHAnsi" w:eastAsia="Calibri" w:hAnsiTheme="minorHAnsi" w:cs="Calibri"/>
          <w:color w:val="000000"/>
          <w:sz w:val="22"/>
          <w:szCs w:val="22"/>
          <w:lang w:eastAsia="en-GB"/>
        </w:rPr>
        <w:fldChar w:fldCharType="end"/>
      </w:r>
      <w:r w:rsidR="00B85E87">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fluorescein-5-isothiocyanate (FITC) binds to proteins</w:t>
      </w:r>
      <w:r w:rsidR="00142BB4">
        <w:rPr>
          <w:rFonts w:asciiTheme="minorHAnsi" w:eastAsia="Calibri" w:hAnsiTheme="minorHAnsi" w:cs="Calibri"/>
          <w:color w:val="000000"/>
          <w:sz w:val="22"/>
          <w:szCs w:val="22"/>
          <w:lang w:eastAsia="en-GB"/>
        </w:rPr>
        <w:t xml:space="preserve">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"10.1371/journal.pone.0115824", "author" : [ { "dropping-particle" : "", "family" : "Fish", "given" : "Katherine E", "non-dropping-particle" : "", "parse-names" : false, "suffix" : "" }, { "dropping-particle" : "", "family" : "Collins", "given" : "Richard", "non-dropping-particle" : "", "parse-names" : false, "suffix" : "" }, { "dropping-particle" : "", "family" : "Green", "given" : "Nicola H", "non-dropping-particle" : "", "parse-names" : false, "suffix" : "" }, { "dropping-particle" : "", "family" : "Sharpe", "given" : "Rebecca L", "non-dropping-particle" : "", "parse-names" : false, "suffix" : "" }, { "dropping-particle" : "", "family" : "Douterelo", "given" : "Isabel", "non-dropping-particle" : "", "parse-names" : false, "suffix" : "" }, { "dropping-particle" : "", "family" : "Osborn", "given" : "A Mark", "non-dropping-particle" : "", "parse-names" : false, "suffix" : "" }, { "dropping-particle" : "", "family" : "Boxall", "given" : "Joby B", "non-dropping-particle" : "", "parse-names" : false, "suffix" : "" } ], "container-title" : "PloS one", "id" : "ITEM-1", "issue" : "2", "issued" : { "date-parts" : [ [ "2015" ] ] }, "page" : "1-22", "title" : "Characterisation of the Physical Composition and Microbial Community Structure of Biofilms within a Model Full-Scale Drinking Water Distribution System", "type" : "article-journal", "volume" : "10" }, "uris" : [ "http://www.mendeley.com/documents/?uuid=524bf8f3-e31b-499e-be24-7045210c5a4b" ] } ], "mendeley" : { "formattedCitation" : "[138]", "plainTextFormattedCitation" : "[138]", "previouslyFormattedCitation" : "[138]"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[138]</w:t>
      </w:r>
      <w:r w:rsidR="00142BB4">
        <w:rPr>
          <w:rFonts w:asciiTheme="minorHAnsi" w:eastAsia="Calibri" w:hAnsiTheme="minorHAnsi" w:cs="Calibri"/>
          <w:color w:val="000000"/>
          <w:sz w:val="22"/>
          <w:szCs w:val="22"/>
          <w:lang w:eastAsia="en-GB"/>
        </w:rPr>
        <w:fldChar w:fldCharType="end"/>
      </w:r>
      <w:r w:rsidR="00B85E87">
        <w:rPr>
          <w:rFonts w:asciiTheme="minorHAnsi" w:eastAsia="Calibri" w:hAnsiTheme="minorHAnsi" w:cs="Calibri"/>
          <w:color w:val="000000"/>
          <w:sz w:val="22"/>
          <w:szCs w:val="22"/>
          <w:lang w:eastAsia="en-GB"/>
        </w:rPr>
        <w:t xml:space="preserve"> and </w:t>
      </w:r>
      <w:r w:rsidR="00B85E87" w:rsidRPr="00B85E87">
        <w:rPr>
          <w:rFonts w:asciiTheme="minorHAnsi" w:eastAsia="Calibri" w:hAnsiTheme="minorHAnsi" w:cs="Calibri"/>
          <w:color w:val="000000"/>
          <w:sz w:val="22"/>
          <w:szCs w:val="22"/>
          <w:lang w:eastAsia="en-GB"/>
        </w:rPr>
        <w:t>DDAO (7-hydroxy-9H−1,3-dichloro-9,9-dimethylacridin-2-one</w:t>
      </w:r>
      <w:r w:rsidR="00B85E87">
        <w:rPr>
          <w:rFonts w:asciiTheme="minorHAnsi" w:eastAsia="Calibri" w:hAnsiTheme="minorHAnsi" w:cs="Calibri"/>
          <w:color w:val="000000"/>
          <w:sz w:val="22"/>
          <w:szCs w:val="22"/>
          <w:lang w:eastAsia="en-GB"/>
        </w:rPr>
        <w:t xml:space="preserve">) stains extracellular DNA (eDNA) </w:t>
      </w:r>
      <w:r w:rsidR="00B85E87">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"10.1007/s00253-015-6775-y", "ISSN" : "14320614", "author" : [ { "dropping-particle" : "", "family" : "Zhang", "given" : "Ruiyong", "non-dropping-particle" : "", "parse-names" : false, "suffix" : "" }, { "dropping-particle" : "", "family" : "Neu", "given" : "Thomas R.", "non-dropping-particle" : "", "parse-names" : false, "suffix" : "" }, { "dropping-particle" : "", "family" : "Zhang", "given" : "Yutong", "non-dropping-particle" : "", "parse-names" : false, "suffix" : "" }, { "dropping-particle" : "", "family" : "Bellenberg", "given" : "S??ren", "non-dropping-particle" : "", "parse-names" : false, "suffix" : "" }, { "dropping-particle" : "", "family" : "Kuhlicke", "given" : "Ute", "non-dropping-particle" : "", "parse-names" : false, "suffix" : "" }, { "dropping-particle" : "", "family" : "Li", "given" : "Qian", "non-dropping-particle" : "", "parse-names" : false, "suffix" : "" }, { "dropping-particle" : "", "family" : "Sand", "given" : "Wolfgang", "non-dropping-particle" : "", "parse-names" : false, "suffix" : "" }, { "dropping-particle" : "", "family" : "Vera", "given" : "Mario", "non-dropping-particle" : "", "parse-names" : false, "suffix" : "" } ], "container-title" : "Applied Microbiology and Biotechnology", "id" : "ITEM-1", "issued" : { "date-parts" : [ [ "2015" ] ] }, "title" : "Visualization and analysis of EPS glycoconjugates of the thermoacidophilic archaeon Sulfolobus metallicus", "type" : "article-journal" }, "uris" : [ "http://www.mendeley.com/documents/?uuid=84fe2aff-b4a9-3d68-bbfe-4ff7a962c1e9" ] } ], "mendeley" : { "formattedCitation" : "[110]", "plainTextFormattedCitation" : "[110]", "previouslyFormattedCitation" : "[110]" }, "properties" : { "noteIndex" : 0 }, "schema" : "https://github.com/citation-style-language/schema/raw/master/csl-citation.json" }</w:instrText>
      </w:r>
      <w:r w:rsidR="00B85E87">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[110]</w:t>
      </w:r>
      <w:r w:rsidR="00B85E87">
        <w:rPr>
          <w:rFonts w:asciiTheme="minorHAnsi" w:eastAsia="Calibri" w:hAnsiTheme="minorHAnsi" w:cs="Calibri"/>
          <w:color w:val="000000"/>
          <w:sz w:val="22"/>
          <w:szCs w:val="22"/>
          <w:lang w:eastAsia="en-GB"/>
        </w:rPr>
        <w:fldChar w:fldCharType="end"/>
      </w:r>
      <w:r w:rsidR="00B85E87">
        <w:rPr>
          <w:rFonts w:asciiTheme="minorHAnsi" w:eastAsia="Calibri" w:hAnsiTheme="minorHAnsi" w:cs="Calibri"/>
          <w:color w:val="000000"/>
          <w:sz w:val="22"/>
          <w:szCs w:val="22"/>
          <w:lang w:eastAsia="en-GB"/>
        </w:rPr>
        <w:t>.</w:t>
      </w:r>
    </w:p>
    <w:p w14:paraId="5961246B" w14:textId="129BFA38"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There is an important place for microscopy in the study of biofilms, as they allow the direct observation and quantification of biofilms</w:t>
      </w:r>
      <w:r w:rsidR="00142BB4">
        <w:rPr>
          <w:rFonts w:asciiTheme="minorHAnsi" w:eastAsia="Calibri" w:hAnsiTheme="minorHAnsi" w:cs="Calibri"/>
          <w:color w:val="000000"/>
          <w:sz w:val="22"/>
          <w:szCs w:val="22"/>
          <w:lang w:eastAsia="en-GB"/>
        </w:rPr>
        <w:t xml:space="preserve">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They are also appropriate for analysing large sample sets, and most importantly, make it possible to directly quantify and observe attached cell biomass</w:t>
      </w:r>
      <w:r w:rsidR="00142BB4">
        <w:rPr>
          <w:rFonts w:asciiTheme="minorHAnsi" w:eastAsia="Calibri" w:hAnsiTheme="minorHAnsi" w:cs="Calibri"/>
          <w:color w:val="000000"/>
          <w:sz w:val="22"/>
          <w:szCs w:val="22"/>
          <w:lang w:eastAsia="en-GB"/>
        </w:rPr>
        <w:t xml:space="preserve"> </w:t>
      </w:r>
      <w:r w:rsidR="00142BB4">
        <w:rPr>
          <w:rFonts w:asciiTheme="minorHAnsi" w:eastAsia="Calibri" w:hAnsiTheme="minorHAnsi" w:cs="Calibri"/>
          <w:color w:val="000000"/>
          <w:sz w:val="22"/>
          <w:szCs w:val="22"/>
          <w:lang w:eastAsia="en-GB"/>
        </w:rPr>
        <w:fldChar w:fldCharType="begin" w:fldLock="1"/>
      </w:r>
      <w:r w:rsidR="00142BB4">
        <w:rPr>
          <w:rFonts w:asciiTheme="minorHAnsi" w:eastAsia="Calibri" w:hAnsiTheme="minorHAnsi" w:cs="Calibri"/>
          <w:color w:val="000000"/>
          <w:sz w:val="22"/>
          <w:szCs w:val="22"/>
          <w:lang w:eastAsia="en-GB"/>
        </w:rPr>
        <w:instrText>ADDIN CSL_CITATION { "citationItems" : [ { "id" : "ITEM-1", "itemData" : { "DOI" : "10.1016/S0167-7012(97)00058-4", "ISSN" : "01677012", "author" : [ { "dropping-particle" : "", "family" : "An", "given" : "Yuehuei H", "non-dropping-particle" : "", "parse-names" : false, "suffix" : "" }, { "dropping-particle" : "", "family" : "Friedman", "given" : "Richard J", "non-dropping-particle" : "", "parse-names" : false, "suffix" : "" } ], "container-title" : "Journal of Microbiological Methods", "id" : "ITEM-1", "issue" : "2", "issued" : { "date-parts" : [ [ "1997", "8" ] ] }, "page" : "141-152", "title" : "Laboratory methods for studies of bacterial adhesion", "type" : "article-journal", "volume" : "30" }, "uris" : [ "http://www.mendeley.com/documents/?uuid=a2942c76-e961-4a5a-b60f-3947fca50dd1" ] } ], "mendeley" : { "formattedCitation" : "[25]", "plainTextFormattedCitation" : "[25]", "previouslyFormattedCitation" : "[25]"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142BB4" w:rsidRPr="00142BB4">
        <w:rPr>
          <w:rFonts w:asciiTheme="minorHAnsi" w:eastAsia="Calibri" w:hAnsiTheme="minorHAnsi" w:cs="Calibri"/>
          <w:noProof/>
          <w:color w:val="000000"/>
          <w:sz w:val="22"/>
          <w:szCs w:val="22"/>
          <w:lang w:eastAsia="en-GB"/>
        </w:rPr>
        <w:t>[25]</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7EBF03BE" w14:textId="302F1B3D"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ab/>
        <w:t xml:space="preserve">Fluorescent staining has been used to quantify and visualise surface-attached cells and EPS for both pure cultures and mixed environmental samples. </w:t>
      </w:r>
      <w:r w:rsidRPr="00142BB4">
        <w:rPr>
          <w:rFonts w:asciiTheme="minorHAnsi" w:eastAsia="Calibri" w:hAnsiTheme="minorHAnsi" w:cs="Calibri"/>
          <w:color w:val="000000"/>
          <w:sz w:val="22"/>
          <w:szCs w:val="22"/>
          <w:lang w:eastAsia="en-GB"/>
        </w:rPr>
        <w:t xml:space="preserve">Chen </w:t>
      </w:r>
      <w:r w:rsidRPr="00142BB4">
        <w:rPr>
          <w:rFonts w:asciiTheme="minorHAnsi" w:eastAsia="Calibri" w:hAnsiTheme="minorHAnsi" w:cs="Calibri"/>
          <w:i/>
          <w:color w:val="000000"/>
          <w:sz w:val="22"/>
          <w:szCs w:val="22"/>
          <w:lang w:eastAsia="en-GB"/>
        </w:rPr>
        <w:t xml:space="preserve">et al. </w:t>
      </w:r>
      <w:r w:rsidRPr="00142BB4">
        <w:rPr>
          <w:rFonts w:asciiTheme="minorHAnsi" w:eastAsia="Calibri" w:hAnsiTheme="minorHAnsi" w:cs="Calibri"/>
          <w:color w:val="000000"/>
          <w:sz w:val="22"/>
          <w:szCs w:val="22"/>
          <w:lang w:eastAsia="en-GB"/>
        </w:rPr>
        <w:t>(2006)</w:t>
      </w:r>
      <w:r w:rsidRPr="00C44D8C">
        <w:rPr>
          <w:rFonts w:asciiTheme="minorHAnsi" w:eastAsia="Calibri" w:hAnsiTheme="minorHAnsi" w:cs="Calibri"/>
          <w:color w:val="000000"/>
          <w:sz w:val="22"/>
          <w:szCs w:val="22"/>
          <w:lang w:eastAsia="en-GB"/>
        </w:rPr>
        <w:t xml:space="preserve"> used four fluorescent stains (FITC, SYTO 63, ConA and calcofluor white) to examine the spatial arrangement of nucleic acids, proteins and polysaccharides in the EPS of biofilms from waste-activated sludge attached to cellulose membranes</w:t>
      </w:r>
      <w:r w:rsidR="00142BB4">
        <w:rPr>
          <w:rFonts w:asciiTheme="minorHAnsi" w:eastAsia="Calibri" w:hAnsiTheme="minorHAnsi" w:cs="Calibri"/>
          <w:color w:val="000000"/>
          <w:sz w:val="22"/>
          <w:szCs w:val="22"/>
          <w:lang w:eastAsia="en-GB"/>
        </w:rPr>
        <w:t xml:space="preserve">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"ISSN" : "0013-936X", "PMID" : "17144290", "abstract" : "Membrane biofouling by microbial products adversely impacts the feasibility of adopting membrane bioreactors (MBRs) for treating wastewater. The fouling layer structure determines the pressure drop across the fouling layer. Three-dimensional distributions of nucleic acids, proteins, alpha-D-GLUCOPYRANOSE POLYSACCHARIDES, AND B-D-glucopyranose polysaccharides in the fouling layer formed on a mixed cellulose ester membrane were generated utilizing a quadruple staining protocol combined with confocal laser scanning microscopy (CLSM). For the first time, this study constructed a three-dimensional volumetric grids model representing the fouling layer structure on the basis of a series of CLSM images. Quantitative structural information about the fouling layer was extracted from the CLSM images.", "author" : [ { "dropping-particle" : "", "family" : "Chen", "given" : "Ming-Yuan", "non-dropping-particle" : "", "parse-names" : false, "suffix" : "" }, { "dropping-particle" : "", "family" : "Lee", "given" : "Duu-Jong", "non-dropping-particle" : "", "parse-names" : false, "suffix" : "" }, { "dropping-particle" : "", "family" : "Yang", "given" : "Z", "non-dropping-particle" : "", "parse-names" : false, "suffix" : "" }, { "dropping-particle" : "", "family" : "Peng", "given" : "X F", "non-dropping-particle" : "", "parse-names" : false, "suffix" : "" }, { "dropping-particle" : "", "family" : "Lai", "given" : "J Y", "non-dropping-particle" : "", "parse-names" : false, "suffix" : "" } ], "container-title" : "Environmental science &amp; technology", "id" : "ITEM-1", "issue" : "21", "issued" : { "date-parts" : [ [ "2006", "11", "1" ] ] }, "page" : "6642-6", "title" : "Fluorecent staining for study of extracellular polymeric substances in membrane biofouling layers.", "type" : "article-journal", "volume" : "40" }, "uris" : [ "http://www.mendeley.com/documents/?uuid=12bbffcd-f881-43cd-92f9-cdb6cbe17074" ] } ], "mendeley" : { "formattedCitation" : "[139]", "plainTextFormattedCitation" : "[139]", "previouslyFormattedCitation" : "[139]"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[139]</w:t>
      </w:r>
      <w:r w:rsidR="00142BB4">
        <w:rPr>
          <w:rFonts w:asciiTheme="minorHAnsi" w:eastAsia="Calibri" w:hAnsiTheme="minorHAnsi" w:cs="Calibri"/>
          <w:color w:val="000000"/>
          <w:sz w:val="22"/>
          <w:szCs w:val="22"/>
          <w:lang w:eastAsia="en-GB"/>
        </w:rPr>
        <w:fldChar w:fldCharType="end"/>
      </w:r>
      <w:r w:rsidR="00142BB4">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A triple fluorescent staining method was utilised by </w:t>
      </w:r>
      <w:r w:rsidRPr="00142BB4">
        <w:rPr>
          <w:rFonts w:asciiTheme="minorHAnsi" w:eastAsia="Calibri" w:hAnsiTheme="minorHAnsi" w:cs="Calibri"/>
          <w:color w:val="000000"/>
          <w:sz w:val="22"/>
          <w:szCs w:val="22"/>
          <w:lang w:eastAsia="en-GB"/>
        </w:rPr>
        <w:t xml:space="preserve">McSwain </w:t>
      </w:r>
      <w:r w:rsidRPr="00142BB4">
        <w:rPr>
          <w:rFonts w:asciiTheme="minorHAnsi" w:eastAsia="Calibri" w:hAnsiTheme="minorHAnsi" w:cs="Calibri"/>
          <w:i/>
          <w:color w:val="000000"/>
          <w:sz w:val="22"/>
          <w:szCs w:val="22"/>
          <w:lang w:eastAsia="en-GB"/>
        </w:rPr>
        <w:t xml:space="preserve">et al. </w:t>
      </w:r>
      <w:r w:rsidRPr="00142BB4">
        <w:rPr>
          <w:rFonts w:asciiTheme="minorHAnsi" w:eastAsia="Calibri" w:hAnsiTheme="minorHAnsi" w:cs="Calibri"/>
          <w:color w:val="000000"/>
          <w:sz w:val="22"/>
          <w:szCs w:val="22"/>
          <w:lang w:eastAsia="en-GB"/>
        </w:rPr>
        <w:t>(2005) to</w:t>
      </w:r>
      <w:r w:rsidRPr="00C44D8C">
        <w:rPr>
          <w:rFonts w:asciiTheme="minorHAnsi" w:eastAsia="Calibri" w:hAnsiTheme="minorHAnsi" w:cs="Calibri"/>
          <w:color w:val="000000"/>
          <w:sz w:val="22"/>
          <w:szCs w:val="22"/>
          <w:lang w:eastAsia="en-GB"/>
        </w:rPr>
        <w:t xml:space="preserve"> visualise the EPS composition of granular sludge, and the authors found that the granules had a protein core with a polysaccharide-rich exterior</w:t>
      </w:r>
      <w:r w:rsidR="00142BB4">
        <w:rPr>
          <w:rFonts w:asciiTheme="minorHAnsi" w:eastAsia="Calibri" w:hAnsiTheme="minorHAnsi" w:cs="Calibri"/>
          <w:color w:val="000000"/>
          <w:sz w:val="22"/>
          <w:szCs w:val="22"/>
          <w:lang w:eastAsia="en-GB"/>
        </w:rPr>
        <w:t xml:space="preserve">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"10.1128/AEM.71.2.1051", "ISBN" : "4989289137", "author" : [ { "dropping-particle" : "", "family" : "Mcswain", "given" : "B S", "non-dropping-particle" : "", "parse-names" : false, "suffix" : "" }, { "dropping-particle" : "", "family" : "Irvine", "given" : "R L", "non-dropping-particle" : "", "parse-names" : false, "suffix" : "" }, { "dropping-particle" : "", "family" : "Hausner", "given" : "M", "non-dropping-particle" : "", "parse-names" : false, "suffix" : "" }, { "dropping-particle" : "", "family" : "Wilderer", "given" : "P A", "non-dropping-particle" : "", "parse-names" : false, "suffix" : "" } ], "container-title" : "Applied and Environmental Microbiology", "id" : "ITEM-1", "issue" : "2", "issued" : { "date-parts" : [ [ "2005" ] ] }, "page" : "1051-1057", "title" : "Composition and Distribution of Extracellular Polymeric Substances in Aerobic Flocs and Granular Sludge", "type" : "article-journal", "volume" : "71" }, "uris" : [ "http://www.mendeley.com/documents/?uuid=9c48ed5e-3a65-4c4f-b1b8-2d34cfcf9073" ] } ], "mendeley" : { "formattedCitation" : "[140]", "plainTextFormattedCitation" : "[140]", "previouslyFormattedCitation" : "[140]"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[140]</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r w:rsidRPr="00142BB4">
        <w:rPr>
          <w:rFonts w:asciiTheme="minorHAnsi" w:eastAsia="Calibri" w:hAnsiTheme="minorHAnsi" w:cs="Calibri"/>
          <w:color w:val="000000"/>
          <w:sz w:val="22"/>
          <w:szCs w:val="22"/>
          <w:lang w:eastAsia="en-GB"/>
        </w:rPr>
        <w:t xml:space="preserve">Frols </w:t>
      </w:r>
      <w:r w:rsidRPr="00142BB4">
        <w:rPr>
          <w:rFonts w:asciiTheme="minorHAnsi" w:eastAsia="Calibri" w:hAnsiTheme="minorHAnsi" w:cs="Calibri"/>
          <w:i/>
          <w:color w:val="000000"/>
          <w:sz w:val="22"/>
          <w:szCs w:val="22"/>
          <w:lang w:eastAsia="en-GB"/>
        </w:rPr>
        <w:t xml:space="preserve">et al. </w:t>
      </w:r>
      <w:r w:rsidRPr="00142BB4">
        <w:rPr>
          <w:rFonts w:asciiTheme="minorHAnsi" w:eastAsia="Calibri" w:hAnsiTheme="minorHAnsi" w:cs="Calibri"/>
          <w:color w:val="000000"/>
          <w:sz w:val="22"/>
          <w:szCs w:val="22"/>
          <w:lang w:eastAsia="en-GB"/>
        </w:rPr>
        <w:t>(2012)</w:t>
      </w:r>
      <w:r w:rsidRPr="00C44D8C">
        <w:rPr>
          <w:rFonts w:asciiTheme="minorHAnsi" w:eastAsia="Calibri" w:hAnsiTheme="minorHAnsi" w:cs="Calibri"/>
          <w:color w:val="000000"/>
          <w:sz w:val="22"/>
          <w:szCs w:val="22"/>
          <w:lang w:eastAsia="en-GB"/>
        </w:rPr>
        <w:t xml:space="preserve"> used a fluorescent staining method to analyse biofilm formation from 20 different pure cultures of haloarchaea species</w:t>
      </w:r>
      <w:r w:rsidR="00142BB4">
        <w:rPr>
          <w:rFonts w:asciiTheme="minorHAnsi" w:eastAsia="Calibri" w:hAnsiTheme="minorHAnsi" w:cs="Calibri"/>
          <w:color w:val="000000"/>
          <w:sz w:val="22"/>
          <w:szCs w:val="22"/>
          <w:lang w:eastAsia="en-GB"/>
        </w:rPr>
        <w:t xml:space="preserve">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"10.1111/j.1462-2920.2012.02895.x", "ISSN" : "1462-2920", "PMID" : "23057712", "abstract" : "A fluorescence-based live-cell adhesion assay was used to examine biofilm formation by 20 different haloarchaea, including species of Halobacterium, Haloferax and Halorubrum, as well as novel natural isolates from an Antarctic salt lake. Thirteen of the 20 tested strains significantly adhered (P-value \u2009&lt; 0.05) to a plastic surface. Examination of adherent cell layers on glass surfaces by differential interference contrast, fluorescence and confocal microscopy showed two types of biofilm structures. Carpet-like, multi-layered biofilms containing micro- and macrocolonies (up to 50 \u03bcm in height) were formed by strains of Halobacterium salinarum and the Antarctic isolate t-ADL strain DL24. The second type of biofilm, characterized by large aggregates of cells adhering to surfaces, was formed by Haloferax volcanii DSM 3757T and Halorubrum lacusprofundi DL28. Staining of the biofilms formed by the strongly adhesive haloarchaeal strains revealed the presence of extracellular polymers, such as eDNA and glycoconjugates, substances previously shown to stabilize bacterial biofilms. For Hbt. salinarum DSM 3754T and Hfx. volcanii DSM 3757T , cells adhered within 1 day of culture and remained viable for at least 2 months in mature biofilms. Adherent cells of Hbt. salinarum DSM 3754T showed several types of cellular appendages that could be involved in the initial attachment. Our results show that biofilm formation occurs in a surprisingly wide variety of haloarchaeal species.", "author" : [ { "dropping-particle" : "", "family" : "Fr\u00f6ls", "given" : "Sabrina", "non-dropping-particle" : "", "parse-names" : false, "suffix" : "" }, { "dropping-particle" : "", "family" : "Dyall-Smith", "given" : "Mike", "non-dropping-particle" : "", "parse-names" : false, "suffix" : "" }, { "dropping-particle" : "", "family" : "Pfeifer", "given" : "Felicitas", "non-dropping-particle" : "", "parse-names" : false, "suffix" : "" } ], "container-title" : "Environmental microbiology", "id" : "ITEM-1", "issue" : "12", "issued" : { "date-parts" : [ [ "2012", "12" ] ] }, "page" : "3159-74", "title" : "Biofilm formation by haloarchaea.", "type" : "article-journal", "volume" : "14" }, "uris" : [ "http://www.mendeley.com/documents/?uuid=d3f45df9-96d5-4e46-ad19-a9b6457b7828" ] } ], "mendeley" : { "formattedCitation" : "[141]", "plainTextFormattedCitation" : "[141]", "previouslyFormattedCitation" : "[141]"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[141]</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which highlighted the variable biofilm structures exhibited by each species and the use of surface structures to facilitate adhesion from some haloarchaeal species, such as </w:t>
      </w:r>
      <w:r w:rsidRPr="00C44D8C">
        <w:rPr>
          <w:rFonts w:asciiTheme="minorHAnsi" w:eastAsia="Calibri" w:hAnsiTheme="minorHAnsi" w:cs="Calibri"/>
          <w:i/>
          <w:color w:val="000000"/>
          <w:sz w:val="22"/>
          <w:szCs w:val="22"/>
          <w:lang w:eastAsia="en-GB"/>
        </w:rPr>
        <w:t>Halobacterium salinarum</w:t>
      </w:r>
      <w:r w:rsidRPr="00C44D8C">
        <w:rPr>
          <w:rFonts w:asciiTheme="minorHAnsi" w:eastAsia="Calibri" w:hAnsiTheme="minorHAnsi" w:cs="Calibri"/>
          <w:color w:val="000000"/>
          <w:sz w:val="22"/>
          <w:szCs w:val="22"/>
          <w:lang w:eastAsia="en-GB"/>
        </w:rPr>
        <w:t xml:space="preserve">. A quadruple fluorescent staining method was used to visualise the biofilm architecture of the archaeal species, </w:t>
      </w:r>
      <w:r w:rsidRPr="00C44D8C">
        <w:rPr>
          <w:rFonts w:asciiTheme="minorHAnsi" w:eastAsia="Calibri" w:hAnsiTheme="minorHAnsi" w:cs="Calibri"/>
          <w:i/>
          <w:color w:val="000000"/>
          <w:sz w:val="22"/>
          <w:szCs w:val="22"/>
          <w:lang w:eastAsia="en-GB"/>
        </w:rPr>
        <w:t xml:space="preserve">S. acidocaldarius, S. solfataricus </w:t>
      </w:r>
      <w:r w:rsidRPr="00C44D8C">
        <w:rPr>
          <w:rFonts w:asciiTheme="minorHAnsi" w:eastAsia="Calibri" w:hAnsiTheme="minorHAnsi" w:cs="Calibri"/>
          <w:color w:val="000000"/>
          <w:sz w:val="22"/>
          <w:szCs w:val="22"/>
          <w:lang w:eastAsia="en-GB"/>
        </w:rPr>
        <w:t>and</w:t>
      </w:r>
      <w:r w:rsidRPr="00C44D8C">
        <w:rPr>
          <w:rFonts w:asciiTheme="minorHAnsi" w:eastAsia="Calibri" w:hAnsiTheme="minorHAnsi" w:cs="Calibri"/>
          <w:i/>
          <w:color w:val="000000"/>
          <w:sz w:val="22"/>
          <w:szCs w:val="22"/>
          <w:lang w:eastAsia="en-GB"/>
        </w:rPr>
        <w:t xml:space="preserve"> S. tokodaii </w:t>
      </w:r>
      <w:r w:rsidRPr="00C44D8C">
        <w:rPr>
          <w:rFonts w:asciiTheme="minorHAnsi" w:eastAsia="Calibri" w:hAnsiTheme="minorHAnsi" w:cs="Calibri"/>
          <w:color w:val="000000"/>
          <w:sz w:val="22"/>
          <w:szCs w:val="22"/>
          <w:lang w:eastAsia="en-GB"/>
        </w:rPr>
        <w:t>when grown within microtitre plates</w:t>
      </w:r>
      <w:r w:rsidR="00142BB4">
        <w:rPr>
          <w:rFonts w:asciiTheme="minorHAnsi" w:eastAsia="Calibri" w:hAnsiTheme="minorHAnsi" w:cs="Calibri"/>
          <w:color w:val="000000"/>
          <w:sz w:val="22"/>
          <w:szCs w:val="22"/>
          <w:lang w:eastAsia="en-GB"/>
        </w:rPr>
        <w:t xml:space="preserve"> </w:t>
      </w:r>
      <w:r w:rsidR="00142BB4">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"DOI" : "10.1371/journal.pone.0014104", "ISSN" : "1932-6203", "PMID" : "21124788", "abstract" : "BACKGROUND: Biofilm formation has been studied in much detail for a variety of bacterial species, as it plays a major role in the pathogenicity of bacteria. However, only limited information is available for the development of archaeal communities that are frequently found in many natural environments.\n\nMETHODOLOGY: We have analyzed biofilm formation in three closely related hyperthermophilic crenarchaeotes: Sulfolobus acidocaldarius, S. solfataricus and S. tokodaii. We established a microtitre plate assay adapted to high temperatures to determine how pH and temperature influence biofilm formation in these organisms. Biofilm analysis by confocal laser scanning microscopy demonstrated that the three strains form very different communities ranging from simple carpet-like structures in S. solfataricus to high density tower-like structures in S. acidocaldarius in static systems. Lectin staining indicated that all three strains produced extracellular polysaccharides containing glucose, galactose, mannose and N-acetylglucosamine once biofilm formation was initiated. While flagella mutants had no phenotype in two days old static biofilms of S. solfataricus, a UV-induced pili deletion mutant showed decreased attachment of cells.\n\nCONCLUSION: The study gives first insights into formation and development of crenarchaeal biofilms in extreme environments.", "author" : [ { "dropping-particle" : "", "family" : "Koerdt", "given" : "Andrea", "non-dropping-particle" : "", "parse-names" : false, "suffix" : "" }, { "dropping-particle" : "", "family" : "G\u00f6deke", "given" : "Julia", "non-dropping-particle" : "", "parse-names" : false, "suffix" : "" }, { "dropping-particle" : "", "family" : "Berger", "given" : "J\u00fcrgen", "non-dropping-particle" : "", "parse-names" : false, "suffix" : "" }, { "dropping-particle" : "", "family" : "Thormann", "given" : "Kai M", "non-dropping-particle" : "", "parse-names" : false, "suffix" : "" }, { "dropping-particle" : "", "family" : "Albers", "given" : "Sonja-Verena", "non-dropping-particle" : "", "parse-names" : false, "suffix" : "" } ], "container-title" : "PloS one", "id" : "ITEM-1", "issue" : "11", "issued" : { "date-parts" : [ [ "2010", "1" ] ] }, "page" : "e14104", "title" : "Crenarchaeal biofilm formation under extreme conditions.", "type" : "article-journal", "volume" : "5" }, "uris" : [ "http://www.mendeley.com/documents/?uuid=9262f2e8-09a6-421b-bdaf-0d81a060cadd" ] } ], "mendeley" : { "formattedCitation" : "[64]", "plainTextFormattedCitation" : "[64]", "previouslyFormattedCitation" : "[64]"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[64]</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r w:rsidR="00EE1C35">
        <w:rPr>
          <w:rFonts w:asciiTheme="minorHAnsi" w:eastAsia="Calibri" w:hAnsiTheme="minorHAnsi" w:cs="Calibri"/>
          <w:color w:val="000000"/>
          <w:sz w:val="22"/>
          <w:szCs w:val="22"/>
          <w:lang w:eastAsia="en-GB"/>
        </w:rPr>
        <w:t xml:space="preserve"> Therefore, fluorescent staining coupled with epifluorescence or CLSM imaging shows great promise for studying biofilms. </w:t>
      </w:r>
    </w:p>
    <w:p w14:paraId="00FF9F4A" w14:textId="77777777" w:rsidR="00436CD0" w:rsidRPr="00C44D8C" w:rsidRDefault="00436CD0" w:rsidP="00436CD0">
      <w:pPr>
        <w:spacing w:line="360" w:lineRule="auto"/>
        <w:rPr>
          <w:rFonts w:asciiTheme="minorHAnsi" w:eastAsia="Arial" w:hAnsiTheme="minorHAnsi" w:cs="Arial"/>
          <w:color w:val="000000"/>
          <w:sz w:val="22"/>
          <w:szCs w:val="22"/>
          <w:lang w:eastAsia="en-GB"/>
        </w:rPr>
      </w:pPr>
    </w:p>
    <w:p w14:paraId="698E98BF" w14:textId="720B9CE5" w:rsidR="00436CD0" w:rsidRPr="00C44D8C" w:rsidRDefault="00B94D0C" w:rsidP="00B94D0C">
      <w:pPr>
        <w:pStyle w:val="Heading7"/>
        <w:rPr>
          <w:rFonts w:eastAsia="Arial" w:cs="Arial"/>
          <w:lang w:eastAsia="en-GB"/>
        </w:rPr>
      </w:pPr>
      <w:bookmarkStart w:id="61" w:name="_Toc462575278"/>
      <w:r>
        <w:rPr>
          <w:lang w:eastAsia="en-GB"/>
        </w:rPr>
        <w:lastRenderedPageBreak/>
        <w:t>2.5.3</w:t>
      </w:r>
      <w:r w:rsidR="00436CD0" w:rsidRPr="00C44D8C">
        <w:rPr>
          <w:lang w:eastAsia="en-GB"/>
        </w:rPr>
        <w:t>.4. Intracellular analysis</w:t>
      </w:r>
      <w:r w:rsidR="00436CD0" w:rsidRPr="00C44D8C">
        <w:rPr>
          <w:rFonts w:eastAsia="Arial" w:cs="Arial"/>
          <w:lang w:eastAsia="en-GB"/>
        </w:rPr>
        <w:t xml:space="preserve"> - </w:t>
      </w:r>
      <w:r w:rsidR="00436CD0" w:rsidRPr="00C44D8C">
        <w:rPr>
          <w:lang w:eastAsia="en-GB"/>
        </w:rPr>
        <w:t>Proteomics</w:t>
      </w:r>
      <w:bookmarkEnd w:id="61"/>
      <w:r w:rsidR="00436CD0" w:rsidRPr="00C44D8C">
        <w:rPr>
          <w:lang w:eastAsia="en-GB"/>
        </w:rPr>
        <w:t xml:space="preserve"> </w:t>
      </w:r>
    </w:p>
    <w:p w14:paraId="1E86C071" w14:textId="1F323EC1"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Proteomics is the study of the global protein profile, otherwise referred to as the proteome, of a cell, tissue or organism at a certain time point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"ITEM-1", "issued" : { "date-parts" : [ [ "2002" ] ] }, "page" : "39-63", "title" : "Molecular Biologist\u2019s Guide to Proteomics", "type" : "article-journal", "volume" : "66" }, "uris" : [ "http://www.mendeley.com/documents/?uuid=52365586-e7ff-358b-90e7-642bf4ddf4d2" ] }, { "id" : "ITEM-2", "itemData" : { "DOI" : "10.1002/pmic.201300088", "ISBN" : "1615-9861 (Electronic)\\n1615-9853 (Linking)", "ISSN" : "16159853", "PMID" : "23894103", "abstract" : "In recent years, much progress has been made in proteomic studies to unravel metabolic pathways and basic cellular processes. This is especially interesting for members of the Archaea, the third domain of life. Archaea exhibit extraordinary features and many of their cultivable representatives are adaptable to extreme environments. Archaea harbor many unique traits besides bacterial attributes, such as size, shape, and DNA structure and eukaryal characteristics like information processing. Sulfolobus solfataricus P2, a thermoacidophilic archaeal representative, is a well-established model organism adapted to low-pH environments (pH 2\u20133) and high temperatures (80\u00b0C). The genome has a size of 3 Mbp and its sequence has been deciphered. Approximately 3033 predicted open reading frames have been identified and the genome is characterized by a great number of diverse insertion sequence elements. In unraveling the organisms\u2019 metabolism and lifestyle, proteomic analyses have played a major role. Much effort has been directed at this organism and is reviewed here. With the help of proteomics, unique metabolic pathways were resolved in S. solfataricus, targets for regulatory protein phosphorylation identified, and cellular responses upon virus infection as well as oxidative stress analyzed.", "author" : [ { "dropping-particle" : "", "family" : "Kort", "given" : "Julia Christin", "non-dropping-particle" : "", "parse-names" : false, "suffix" : "" }, { "dropping-particle" : "", "family" : "Esser", "given" : "Dominik", "non-dropping-particle" : "", "parse-names" : false, "suffix" : "" }, { "dropping-particle" : "", "family" : "Pham", "given" : "Trong Khoa", "non-dropping-particle" : "", "parse-names" : false, "suffix" : "" }, { "dropping-particle" : "", "family" : "Noirel", "given" : "Josselin", "non-dropping-particle" : "", "parse-names" : false, "suffix" : "" }, { "dropping-particle" : "", "family" : "Wright", "given" : "Phillip C.", "non-dropping-particle" : "", "parse-names" : false, "suffix" : "" }, { "dropping-particle" : "", "family" : "Siebers", "given" : "Bettina", "non-dropping-particle" : "", "parse-names" : false, "suffix" : "" } ], "container-title" : "Proteomics", "id" : "ITEM-2", "issue" : "18-19", "issued" : { "date-parts" : [ [ "2013" ] ] }, "page" : "2831-2850", "title" : "A cool tool for hot and sour Archaea: Proteomics of Sulfolobus solfataricus", "type" : "article-journal", "volume" : "13" }, "uris" : [ "http://www.mendeley.com/documents/?uuid=c8c6cc37-43ac-4845-b141-665893fc293d" ] } ], "mendeley" : { "formattedCitation" : "[142,143]", "plainTextFormattedCitation" : "[142,143]", "previouslyFormattedCitation" : "[142,143]"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[142,143]</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Understanding the full complement of proteins produced by a cell provides vital information on the intracellular responses of a cell to a changing environment, as well as the proteins responsible for the phenotype and physiological responses of a cell, which cannot be elucidated from studying the genes alone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"10.1038/nrm1468", "ISBN" : "1471-0072 (Print)", "ISSN" : "1471-0072", "PMID" : "15340378", "abstract" : "Proteomics is an increasingly powerful and indispensable technology in molecular cell biology. It can be used to identify the components of small protein complexes and large organelles, to determine post-translational modifications and in sophisticated functional screens. The key - but little understood - technology in mass-spectrometry-based proteomics is peptide sequencing, which we describe and review here in an easily accessible format.", "author" : [ { "dropping-particle" : "", "family" : "Steen", "given" : "Hanno", "non-dropping-particle" : "", "parse-names" : false, "suffix" : "" }, { "dropping-particle" : "", "family" : "Mann", "given" : "Matthias", "non-dropping-particle" : "", "parse-names" : false, "suffix" : "" } ], "container-title" : "Nature reviews. Molecular cell biology", "id" : "ITEM-1", "issue" : "September", "issued" : { "date-parts" : [ [ "2004" ] ] }, "page" : "699-711", "title" : "The ABC's (and XYZ's) of peptide sequencing.", "type" : "article-journal", "volume" : "5" }, "uris" : [ "http://www.mendeley.com/documents/?uuid=2d36a031-1cab-4496-b044-20fa3b282c07" ] }, { "id" : "ITEM-2",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"ITEM-2", "issued" : { "date-parts" : [ [ "2002" ] ] }, "page" : "39-63", "title" : "Molecular Biologist\u2019s Guide to Proteomics", "type" : "article-journal", "volume" : "66" }, "uris" : [ "http://www.mendeley.com/documents/?uuid=52365586-e7ff-358b-90e7-642bf4ddf4d2" ] } ], "mendeley" : { "formattedCitation" : "[142,144]", "plainTextFormattedCitation" : "[142,144]", "previouslyFormattedCitation" : "[142,144]"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[142,144]</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As such, many microbiologists have increasingly taken up proteomics in recent years to elucidate the biological mechanisms underlying the adaptive responses of a cell in a changing environment</w:t>
      </w:r>
      <w:r w:rsidR="00142BB4">
        <w:rPr>
          <w:rFonts w:asciiTheme="minorHAnsi" w:eastAsia="Calibri" w:hAnsiTheme="minorHAnsi" w:cs="Calibri"/>
          <w:color w:val="000000"/>
          <w:sz w:val="22"/>
          <w:szCs w:val="22"/>
          <w:lang w:eastAsia="en-GB"/>
        </w:rPr>
        <w:t xml:space="preserve">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"mendeley" : { "formattedCitation" : "[99]", "plainTextFormattedCitation" : "[99]", "previouslyFormattedCitation" : "[99]"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[99]</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329160F4" w14:textId="288995BA"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Mass spectrometry (MS) has revolutionised the field of proteomics by allowing the accurate and reliable identification of extracted cellular proteins based on their mass (m) and charge (z). MS is highly sensitive, and is able to handle mixed protein samples in high-throughput operations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"ITEM-1", "issued" : { "date-parts" : [ [ "2002" ] ] }, "page" : "39-63", "title" : "Molecular Biologist\u2019s Guide to Proteomics", "type" : "article-journal", "volume" : "66" }, "uris" : [ "http://www.mendeley.com/documents/?uuid=52365586-e7ff-358b-90e7-642bf4ddf4d2" ] } ], "mendeley" : { "formattedCitation" : "[142]", "plainTextFormattedCitation" : "[142]", "previouslyFormattedCitation" : "[142]"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[142]</w:t>
      </w:r>
      <w:r w:rsidR="00142B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In recent years, tandem mass spectrometry (MS/MS) has become a widely used technique for the analysis of complex protein mixtures. This consists of the proteolytic digestion of complex protein mixtures into peptides, which are increasingly becoming separated by two independent liquid phase separation systems, otherwise known as two-dimensional liquid chromatography (2D-LC). This separation system is coupled to </w:t>
      </w:r>
      <w:r w:rsidR="00EE1C35">
        <w:rPr>
          <w:rFonts w:asciiTheme="minorHAnsi" w:eastAsia="Calibri" w:hAnsiTheme="minorHAnsi" w:cs="Calibri"/>
          <w:color w:val="000000"/>
          <w:sz w:val="22"/>
          <w:szCs w:val="22"/>
          <w:lang w:eastAsia="en-GB"/>
        </w:rPr>
        <w:t>MS</w:t>
      </w:r>
      <w:r w:rsidRPr="00C44D8C">
        <w:rPr>
          <w:rFonts w:asciiTheme="minorHAnsi" w:eastAsia="Calibri" w:hAnsiTheme="minorHAnsi" w:cs="Calibri"/>
          <w:color w:val="000000"/>
          <w:sz w:val="22"/>
          <w:szCs w:val="22"/>
          <w:lang w:eastAsia="en-GB"/>
        </w:rPr>
        <w:t xml:space="preserve">, and provides a comprehensive method of identifying and quantifying proteins in a sample </w:t>
      </w:r>
      <w:r w:rsidR="00142B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"10.1016/j.jchromb.2006.10.040", "ISBN" : "1570-0232 (Print) 1570-0232 (Linking)", "ISSN" : "15700232", "PMID" : "17113834", "abstract" : "Sample preparation is one of the most crucial processes in proteomics research. The results of the experiment depend on the condition of the starting material. Therefore, the proper experimental model and careful sample preparation is vital to obtain significant and trustworthy results, particularly in comparative proteomics, where we are usually looking for minor differences between experimental-, and control samples. In this review we discuss problems associated with general strategies of samples preparation, and experimental demands for these processes. ?? 2006 Elsevier B.V. All rights reserved.", "author" : [ { "dropping-particle" : "", "family" : "Bodzon-Kulakowska", "given" : "Anna", "non-dropping-particle" : "", "parse-names" : false, "suffix" : "" }, { "dropping-particle" : "", "family" : "Bierczynska-Krzysik", "given" : "Anna", "non-dropping-particle" : "", "parse-names" : false, "suffix" : "" }, { "dropping-particle" : "", "family" : "Dylag", "given" : "Tomasz", "non-dropping-particle" : "", "parse-names" : false, "suffix" : "" }, { "dropping-particle" : "", "family" : "Drabik", "given" : "Anna", "non-dropping-particle" : "", "parse-names" : false, "suffix" : "" }, { "dropping-particle" : "", "family" : "Suder", "given" : "Piotr", "non-dropping-particle" : "", "parse-names" : false, "suffix" : "" }, { "dropping-particle" : "", "family" : "Noga", "given" : "Marek", "non-dropping-particle" : "", "parse-names" : false, "suffix" : "" }, { "dropping-particle" : "", "family" : "Jarzebinska", "given" : "Justyna", "non-dropping-particle" : "", "parse-names" : false, "suffix" : "" }, { "dropping-particle" : "", "family" : "Silberring", "given" : "Jerzy", "non-dropping-particle" : "", "parse-names" : false, "suffix" : "" } ], "container-title" : "Journal of Chromatography B: Analytical Technologies in the Biomedical and Life Sciences", "id" : "ITEM-1", "issue" : "1-2", "issued" : { "date-parts" : [ [ "2007" ] ] }, "page" : "1-31", "title" : "Methods for samples preparation in proteomic research", "type" : "article-journal", "volume" : "849" }, "uris" : [ "http://www.mendeley.com/documents/?uuid=a0500ff3-87cb-49a2-9936-12a4979977ae" ] }, { "id" : "ITEM-2", "itemData" : { "DOI" : "10.1016/S1359-6446(03)02978-7", "ISBN" : "1359-6446 (Print)\\n1359-6446 (Linking)", "ISSN" : "13596446", "PMID" : "14960397", "abstract" : "Tandem mass spectrometry has been used increasingly for high-throughput analysis of complex protein samples. A major challenge lies in the consistent, objective and transparent analysis of the large amounts of data generated by such experiments and in their dissemination and publication. Here, we review currently available computational tools and discuss the need for statistical criteria in the analysis of large proteomics datasets.", "author" : [ { "dropping-particle" : "", "family" : "Nesvizhskii", "given" : "Alexey I.", "non-dropping-particle" : "", "parse-names" : false, "suffix" : "" }, { "dropping-particle" : "", "family" : "Aebersold", "given" : "Ruedi", "non-dropping-particle" : "", "parse-names" : false, "suffix" : "" } ], "container-title" : "Drug Discovery Today", "id" : "ITEM-2", "issue" : "4", "issued" : { "date-parts" : [ [ "2004" ] ] }, "page" : "173-181", "title" : "Analysis, statistical validation and dissemination of large-scale proteomics datasets generated by tandem MS", "type" : "article-journal", "volume" : "9" }, "uris" : [ "http://www.mendeley.com/documents/?uuid=c61f821e-4e87-45d7-9697-072ee6454020" ] } ], "mendeley" : { "formattedCitation" : "[145,146]", "plainTextFormattedCitation" : "[145,146]", "previouslyFormattedCitation" : "[145,146]" }, "properties" : { "noteIndex" : 0 }, "schema" : "https://github.com/citation-style-language/schema/raw/master/csl-citation.json" }</w:instrText>
      </w:r>
      <w:r w:rsidR="00142B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[145,146]</w:t>
      </w:r>
      <w:r w:rsidR="00142BB4">
        <w:rPr>
          <w:rFonts w:asciiTheme="minorHAnsi" w:eastAsia="Calibri" w:hAnsiTheme="minorHAnsi" w:cs="Calibri"/>
          <w:color w:val="000000"/>
          <w:sz w:val="22"/>
          <w:szCs w:val="22"/>
          <w:lang w:eastAsia="en-GB"/>
        </w:rPr>
        <w:fldChar w:fldCharType="end"/>
      </w:r>
      <w:r w:rsidR="00142BB4">
        <w:rPr>
          <w:rFonts w:asciiTheme="minorHAnsi" w:eastAsia="Calibri" w:hAnsiTheme="minorHAnsi" w:cs="Calibri"/>
          <w:color w:val="000000"/>
          <w:sz w:val="22"/>
          <w:szCs w:val="22"/>
          <w:lang w:eastAsia="en-GB"/>
        </w:rPr>
        <w:t xml:space="preserve">. </w:t>
      </w:r>
    </w:p>
    <w:p w14:paraId="0E41496F" w14:textId="27730AF4"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However, </w:t>
      </w:r>
      <w:r w:rsidRPr="00C44D8C">
        <w:rPr>
          <w:rFonts w:asciiTheme="minorHAnsi" w:eastAsia="Arial" w:hAnsiTheme="minorHAnsi" w:cs="Arial"/>
          <w:color w:val="000000"/>
          <w:sz w:val="22"/>
          <w:szCs w:val="22"/>
          <w:lang w:eastAsia="en-GB"/>
        </w:rPr>
        <w:t xml:space="preserve">a key obstacle in proteomics is the analysis of such complex biological material. A protein sample from a single cell can contain an unfathomable concentration of proteins that is beyond the dynamic range and detection ability of MS. This sample complexity can compromise the ability of MS in detecting low abundance proteins and quantifying proteins over a wide dynamic range </w:t>
      </w:r>
      <w:r w:rsidR="00142BB4">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"DOI" : "10.4061/2009/239204", "ISBN" : "1757-4242", "ISSN" : "1757-4242", "PMID" : "20948568", "abstract" : "Proteomics is the large-scale study of the structure and function of proteins in complex biological sample. Such an approach has the potential value to understand the complex nature of the organism. Current proteomic tools allow large-scale, high-throughput analyses for the detection, identification, and functional investigation of proteome. Advances in protein fractionation and labeling techniques have improved protein identification to include the least abundant proteins. In addition, proteomics has been complemented by the analysis of posttranslational modifications and techniques for the quantitative comparison of different proteomes. However, the major limitation of proteomic investigations remains the complexity of biological structures and physiological processes, rendering the path of exploration paved with various difficulties and pitfalls. The quantity of data that is acquired with new techniques places new challenges on data processing and analysis. This article provides a brief overview of currently available proteomic techniques and their applications, followed by detailed description of advantages and technical challenges. Some solutions to circumvent technical difficulties are proposed.", "author" : [ { "dropping-particle" : "", "family" : "Chandramouli", "given" : "Kondethimmanahalli", "non-dropping-particle" : "", "parse-names" : false, "suffix" : "" }, { "dropping-particle" : "", "family" : "Qian", "given" : "Pei-Yuan", "non-dropping-particle" : "", "parse-names" : false, "suffix" : "" } ], "container-title" : "Human genomics and proteomics : HGP", "id" : "ITEM-1", "issued" : { "date-parts" : [ [ "2009" ] ] }, "title" : "Proteomics: challenges, techniques and possibilities to overcome biological sample complexity.", "type" : "article-journal", "volume" : "2009" }, "uris" : [ "http://www.mendeley.com/documents/?uuid=7a5e699b-1323-4bfa-97ac-6d446e552d07" ] }, { "id" : "ITEM-2", "itemData" : { "DOI" : "10.1016/j.jchromb.2006.10.040", "ISBN" : "1570-0232 (Print) 1570-0232 (Linking)", "ISSN" : "15700232", "PMID" : "17113834", "abstract" : "Sample preparation is one of the most crucial processes in proteomics research. The results of the experiment depend on the condition of the starting material. Therefore, the proper experimental model and careful sample preparation is vital to obtain significant and trustworthy results, particularly in comparative proteomics, where we are usually looking for minor differences between experimental-, and control samples. In this review we discuss problems associated with general strategies of samples preparation, and experimental demands for these processes. ?? 2006 Elsevier B.V. All rights reserved.", "author" : [ { "dropping-particle" : "", "family" : "Bodzon-Kulakowska", "given" : "Anna", "non-dropping-particle" : "", "parse-names" : false, "suffix" : "" }, { "dropping-particle" : "", "family" : "Bierczynska-Krzysik", "given" : "Anna", "non-dropping-particle" : "", "parse-names" : false, "suffix" : "" }, { "dropping-particle" : "", "family" : "Dylag", "given" : "Tomasz", "non-dropping-particle" : "", "parse-names" : false, "suffix" : "" }, { "dropping-particle" : "", "family" : "Drabik", "given" : "Anna", "non-dropping-particle" : "", "parse-names" : false, "suffix" : "" }, { "dropping-particle" : "", "family" : "Suder", "given" : "Piotr", "non-dropping-particle" : "", "parse-names" : false, "suffix" : "" }, { "dropping-particle" : "", "family" : "Noga", "given" : "Marek", "non-dropping-particle" : "", "parse-names" : false, "suffix" : "" }, { "dropping-particle" : "", "family" : "Jarzebinska", "given" : "Justyna", "non-dropping-particle" : "", "parse-names" : false, "suffix" : "" }, { "dropping-particle" : "", "family" : "Silberring", "given" : "Jerzy", "non-dropping-particle" : "", "parse-names" : false, "suffix" : "" } ], "container-title" : "Journal of Chromatography B: Analytical Technologies in the Biomedical and Life Sciences", "id" : "ITEM-2", "issue" : "1-2", "issued" : { "date-parts" : [ [ "2007" ] ] }, "page" : "1-31", "title" : "Methods for samples preparation in proteomic research", "type" : "article-journal", "volume" : "849" }, "uris" : [ "http://www.mendeley.com/documents/?uuid=a0500ff3-87cb-49a2-9936-12a4979977ae" ] } ], "mendeley" : { "formattedCitation" : "[145,147]", "plainTextFormattedCitation" : "[145,147]", "previouslyFormattedCitation" : "[145,147]" }, "properties" : { "noteIndex" : 0 }, "schema" : "https://github.com/citation-style-language/schema/raw/master/csl-citation.json" }</w:instrText>
      </w:r>
      <w:r w:rsidR="00142BB4">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[145,147]</w:t>
      </w:r>
      <w:r w:rsidR="00142BB4">
        <w:rPr>
          <w:rFonts w:asciiTheme="minorHAnsi" w:eastAsia="Arial" w:hAnsiTheme="minorHAnsi" w:cs="Arial"/>
          <w:color w:val="000000"/>
          <w:sz w:val="22"/>
          <w:szCs w:val="22"/>
          <w:lang w:eastAsia="en-GB"/>
        </w:rPr>
        <w:fldChar w:fldCharType="end"/>
      </w:r>
      <w:r w:rsidR="00142BB4">
        <w:rPr>
          <w:rFonts w:asciiTheme="minorHAnsi" w:eastAsia="Arial" w:hAnsiTheme="minorHAnsi" w:cs="Arial"/>
          <w:color w:val="000000"/>
          <w:sz w:val="22"/>
          <w:szCs w:val="22"/>
          <w:lang w:eastAsia="en-GB"/>
        </w:rPr>
        <w:t xml:space="preserve">. </w:t>
      </w:r>
      <w:r w:rsidRPr="00C44D8C">
        <w:rPr>
          <w:rFonts w:asciiTheme="minorHAnsi" w:eastAsia="Arial" w:hAnsiTheme="minorHAnsi" w:cs="Arial"/>
          <w:color w:val="000000"/>
          <w:sz w:val="22"/>
          <w:szCs w:val="22"/>
          <w:lang w:eastAsia="en-GB"/>
        </w:rPr>
        <w:t xml:space="preserve">In order to address these limitations, sample preparation is key in reducing the complexity of protein mixtures and enriching proteins prior to MS. Therefore, the proteomics workflow consists of a series of different preparation steps that aims to fractionate complex proteins into less complex components for more accurate protein analysis by MS </w:t>
      </w:r>
      <w:r w:rsidR="00142BB4">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"DOI" : "10.5772/2473", "ISBN" : "978-953-51-0070-6", "ISSN" : "978-953-51-0070-6", "abstract" : "Proteomics was thought to be a natural extension after the field of genomics has deposited significant amount of data. However, simply taking a straight verbatim approach to catalog all proteins in all tissues of different organisms is not viable. Researchers may need to focus on the perspectives of proteomics that are essential to the functional outcome of the cells. In Integrative Proteomics, expert researchers contribute both historical perspectives, new developments in sample preparation, gel-based and non-gel-based protein separation and identification using mass spectrometry. Substantial chapters are describing studies of the sub-proteomes such as phosphoproteome or glycoproteomes which are directly related to functional outcomes of the cells. Structural proteomics related to pharmaceutics development is also a perspective of the essence. Bioinformatics tools that can mine proteomics data and lead to pathway analyses become an integral part of proteomics. Integrative proteomics covers both look-backs and look-outs of proteomics. It is an ideal reference for students, new researchers, and experienced scientists who want to get an overview or insights into new development of the proteomics field.", "author" : [ { "dropping-particle" : "", "family" : "Hustoft", "given" : "Hanne Kolsrud", "non-dropping-particle" : "", "parse-names" : false, "suffix" : "" }, { "dropping-particle" : "", "family" : "Malerod", "given" : "Helle", "non-dropping-particle" : "", "parse-names" : false, "suffix" : "" }, { "dropping-particle" : "", "family" : "Wilson", "given" : "Steven Ray", "non-dropping-particle" : "", "parse-names" : false, "suffix" : "" }, { "dropping-particle" : "", "family" : "Reubsaet", "given" : "Leon", "non-dropping-particle" : "", "parse-names" : false, "suffix" : "" }, { "dropping-particle" : "", "family" : "Lundanes", "given" : "Elsa", "non-dropping-particle" : "", "parse-names" : false, "suffix" : "" }, { "dropping-particle" : "", "family" : "Greibrokk", "given" : "Tyge", "non-dropping-particle" : "", "parse-names" : false, "suffix" : "" } ], "container-title" : "Integrative Proteomics", "id" : "ITEM-1", "issued" : { "date-parts" : [ [ "2010" ] ] }, "page" : "73-92", "title" : "A Critical Review of Trypsin Digestion for LC-MS Based Proteomics", "type" : "article-journal" }, "uris" : [ "http://www.mendeley.com/documents/?uuid=5edfa95e-c83e-4128-999a-ed94288aff80" ] } ], "mendeley" : { "formattedCitation" : "[148]", "plainTextFormattedCitation" : "[148]", "previouslyFormattedCitation" : "[148]" }, "properties" : { "noteIndex" : 0 }, "schema" : "https://github.com/citation-style-language/schema/raw/master/csl-citation.json" }</w:instrText>
      </w:r>
      <w:r w:rsidR="00142BB4">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[148]</w:t>
      </w:r>
      <w:r w:rsidR="00142BB4">
        <w:rPr>
          <w:rFonts w:asciiTheme="minorHAnsi" w:eastAsia="Arial" w:hAnsiTheme="minorHAnsi" w:cs="Arial"/>
          <w:color w:val="000000"/>
          <w:sz w:val="22"/>
          <w:szCs w:val="22"/>
          <w:lang w:eastAsia="en-GB"/>
        </w:rPr>
        <w:fldChar w:fldCharType="end"/>
      </w:r>
      <w:r w:rsidR="00142BB4">
        <w:rPr>
          <w:rFonts w:asciiTheme="minorHAnsi" w:eastAsia="Arial" w:hAnsiTheme="minorHAnsi" w:cs="Arial"/>
          <w:color w:val="000000"/>
          <w:sz w:val="22"/>
          <w:szCs w:val="22"/>
          <w:lang w:eastAsia="en-GB"/>
        </w:rPr>
        <w:t>.</w:t>
      </w:r>
    </w:p>
    <w:p w14:paraId="79AAE42A" w14:textId="77777777" w:rsidR="00436CD0" w:rsidRPr="00C44D8C" w:rsidRDefault="00436CD0" w:rsidP="00436CD0">
      <w:pPr>
        <w:spacing w:line="360" w:lineRule="auto"/>
        <w:rPr>
          <w:rFonts w:asciiTheme="minorHAnsi" w:eastAsia="Arial" w:hAnsiTheme="minorHAnsi" w:cs="Arial"/>
          <w:color w:val="000000"/>
          <w:sz w:val="22"/>
          <w:szCs w:val="22"/>
          <w:lang w:eastAsia="en-GB"/>
        </w:rPr>
      </w:pPr>
    </w:p>
    <w:p w14:paraId="2C000BFB" w14:textId="7739F985" w:rsidR="00436CD0" w:rsidRPr="00C44D8C" w:rsidRDefault="00831783" w:rsidP="00831783">
      <w:pPr>
        <w:pStyle w:val="Heading8"/>
        <w:rPr>
          <w:rFonts w:eastAsia="Arial" w:cs="Arial"/>
          <w:lang w:eastAsia="en-GB"/>
        </w:rPr>
      </w:pPr>
      <w:bookmarkStart w:id="62" w:name="_Toc462575279"/>
      <w:r>
        <w:rPr>
          <w:lang w:eastAsia="en-GB"/>
        </w:rPr>
        <w:t>2.5.3</w:t>
      </w:r>
      <w:r w:rsidR="00436CD0" w:rsidRPr="00C44D8C">
        <w:rPr>
          <w:lang w:eastAsia="en-GB"/>
        </w:rPr>
        <w:t>.4.1. Protein extraction and fractionation</w:t>
      </w:r>
      <w:bookmarkEnd w:id="62"/>
    </w:p>
    <w:p w14:paraId="18D8653E" w14:textId="12E6819B" w:rsidR="00436CD0" w:rsidRPr="00C44D8C" w:rsidRDefault="00436CD0" w:rsidP="00436CD0">
      <w:pPr>
        <w:autoSpaceDE w:val="0"/>
        <w:autoSpaceDN w:val="0"/>
        <w:adjustRightInd w:val="0"/>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A typical proteomic</w:t>
      </w:r>
      <w:r w:rsidR="00FE1A56" w:rsidRPr="00C44D8C">
        <w:rPr>
          <w:rFonts w:asciiTheme="minorHAnsi" w:eastAsia="Calibri" w:hAnsiTheme="minorHAnsi" w:cs="Calibri"/>
          <w:color w:val="000000"/>
          <w:sz w:val="22"/>
          <w:szCs w:val="22"/>
          <w:lang w:eastAsia="en-GB"/>
        </w:rPr>
        <w:t>s workflow is shown in Fig. 2.9</w:t>
      </w:r>
      <w:r w:rsidRPr="00C44D8C">
        <w:rPr>
          <w:rFonts w:asciiTheme="minorHAnsi" w:eastAsia="Calibri" w:hAnsiTheme="minorHAnsi" w:cs="Calibri"/>
          <w:color w:val="000000"/>
          <w:sz w:val="22"/>
          <w:szCs w:val="22"/>
          <w:lang w:eastAsia="en-GB"/>
        </w:rPr>
        <w:t xml:space="preserve"> and proce</w:t>
      </w:r>
      <w:r w:rsidR="006638DE">
        <w:rPr>
          <w:rFonts w:asciiTheme="minorHAnsi" w:eastAsia="Calibri" w:hAnsiTheme="minorHAnsi" w:cs="Calibri"/>
          <w:color w:val="000000"/>
          <w:sz w:val="22"/>
          <w:szCs w:val="22"/>
          <w:lang w:eastAsia="en-GB"/>
        </w:rPr>
        <w:t>eds as follows:  firstly, cells</w:t>
      </w:r>
      <w:r w:rsidR="00142BB4">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from a culture are chemically lysed to release the complex intracellular mixture of proteins produced by the cell at a given time point. A typical chemical lysis buffer for protein extraction consists of various buffers, salts and detergents to ensure maximum protein </w:t>
      </w:r>
      <w:r w:rsidRPr="00C44D8C">
        <w:rPr>
          <w:rFonts w:asciiTheme="minorHAnsi" w:eastAsia="Calibri" w:hAnsiTheme="minorHAnsi" w:cs="Calibri"/>
          <w:color w:val="000000"/>
          <w:sz w:val="22"/>
          <w:szCs w:val="22"/>
          <w:lang w:eastAsia="en-GB"/>
        </w:rPr>
        <w:lastRenderedPageBreak/>
        <w:t>solubility in solution. Protein solubilisation is an integral part of extracting proteins from a cell culture, and involves breaking down the interfacial bonds and interactions involved in protein aggregation, resulting in individually dispersed proteins in solution</w:t>
      </w:r>
      <w:r w:rsidR="006638DE">
        <w:rPr>
          <w:rFonts w:asciiTheme="minorHAnsi" w:eastAsia="Calibri" w:hAnsiTheme="minorHAnsi" w:cs="Calibri"/>
          <w:color w:val="000000"/>
          <w:sz w:val="22"/>
          <w:szCs w:val="22"/>
          <w:lang w:eastAsia="en-GB"/>
        </w:rPr>
        <w:t xml:space="preserve"> </w:t>
      </w:r>
      <w:r w:rsidR="006638DE">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"10.1016/j.bbamem.2004.04.011", "ISBN" : "0006-3002 (Print)", "ISSN" : "00052736", "PMID" : "15519311", "abstract" : "Studying membrane proteins represents a major challenge in protein biochemistry, with one of the major difficulties being the problems encountered when working outside the natural lipid environment. In vitro studies such as crystallization are reliant on the successful solubilization or reconstitution of membrane proteins, which generally involves the careful selection of solubilizing detergents and mixed lipid/detergent systems. This review will concentrate on the methods currently available for efficient reconstitution and solubilization of membrane proteins through the use of detergent micelles, mixed lipid/detergent micelles and bicelles or liposomes. We focus on the relevant molecular properties of the detergents and lipids that aid understanding of these processes. A significant barrier to membrane protein research is retaining the stability and function of the protein during solubilization, reconstitution and crystallization. We highlight some of the lessons learnt from studies of membrane protein folding in vitro and give an overview of the role that lipids can play in stabilizing the proteins. ?? 2004 Published by Elsevier B.V.", "author" : [ { "dropping-particle" : "", "family" : "Seddon", "given" : "Annela M.", "non-dropping-particle" : "", "parse-names" : false, "suffix" : "" }, { "dropping-particle" : "", "family" : "Curnow", "given" : "Paul", "non-dropping-particle" : "", "parse-names" : false, "suffix" : "" }, { "dropping-particle" : "", "family" : "Booth", "given" : "Paula J.", "non-dropping-particle" : "", "parse-names" : false, "suffix" : "" } ], "container-title" : "Biochimica et Biophysica Acta - Biomembranes", "id" : "ITEM-1", "issued" : { "date-parts" : [ [ "2004" ] ] }, "title" : "Membrane proteins, lipids and detergents: Not just a soap opera", "type" : "article" }, "uris" : [ "http://www.mendeley.com/documents/?uuid=0128ca07-ad2c-3051-87e6-ddc75ffa9561" ] } ], "mendeley" : { "formattedCitation" : "[149]", "plainTextFormattedCitation" : "[149]", "previouslyFormattedCitation" : "[149]" }, "properties" : { "noteIndex" : 0 }, "schema" : "https://github.com/citation-style-language/schema/raw/master/csl-citation.json" }</w:instrText>
      </w:r>
      <w:r w:rsidR="006638DE">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[149]</w:t>
      </w:r>
      <w:r w:rsidR="006638D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40B0B2D2" w14:textId="77777777" w:rsidR="00436CD0" w:rsidRPr="00C44D8C" w:rsidRDefault="00436CD0" w:rsidP="00436CD0">
      <w:pPr>
        <w:autoSpaceDE w:val="0"/>
        <w:autoSpaceDN w:val="0"/>
        <w:adjustRightInd w:val="0"/>
        <w:spacing w:line="360" w:lineRule="auto"/>
        <w:rPr>
          <w:rFonts w:asciiTheme="minorHAnsi" w:eastAsia="Calibri" w:hAnsiTheme="minorHAnsi" w:cs="Calibri"/>
          <w:color w:val="000000"/>
          <w:sz w:val="22"/>
          <w:szCs w:val="22"/>
          <w:lang w:eastAsia="en-GB"/>
        </w:rPr>
      </w:pPr>
    </w:p>
    <w:p w14:paraId="55C8FE13" w14:textId="77777777" w:rsidR="00436CD0" w:rsidRPr="00C44D8C" w:rsidRDefault="00436CD0" w:rsidP="00436CD0">
      <w:pPr>
        <w:autoSpaceDE w:val="0"/>
        <w:autoSpaceDN w:val="0"/>
        <w:adjustRightInd w:val="0"/>
        <w:spacing w:line="360" w:lineRule="auto"/>
        <w:rPr>
          <w:rFonts w:asciiTheme="minorHAnsi" w:eastAsia="Calibri" w:hAnsiTheme="minorHAnsi" w:cs="Calibri"/>
          <w:color w:val="000000"/>
          <w:sz w:val="22"/>
          <w:szCs w:val="22"/>
          <w:lang w:eastAsia="en-GB"/>
        </w:rPr>
      </w:pPr>
    </w:p>
    <w:p w14:paraId="1AC80C4D" w14:textId="77777777" w:rsidR="00436CD0" w:rsidRPr="00C44D8C" w:rsidRDefault="00436CD0" w:rsidP="00436CD0">
      <w:pPr>
        <w:autoSpaceDE w:val="0"/>
        <w:autoSpaceDN w:val="0"/>
        <w:adjustRightInd w:val="0"/>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noProof/>
          <w:color w:val="000000"/>
          <w:sz w:val="22"/>
          <w:szCs w:val="22"/>
          <w:lang w:eastAsia="en-GB"/>
        </w:rPr>
        <w:drawing>
          <wp:inline distT="0" distB="0" distL="0" distR="0" wp14:anchorId="61F08EF4" wp14:editId="64A90CEA">
            <wp:extent cx="5401945" cy="664210"/>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teomuics workflow.tif"/>
                    <pic:cNvPicPr/>
                  </pic:nvPicPr>
                  <pic:blipFill>
                    <a:blip r:embed="rId21">
                      <a:extLst>
                        <a:ext uri="{28A0092B-C50C-407E-A947-70E740481C1C}">
                          <a14:useLocalDpi xmlns:a14="http://schemas.microsoft.com/office/drawing/2010/main" val="0"/>
                        </a:ext>
                      </a:extLst>
                    </a:blip>
                    <a:stretch>
                      <a:fillRect/>
                    </a:stretch>
                  </pic:blipFill>
                  <pic:spPr>
                    <a:xfrm>
                      <a:off x="0" y="0"/>
                      <a:ext cx="5401945" cy="664210"/>
                    </a:xfrm>
                    <a:prstGeom prst="rect">
                      <a:avLst/>
                    </a:prstGeom>
                  </pic:spPr>
                </pic:pic>
              </a:graphicData>
            </a:graphic>
          </wp:inline>
        </w:drawing>
      </w:r>
    </w:p>
    <w:p w14:paraId="078CA0F2" w14:textId="324224EC" w:rsidR="00436CD0" w:rsidRPr="00C44D8C" w:rsidRDefault="00436CD0" w:rsidP="00EE1C35">
      <w:pPr>
        <w:autoSpaceDE w:val="0"/>
        <w:autoSpaceDN w:val="0"/>
        <w:adjustRightInd w:val="0"/>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b/>
          <w:bCs/>
          <w:color w:val="000000"/>
          <w:sz w:val="22"/>
          <w:szCs w:val="22"/>
          <w:lang w:eastAsia="en-GB"/>
        </w:rPr>
        <w:t xml:space="preserve">Fig. 2.9 </w:t>
      </w:r>
      <w:r w:rsidRPr="00C44D8C">
        <w:rPr>
          <w:rFonts w:asciiTheme="minorHAnsi" w:eastAsia="Calibri" w:hAnsiTheme="minorHAnsi" w:cs="Calibri"/>
          <w:color w:val="000000"/>
          <w:sz w:val="22"/>
          <w:szCs w:val="22"/>
          <w:lang w:eastAsia="en-GB"/>
        </w:rPr>
        <w:t xml:space="preserve">Typical proteomics workflow from a complex mixture of proteins from a cell culture, to protein analysis by MS. Figure adapted </w:t>
      </w:r>
      <w:r w:rsidRPr="006638DE">
        <w:rPr>
          <w:rFonts w:asciiTheme="minorHAnsi" w:eastAsia="Calibri" w:hAnsiTheme="minorHAnsi" w:cs="Calibri"/>
          <w:color w:val="000000"/>
          <w:sz w:val="22"/>
          <w:szCs w:val="22"/>
          <w:lang w:eastAsia="en-GB"/>
        </w:rPr>
        <w:t>from</w:t>
      </w:r>
      <w:r w:rsidR="006638DE" w:rsidRPr="006638DE">
        <w:rPr>
          <w:rFonts w:asciiTheme="minorHAnsi" w:eastAsia="Calibri" w:hAnsiTheme="minorHAnsi" w:cs="Calibri"/>
          <w:color w:val="000000"/>
          <w:sz w:val="22"/>
          <w:szCs w:val="22"/>
          <w:lang w:eastAsia="en-GB"/>
        </w:rPr>
        <w:t xml:space="preserve"> </w:t>
      </w:r>
      <w:r w:rsidR="006638DE" w:rsidRPr="006638DE">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"10.1038/nrm1468", "ISBN" : "1471-0072 (Print)", "ISSN" : "1471-0072", "PMID" : "15340378", "abstract" : "Proteomics is an increasingly powerful and indispensable technology in molecular cell biology. It can be used to identify the components of small protein complexes and large organelles, to determine post-translational modifications and in sophisticated functional screens. The key - but little understood - technology in mass-spectrometry-based proteomics is peptide sequencing, which we describe and review here in an easily accessible format.", "author" : [ { "dropping-particle" : "", "family" : "Steen", "given" : "Hanno", "non-dropping-particle" : "", "parse-names" : false, "suffix" : "" }, { "dropping-particle" : "", "family" : "Mann", "given" : "Matthias", "non-dropping-particle" : "", "parse-names" : false, "suffix" : "" } ], "container-title" : "Nature reviews. Molecular cell biology", "id" : "ITEM-1", "issue" : "September", "issued" : { "date-parts" : [ [ "2004" ] ] }, "page" : "699-711", "title" : "The ABC's (and XYZ's) of peptide sequencing.", "type" : "article-journal", "volume" : "5" }, "uris" : [ "http://www.mendeley.com/documents/?uuid=2d36a031-1cab-4496-b044-20fa3b282c07" ] } ], "mendeley" : { "formattedCitation" : "[144]", "plainTextFormattedCitation" : "[144]", "previouslyFormattedCitation" : "[144]" }, "properties" : { "noteIndex" : 0 }, "schema" : "https://github.com/citation-style-language/schema/raw/master/csl-citation.json" }</w:instrText>
      </w:r>
      <w:r w:rsidR="006638DE" w:rsidRPr="006638DE">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[144]</w:t>
      </w:r>
      <w:r w:rsidR="006638DE" w:rsidRPr="006638DE">
        <w:rPr>
          <w:rFonts w:asciiTheme="minorHAnsi" w:eastAsia="Calibri" w:hAnsiTheme="minorHAnsi" w:cs="Calibri"/>
          <w:color w:val="000000"/>
          <w:sz w:val="22"/>
          <w:szCs w:val="22"/>
          <w:lang w:eastAsia="en-GB"/>
        </w:rPr>
        <w:fldChar w:fldCharType="end"/>
      </w:r>
      <w:r w:rsidR="00FE1A56" w:rsidRPr="006638DE">
        <w:rPr>
          <w:rFonts w:asciiTheme="minorHAnsi" w:eastAsia="Calibri" w:hAnsiTheme="minorHAnsi" w:cs="Calibri"/>
          <w:color w:val="000000"/>
          <w:sz w:val="22"/>
          <w:szCs w:val="22"/>
          <w:lang w:eastAsia="en-GB"/>
        </w:rPr>
        <w:t>.</w:t>
      </w:r>
    </w:p>
    <w:p w14:paraId="39071584" w14:textId="77777777" w:rsidR="00436CD0" w:rsidRPr="00C44D8C" w:rsidRDefault="00436CD0" w:rsidP="00436CD0">
      <w:pPr>
        <w:autoSpaceDE w:val="0"/>
        <w:autoSpaceDN w:val="0"/>
        <w:adjustRightInd w:val="0"/>
        <w:spacing w:line="360" w:lineRule="auto"/>
        <w:ind w:firstLine="720"/>
        <w:rPr>
          <w:rFonts w:asciiTheme="minorHAnsi" w:eastAsia="Calibri" w:hAnsiTheme="minorHAnsi" w:cs="Calibri"/>
          <w:color w:val="000000"/>
          <w:sz w:val="22"/>
          <w:szCs w:val="22"/>
          <w:lang w:eastAsia="en-GB"/>
        </w:rPr>
      </w:pPr>
    </w:p>
    <w:p w14:paraId="5FD14C3B" w14:textId="05E31D6F" w:rsidR="00436CD0" w:rsidRPr="00C44D8C" w:rsidRDefault="00436CD0" w:rsidP="00436CD0">
      <w:pPr>
        <w:autoSpaceDE w:val="0"/>
        <w:autoSpaceDN w:val="0"/>
        <w:adjustRightInd w:val="0"/>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Detergents are often used to solubilise proteins, and to date, the anionic detergent, sodium dodecyl sulphate (</w:t>
      </w:r>
      <w:r w:rsidRPr="00C44D8C">
        <w:rPr>
          <w:rFonts w:asciiTheme="minorHAnsi" w:eastAsia="Arial" w:hAnsiTheme="minorHAnsi"/>
          <w:color w:val="000000"/>
          <w:sz w:val="22"/>
          <w:szCs w:val="22"/>
          <w:lang w:eastAsia="en-GB"/>
        </w:rPr>
        <w:t xml:space="preserve">SDS), is the most commonly used detergent for effectively disrupting the hydrophobic and ionic protein-protein interactions in proteins </w:t>
      </w:r>
      <w:r w:rsidR="006638DE">
        <w:rPr>
          <w:rFonts w:asciiTheme="minorHAnsi" w:eastAsia="Arial" w:hAnsiTheme="minorHAnsi"/>
          <w:color w:val="000000"/>
          <w:sz w:val="22"/>
          <w:szCs w:val="22"/>
          <w:lang w:eastAsia="en-GB"/>
        </w:rPr>
        <w:fldChar w:fldCharType="begin" w:fldLock="1"/>
      </w:r>
      <w:r w:rsidR="00AB0CFE">
        <w:rPr>
          <w:rFonts w:asciiTheme="minorHAnsi" w:eastAsia="Arial" w:hAnsiTheme="minorHAnsi"/>
          <w:color w:val="000000"/>
          <w:sz w:val="22"/>
          <w:szCs w:val="22"/>
          <w:lang w:eastAsia="en-GB"/>
        </w:rPr>
        <w:instrText>ADDIN CSL_CITATION { "citationItems" : [ { "id" : "ITEM-1", "itemData" : { "DOI" : "10.1021/cr068286z", "ISBN" : "0009-2665", "ISSN" : "0009-2665", "PMID" : "17683161", "abstract" : "no abstract", "author" : [ { "dropping-particle" : "", "family" : "Speers", "given" : "Anna E", "non-dropping-particle" : "", "parse-names" : false, "suffix" : "" }, { "dropping-particle" : "", "family" : "Wu", "given" : "Christine C", "non-dropping-particle" : "", "parse-names" : false, "suffix" : "" } ], "container-title" : "Chemical reviews", "id" : "ITEM-1", "issued" : { "date-parts" : [ [ "2007" ] ] }, "page" : "3687-3714", "title" : "Proteomics of integral membrane proteins--theory and application.", "type" : "article-journal", "volume" : "107" }, "uris" : [ "http://www.mendeley.com/documents/?uuid=a338d371-1d70-44fe-be5a-47b1f2c091bf" ] } ], "mendeley" : { "formattedCitation" : "[150]", "plainTextFormattedCitation" : "[150]", "previouslyFormattedCitation" : "[150]" }, "properties" : { "noteIndex" : 0 }, "schema" : "https://github.com/citation-style-language/schema/raw/master/csl-citation.json" }</w:instrText>
      </w:r>
      <w:r w:rsidR="006638DE">
        <w:rPr>
          <w:rFonts w:asciiTheme="minorHAnsi" w:eastAsia="Arial" w:hAnsiTheme="minorHAnsi"/>
          <w:color w:val="000000"/>
          <w:sz w:val="22"/>
          <w:szCs w:val="22"/>
          <w:lang w:eastAsia="en-GB"/>
        </w:rPr>
        <w:fldChar w:fldCharType="separate"/>
      </w:r>
      <w:r w:rsidR="00BB3D6F" w:rsidRPr="00BB3D6F">
        <w:rPr>
          <w:rFonts w:asciiTheme="minorHAnsi" w:eastAsia="Arial" w:hAnsiTheme="minorHAnsi"/>
          <w:noProof/>
          <w:color w:val="000000"/>
          <w:sz w:val="22"/>
          <w:szCs w:val="22"/>
          <w:lang w:eastAsia="en-GB"/>
        </w:rPr>
        <w:t>[150]</w:t>
      </w:r>
      <w:r w:rsidR="006638DE">
        <w:rPr>
          <w:rFonts w:asciiTheme="minorHAnsi" w:eastAsia="Arial" w:hAnsiTheme="minorHAnsi"/>
          <w:color w:val="000000"/>
          <w:sz w:val="22"/>
          <w:szCs w:val="22"/>
          <w:lang w:eastAsia="en-GB"/>
        </w:rPr>
        <w:fldChar w:fldCharType="end"/>
      </w:r>
      <w:r w:rsidRPr="00C44D8C">
        <w:rPr>
          <w:rFonts w:asciiTheme="minorHAnsi" w:eastAsia="Arial" w:hAnsiTheme="minorHAns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However, detergents greatly interfere with the downstream proteomic processing steps, </w:t>
      </w:r>
      <w:r w:rsidRPr="00C44D8C">
        <w:rPr>
          <w:rFonts w:asciiTheme="minorHAnsi" w:eastAsia="Arial" w:hAnsiTheme="minorHAnsi" w:cs="Arial"/>
          <w:color w:val="000000"/>
          <w:sz w:val="22"/>
          <w:szCs w:val="22"/>
          <w:lang w:eastAsia="en-GB"/>
        </w:rPr>
        <w:t xml:space="preserve">and often must be removed from samples </w:t>
      </w:r>
      <w:r w:rsidR="006638DE">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"DOI" : "10.1016/j.jchromb.2006.10.040", "ISBN" : "1570-0232 (Print) 1570-0232 (Linking)", "ISSN" : "15700232", "PMID" : "17113834", "abstract" : "Sample preparation is one of the most crucial processes in proteomics research. The results of the experiment depend on the condition of the starting material. Therefore, the proper experimental model and careful sample preparation is vital to obtain significant and trustworthy results, particularly in comparative proteomics, where we are usually looking for minor differences between experimental-, and control samples. In this review we discuss problems associated with general strategies of samples preparation, and experimental demands for these processes. ?? 2006 Elsevier B.V. All rights reserved.", "author" : [ { "dropping-particle" : "", "family" : "Bodzon-Kulakowska", "given" : "Anna", "non-dropping-particle" : "", "parse-names" : false, "suffix" : "" }, { "dropping-particle" : "", "family" : "Bierczynska-Krzysik", "given" : "Anna", "non-dropping-particle" : "", "parse-names" : false, "suffix" : "" }, { "dropping-particle" : "", "family" : "Dylag", "given" : "Tomasz", "non-dropping-particle" : "", "parse-names" : false, "suffix" : "" }, { "dropping-particle" : "", "family" : "Drabik", "given" : "Anna", "non-dropping-particle" : "", "parse-names" : false, "suffix" : "" }, { "dropping-particle" : "", "family" : "Suder", "given" : "Piotr", "non-dropping-particle" : "", "parse-names" : false, "suffix" : "" }, { "dropping-particle" : "", "family" : "Noga", "given" : "Marek", "non-dropping-particle" : "", "parse-names" : false, "suffix" : "" }, { "dropping-particle" : "", "family" : "Jarzebinska", "given" : "Justyna", "non-dropping-particle" : "", "parse-names" : false, "suffix" : "" }, { "dropping-particle" : "", "family" : "Silberring", "given" : "Jerzy", "non-dropping-particle" : "", "parse-names" : false, "suffix" : "" } ], "container-title" : "Journal of Chromatography B: Analytical Technologies in the Biomedical and Life Sciences", "id" : "ITEM-1", "issue" : "1-2", "issued" : { "date-parts" : [ [ "2007" ] ] }, "page" : "1-31", "title" : "Methods for samples preparation in proteomic research", "type" : "article-journal", "volume" : "849" }, "uris" : [ "http://www.mendeley.com/documents/?uuid=a0500ff3-87cb-49a2-9936-12a4979977ae" ] } ], "mendeley" : { "formattedCitation" : "[145]", "plainTextFormattedCitation" : "[145]", "previouslyFormattedCitation" : "[145]" }, "properties" : { "noteIndex" : 0 }, "schema" : "https://github.com/citation-style-language/schema/raw/master/csl-citation.json" }</w:instrText>
      </w:r>
      <w:r w:rsidR="006638DE">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[145]</w:t>
      </w:r>
      <w:r w:rsidR="006638DE">
        <w:rPr>
          <w:rFonts w:asciiTheme="minorHAnsi" w:eastAsia="Arial" w:hAnsiTheme="minorHAnsi" w:cs="Arial"/>
          <w:color w:val="000000"/>
          <w:sz w:val="22"/>
          <w:szCs w:val="22"/>
          <w:lang w:eastAsia="en-GB"/>
        </w:rPr>
        <w:fldChar w:fldCharType="end"/>
      </w:r>
      <w:r w:rsidRPr="00C44D8C">
        <w:rPr>
          <w:rFonts w:asciiTheme="minorHAnsi" w:eastAsia="Arial" w:hAnsiTheme="minorHAnsi" w:cs="Arial"/>
          <w:color w:val="000000"/>
          <w:sz w:val="22"/>
          <w:szCs w:val="22"/>
          <w:lang w:eastAsia="en-GB"/>
        </w:rPr>
        <w:t>.</w:t>
      </w:r>
      <w:r w:rsidRPr="00C44D8C">
        <w:rPr>
          <w:rFonts w:asciiTheme="minorHAnsi" w:eastAsia="Calibri" w:hAnsiTheme="minorHAnsi" w:cs="Calibri"/>
          <w:color w:val="000000"/>
          <w:sz w:val="22"/>
          <w:szCs w:val="22"/>
          <w:lang w:eastAsia="en-GB"/>
        </w:rPr>
        <w:t xml:space="preserve"> Low levels of </w:t>
      </w:r>
      <w:r w:rsidRPr="00C44D8C">
        <w:rPr>
          <w:rFonts w:asciiTheme="minorHAnsi" w:eastAsia="Arial" w:hAnsiTheme="minorHAnsi"/>
          <w:color w:val="000000"/>
          <w:sz w:val="22"/>
          <w:szCs w:val="22"/>
          <w:lang w:eastAsia="en-GB"/>
        </w:rPr>
        <w:t xml:space="preserve">SDS (&lt; 0.1%) can complicate peptide separation techniques downstream and are incompatible with MS </w:t>
      </w:r>
      <w:r w:rsidR="006638DE">
        <w:rPr>
          <w:rFonts w:asciiTheme="minorHAnsi" w:eastAsia="Arial" w:hAnsiTheme="minorHAnsi"/>
          <w:color w:val="000000"/>
          <w:sz w:val="22"/>
          <w:szCs w:val="22"/>
          <w:lang w:eastAsia="en-GB"/>
        </w:rPr>
        <w:fldChar w:fldCharType="begin" w:fldLock="1"/>
      </w:r>
      <w:r w:rsidR="00AB0CFE">
        <w:rPr>
          <w:rFonts w:asciiTheme="minorHAnsi" w:eastAsia="Arial" w:hAnsiTheme="minorHAnsi"/>
          <w:color w:val="000000"/>
          <w:sz w:val="22"/>
          <w:szCs w:val="22"/>
          <w:lang w:eastAsia="en-GB"/>
        </w:rPr>
        <w:instrText>ADDIN CSL_CITATION { "citationItems" : [ { "id" : "ITEM-1", "itemData" : { "DOI" : "10.1002/pmic.201200478", "ISSN" : "16159853", "PMID" : "23784971", "abstract" : "This work presents a comparative evaluation of several detergent-based sample preparation workflows for the MS-based analysis of bacterial proteomes, performed using the model organism Escherichia coli. Initially, RapiGest- and SDS-based buffers were compared for their protein extraction efficiency and quality of the MS data generated. As a result, SDS performed best in terms of total protein yields and overall number of MS identifications, mainly due to a higher efficiency in extracting high molecular weight (MW) and membrane proteins, while RapiGest led to an enrichment in periplasmic and fimbrial proteins. Then, SDS extracts underwent five different MS sample preparation workflows, including: detergent removal by spin columns followed by in-solution digestion (SC), protein precipitation followed by in-solution digestion in ammonium bicarbonate or urea buffer, filter-aided sample preparation (FASP), and 1DE separation followed by in-gel digestion. On the whole, about 1000 proteins were identified upon LC-MS/MS analysis of all preparations (&gt;1100 with the SC workflow), with FASP producing more identified peptides and a higher mean sequence coverage. Each protocol exhibited specific behaviors in terms of MW, hydrophobicity, and subcellular localization distribution of the identified proteins; a comparative assessment of the different outputs is presented.", "author" : [ { "dropping-particle" : "", "family" : "Tanca", "given" : "Alessandro", "non-dropping-particle" : "", "parse-names" : false, "suffix" : "" }, { "dropping-particle" : "", "family" : "Biosa", "given" : "Grazia", "non-dropping-particle" : "", "parse-names" : false, "suffix" : "" }, { "dropping-particle" : "", "family" : "Pagnozzi", "given" : "Daniela", "non-dropping-particle" : "", "parse-names" : false, "suffix" : "" }, { "dropping-particle" : "", "family" : "Addis", "given" : "Maria Filippa", "non-dropping-particle" : "", "parse-names" : false, "suffix" : "" }, { "dropping-particle" : "", "family" : "Uzzau", "given" : "Sergio", "non-dropping-particle" : "", "parse-names" : false, "suffix" : "" } ], "container-title" : "Proteomics", "id" : "ITEM-1", "issue" : "17", "issued" : { "date-parts" : [ [ "2013" ] ] }, "page" : "2597-2607", "title" : "Comparison of detergent-based sample preparation workflows for LTQ-Orbitrap analysis of the Escherichia coli proteome", "type" : "article-journal", "volume" : "13" }, "uris" : [ "http://www.mendeley.com/documents/?uuid=6fd1f067-d20f-4aa7-a9f1-63688b053b63" ] }, { "id" : "ITEM-2", "itemData" : { "DOI" : "10.5772/2473", "ISBN" : "978-953-51-0070-6", "ISSN" : "978-953-51-0070-6", "abstract" : "Proteomics was thought to be a natural extension after the field of genomics has deposited significant amount of data. However, simply taking a straight verbatim approach to catalog all proteins in all tissues of different organisms is not viable. Researchers may need to focus on the perspectives of proteomics that are essential to the functional outcome of the cells. In Integrative Proteomics, expert researchers contribute both historical perspectives, new developments in sample preparation, gel-based and non-gel-based protein separation and identification using mass spectrometry. Substantial chapters are describing studies of the sub-proteomes such as phosphoproteome or glycoproteomes which are directly related to functional outcomes of the cells. Structural proteomics related to pharmaceutics development is also a perspective of the essence. Bioinformatics tools that can mine proteomics data and lead to pathway analyses become an integral part of proteomics. Integrative proteomics covers both look-backs and look-outs of proteomics. It is an ideal reference for students, new researchers, and experienced scientists who want to get an overview or insights into new development of the proteomics field.", "author" : [ { "dropping-particle" : "", "family" : "Hustoft", "given" : "Hanne Kolsrud", "non-dropping-particle" : "", "parse-names" : false, "suffix" : "" }, { "dropping-particle" : "", "family" : "Malerod", "given" : "Helle", "non-dropping-particle" : "", "parse-names" : false, "suffix" : "" }, { "dropping-particle" : "", "family" : "Wilson", "given" : "Steven Ray", "non-dropping-particle" : "", "parse-names" : false, "suffix" : "" }, { "dropping-particle" : "", "family" : "Reubsaet", "given" : "Leon", "non-dropping-particle" : "", "parse-names" : false, "suffix" : "" }, { "dropping-particle" : "", "family" : "Lundanes", "given" : "Elsa", "non-dropping-particle" : "", "parse-names" : false, "suffix" : "" }, { "dropping-particle" : "", "family" : "Greibrokk", "given" : "Tyge", "non-dropping-particle" : "", "parse-names" : false, "suffix" : "" } ], "container-title" : "Integrative Proteomics", "id" : "ITEM-2", "issued" : { "date-parts" : [ [ "2010" ] ] }, "page" : "73-92", "title" : "A Critical Review of Trypsin Digestion for LC-MS Based Proteomics", "type" : "article-journal" }, "uris" : [ "http://www.mendeley.com/documents/?uuid=5edfa95e-c83e-4128-999a-ed94288aff80" ] } ], "mendeley" : { "formattedCitation" : "[148,151]", "plainTextFormattedCitation" : "[148,151]", "previouslyFormattedCitation" : "[148,151]" }, "properties" : { "noteIndex" : 0 }, "schema" : "https://github.com/citation-style-language/schema/raw/master/csl-citation.json" }</w:instrText>
      </w:r>
      <w:r w:rsidR="006638DE">
        <w:rPr>
          <w:rFonts w:asciiTheme="minorHAnsi" w:eastAsia="Arial" w:hAnsiTheme="minorHAnsi"/>
          <w:color w:val="000000"/>
          <w:sz w:val="22"/>
          <w:szCs w:val="22"/>
          <w:lang w:eastAsia="en-GB"/>
        </w:rPr>
        <w:fldChar w:fldCharType="separate"/>
      </w:r>
      <w:r w:rsidR="00BB3D6F" w:rsidRPr="00BB3D6F">
        <w:rPr>
          <w:rFonts w:asciiTheme="minorHAnsi" w:eastAsia="Arial" w:hAnsiTheme="minorHAnsi"/>
          <w:noProof/>
          <w:color w:val="000000"/>
          <w:sz w:val="22"/>
          <w:szCs w:val="22"/>
          <w:lang w:eastAsia="en-GB"/>
        </w:rPr>
        <w:t>[148,151]</w:t>
      </w:r>
      <w:r w:rsidR="006638DE">
        <w:rPr>
          <w:rFonts w:asciiTheme="minorHAnsi" w:eastAsia="Arial" w:hAnsiTheme="minorHAnsi"/>
          <w:color w:val="000000"/>
          <w:sz w:val="22"/>
          <w:szCs w:val="22"/>
          <w:lang w:eastAsia="en-GB"/>
        </w:rPr>
        <w:fldChar w:fldCharType="end"/>
      </w:r>
      <w:r w:rsidRPr="00C44D8C">
        <w:rPr>
          <w:rFonts w:asciiTheme="minorHAnsi" w:eastAsia="Arial" w:hAnsiTheme="minorHAnsi"/>
          <w:color w:val="000000"/>
          <w:sz w:val="22"/>
          <w:szCs w:val="22"/>
          <w:lang w:eastAsia="en-GB"/>
        </w:rPr>
        <w:t>. The removal of SDS and other detergents can be removed by acetone precipitation, and salt removal can be facilitated by the use of centrifugal filtration devices</w:t>
      </w:r>
      <w:r w:rsidR="006638DE">
        <w:rPr>
          <w:rFonts w:asciiTheme="minorHAnsi" w:eastAsia="Arial" w:hAnsiTheme="minorHAnsi"/>
          <w:color w:val="000000"/>
          <w:sz w:val="22"/>
          <w:szCs w:val="22"/>
          <w:lang w:eastAsia="en-GB"/>
        </w:rPr>
        <w:t xml:space="preserve"> </w:t>
      </w:r>
      <w:r w:rsidR="006638DE">
        <w:rPr>
          <w:rFonts w:asciiTheme="minorHAnsi" w:eastAsia="Arial" w:hAnsiTheme="minorHAnsi"/>
          <w:color w:val="000000"/>
          <w:sz w:val="22"/>
          <w:szCs w:val="22"/>
          <w:lang w:eastAsia="en-GB"/>
        </w:rPr>
        <w:fldChar w:fldCharType="begin" w:fldLock="1"/>
      </w:r>
      <w:r w:rsidR="00AB0CFE">
        <w:rPr>
          <w:rFonts w:asciiTheme="minorHAnsi" w:eastAsia="Arial" w:hAnsiTheme="minorHAnsi"/>
          <w:color w:val="000000"/>
          <w:sz w:val="22"/>
          <w:szCs w:val="22"/>
          <w:lang w:eastAsia="en-GB"/>
        </w:rPr>
        <w:instrText>ADDIN CSL_CITATION { "citationItems" : [ { "id" : "ITEM-1", "itemData" : { "DOI" : "10.1021/cr3003533.Protein", "author" : [ { "dropping-particle" : "", "family" : "Zhang", "given" : "Yaoyang", "non-dropping-particle" : "", "parse-names" : false, "suffix" : "" }, { "dropping-particle" : "", "family" : "Fonslow", "given" : "Bryan R", "non-dropping-particle" : "", "parse-names" : false, "suffix" : "" }, { "dropping-particle" : "", "family" : "Shan", "given" : "Bing", "non-dropping-particle" : "", "parse-names" : false, "suffix" : "" }, { "dropping-particle" : "", "family" : "Baek", "given" : "Moon-chang", "non-dropping-particle" : "", "parse-names" : false, "suffix" : "" }, { "dropping-particle" : "", "family" : "Yates", "given" : "John R", "non-dropping-particle" : "", "parse-names" : false, "suffix" : "" } ], "container-title" : "Chemical Reviews", "id" : "ITEM-1", "issue" : "4", "issued" : { "date-parts" : [ [ "2013" ] ] }, "page" : "2343-2394", "title" : "Protein Analysis by Shotgun / Bottom-up Proteomics", "type" : "article-journal", "volume" : "113" }, "uris" : [ "http://www.mendeley.com/documents/?uuid=431c6419-fc5b-46df-ac0c-f6367adb5e2f" ] } ], "mendeley" : { "formattedCitation" : "[152]", "plainTextFormattedCitation" : "[152]", "previouslyFormattedCitation" : "[152]" }, "properties" : { "noteIndex" : 0 }, "schema" : "https://github.com/citation-style-language/schema/raw/master/csl-citation.json" }</w:instrText>
      </w:r>
      <w:r w:rsidR="006638DE">
        <w:rPr>
          <w:rFonts w:asciiTheme="minorHAnsi" w:eastAsia="Arial" w:hAnsiTheme="minorHAnsi"/>
          <w:color w:val="000000"/>
          <w:sz w:val="22"/>
          <w:szCs w:val="22"/>
          <w:lang w:eastAsia="en-GB"/>
        </w:rPr>
        <w:fldChar w:fldCharType="separate"/>
      </w:r>
      <w:r w:rsidR="00BB3D6F" w:rsidRPr="00BB3D6F">
        <w:rPr>
          <w:rFonts w:asciiTheme="minorHAnsi" w:eastAsia="Arial" w:hAnsiTheme="minorHAnsi"/>
          <w:noProof/>
          <w:color w:val="000000"/>
          <w:sz w:val="22"/>
          <w:szCs w:val="22"/>
          <w:lang w:eastAsia="en-GB"/>
        </w:rPr>
        <w:t>[152]</w:t>
      </w:r>
      <w:r w:rsidR="006638DE">
        <w:rPr>
          <w:rFonts w:asciiTheme="minorHAnsi" w:eastAsia="Arial" w:hAnsiTheme="minorHAnsi"/>
          <w:color w:val="000000"/>
          <w:sz w:val="22"/>
          <w:szCs w:val="22"/>
          <w:lang w:eastAsia="en-GB"/>
        </w:rPr>
        <w:fldChar w:fldCharType="end"/>
      </w:r>
      <w:r w:rsidRPr="00C44D8C">
        <w:rPr>
          <w:rFonts w:asciiTheme="minorHAnsi" w:eastAsia="Arial" w:hAnsiTheme="minorHAnsi"/>
          <w:color w:val="000000"/>
          <w:sz w:val="22"/>
          <w:szCs w:val="22"/>
          <w:lang w:eastAsia="en-GB"/>
        </w:rPr>
        <w:t xml:space="preserve">. </w:t>
      </w:r>
    </w:p>
    <w:p w14:paraId="7B66671F" w14:textId="2FE4B769" w:rsidR="00436CD0" w:rsidRPr="00C44D8C" w:rsidRDefault="00436CD0" w:rsidP="00436CD0">
      <w:pPr>
        <w:autoSpaceDE w:val="0"/>
        <w:autoSpaceDN w:val="0"/>
        <w:adjustRightInd w:val="0"/>
        <w:spacing w:line="360" w:lineRule="auto"/>
        <w:ind w:firstLine="720"/>
        <w:rPr>
          <w:rFonts w:asciiTheme="minorHAnsi" w:eastAsia="Arial" w:hAnsiTheme="minorHAnsi" w:cs="Arial"/>
          <w:color w:val="000000"/>
          <w:sz w:val="22"/>
          <w:szCs w:val="22"/>
          <w:lang w:eastAsia="en-GB"/>
        </w:rPr>
      </w:pPr>
      <w:r w:rsidRPr="00C44D8C">
        <w:rPr>
          <w:rFonts w:asciiTheme="minorHAnsi" w:eastAsia="Arial" w:hAnsiTheme="minorHAnsi"/>
          <w:color w:val="000000"/>
          <w:sz w:val="22"/>
          <w:szCs w:val="22"/>
          <w:lang w:eastAsia="en-GB"/>
        </w:rPr>
        <w:t xml:space="preserve">Thereafter, proteins are commonly enriched and pre-fractionated by </w:t>
      </w:r>
      <w:r w:rsidRPr="00C44D8C">
        <w:rPr>
          <w:rFonts w:asciiTheme="minorHAnsi" w:eastAsia="Arial" w:hAnsiTheme="minorHAnsi" w:cs="Arial"/>
          <w:color w:val="000000"/>
          <w:sz w:val="22"/>
          <w:szCs w:val="22"/>
          <w:lang w:eastAsia="en-GB"/>
        </w:rPr>
        <w:t>sodium dodecyl sulphate polyacrylamide gel electrophoresis</w:t>
      </w:r>
      <w:r w:rsidRPr="00C44D8C">
        <w:rPr>
          <w:rFonts w:asciiTheme="minorHAnsi" w:eastAsia="Calibri" w:hAnsiTheme="minorHAnsi" w:cs="Calibri"/>
          <w:color w:val="000000"/>
          <w:sz w:val="22"/>
          <w:szCs w:val="22"/>
          <w:lang w:eastAsia="en-GB"/>
        </w:rPr>
        <w:t xml:space="preserve"> (SDS-PAGE) based on their molecular weight </w:t>
      </w:r>
      <w:r w:rsidR="006638DE">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"10.1021/cr3003533.Protein", "author" : [ { "dropping-particle" : "", "family" : "Zhang", "given" : "Yaoyang", "non-dropping-particle" : "", "parse-names" : false, "suffix" : "" }, { "dropping-particle" : "", "family" : "Fonslow", "given" : "Bryan R", "non-dropping-particle" : "", "parse-names" : false, "suffix" : "" }, { "dropping-particle" : "", "family" : "Shan", "given" : "Bing", "non-dropping-particle" : "", "parse-names" : false, "suffix" : "" }, { "dropping-particle" : "", "family" : "Baek", "given" : "Moon-chang", "non-dropping-particle" : "", "parse-names" : false, "suffix" : "" }, { "dropping-particle" : "", "family" : "Yates", "given" : "John R", "non-dropping-particle" : "", "parse-names" : false, "suffix" : "" } ], "container-title" : "Chemical Reviews", "id" : "ITEM-1", "issue" : "4", "issued" : { "date-parts" : [ [ "2013" ] ] }, "page" : "2343-2394", "title" : "Protein Analysis by Shotgun / Bottom-up Proteomics", "type" : "article-journal", "volume" : "113" }, "uris" : [ "http://www.mendeley.com/documents/?uuid=431c6419-fc5b-46df-ac0c-f6367adb5e2f" ] }, { "id" : "ITEM-2", "itemData" : { "DOI" : "10.1155/2009/574398", "ISBN" : "1110-7243", "ISSN" : "11107243", "PMID" : "20011662", "abstract" : "Extraction of DNA, RNA, and protein is the basic method used in molecular biology. These biomolecules can be isolated from any biological material for subsequent downstream processes, analytical, or preparative purposes. In the past, the process of extraction and purification of nucleic acids used to be complicated, time-consuming, labor-intensive, and limited in terms of overall throughput. Currently, there are many specialized methods that can be used to extract pure biomolecules, such as solution-based and column-based protocols. Manual method has certainly come a long way over time with various commercial offerings which included complete kits containing most of the components needed to isolate nucleic acid, but most of them require repeated centrifugation steps, followed by removal of supernatants depending on the type of specimen and additional mechanical treatment. Automated systems designed for medium-to-large laboratories have grown in demand over recent years. It is an alternative to labor-intensive manual methods. The technology should allow a high throughput of samples; the yield, purity, reproducibility, and scalability of the biomolecules as well as the speed, accuracy, and reliability of the assay should be maximal, while minimizing the risk of cross-contamination.", "author" : [ { "dropping-particle" : "", "family" : "Tan", "given" : "Siun Chee", "non-dropping-particle" : "", "parse-names" : false, "suffix" : "" }, { "dropping-particle" : "", "family" : "Yiap", "given" : "Beow Chin", "non-dropping-particle" : "", "parse-names" : false, "suffix" : "" } ], "container-title" : "Journal of Biomedicine and Biotechnology", "id" : "ITEM-2", "issued" : { "date-parts" : [ [ "2009" ] ] }, "page" : "1-10", "title" : "DNA, RNA, and protein extraction: The past and the present", "type" : "article-journal", "volume" : "2009" }, "uris" : [ "http://www.mendeley.com/documents/?uuid=a83e0b70-6483-4cd5-b425-278991d79819" ] } ], "mendeley" : { "formattedCitation" : "[152,153]", "plainTextFormattedCitation" : "[152,153]", "previouslyFormattedCitation" : "[152,153]" }, "properties" : { "noteIndex" : 0 }, "schema" : "https://github.com/citation-style-language/schema/raw/master/csl-citation.json" }</w:instrText>
      </w:r>
      <w:r w:rsidR="006638DE">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[152,153]</w:t>
      </w:r>
      <w:r w:rsidR="006638D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This is still one of the most commonly used methods for separating proteins owing to its ability to resolve and separate proteins in a complex protein sample, and is an important method for reducing protein complexity</w:t>
      </w:r>
      <w:r w:rsidR="006638DE">
        <w:rPr>
          <w:rFonts w:asciiTheme="minorHAnsi" w:eastAsia="Calibri" w:hAnsiTheme="minorHAnsi" w:cs="Calibri"/>
          <w:color w:val="000000"/>
          <w:sz w:val="22"/>
          <w:szCs w:val="22"/>
          <w:lang w:eastAsia="en-GB"/>
        </w:rPr>
        <w:t xml:space="preserve"> </w:t>
      </w:r>
      <w:r w:rsidR="006638DE">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"10.1002/(SICI)1522-2683(20000401)21:6&lt;1104::AID-ELPS1104&gt;3.0.CO;2-C", "ISBN" : "0173-0835 (Print)\\r0173-0835 (Linking)", "ISSN" : "01730835", "PMID" : "10786884", "abstract" : "Proteomic research, for its part, is benefiting enormously from the last decade of genomic research as we now have archived, annotated and audited sequence databases to correlate and query experimental data. While the two-dimensional electrophoresis (2-DE) gels are still a central part of proteomics, we reflect on the possibilities and realities of the current 2-DE technology with regard to displaying and analysing proteomes. Limitations of analysing whole cell/tissue lysates by 2-DE alone are discussed, and we investigate whether extremely narrow p/ranges (1 pH unit/25 cm) provide a solution to display comprehensive protein expression profiles. We are confronted with a challenging task: the dynamic range of protein expression. We believe that most of the existing technology is capable of displaying many more proteins than is currently achievable by integrating existing and new techniques to prefractionate samples prior to 2-DE display or analysis. The availability of a \"proteomics toolbox\", consisting of defined reagents, methods, and equipment, would assist a comprehensive analysis of defined biological systems.", "author" : [ { "dropping-particle" : "", "family" : "Corthals", "given" : "Carry L.", "non-dropping-particle" : "", "parse-names" : false, "suffix" : "" }, { "dropping-particle" : "", "family" : "Wasinger", "given" : "Valerie C.", "non-dropping-particle" : "", "parse-names" : false, "suffix" : "" }, { "dropping-particle" : "", "family" : "Hochstrasser", "given" : "Denis F.", "non-dropping-particle" : "", "parse-names" : false, "suffix" : "" }, { "dropping-particle" : "", "family" : "Sanchez", "given" : "Jean Charles", "non-dropping-particle" : "", "parse-names" : false, "suffix" : "" } ], "container-title" : "Electrophoresis", "id" : "ITEM-1", "issue" : "6", "issued" : { "date-parts" : [ [ "2000" ] ] }, "page" : "1104-1115", "title" : "The dynamic range of protein expression: A challenge for proteomic research", "type" : "article-journal", "volume" : "21" }, "uris" : [ "http://www.mendeley.com/documents/?uuid=c7cf99ff-bb4d-48d6-bb34-351a2cb5a440" ] } ], "mendeley" : { "formattedCitation" : "[154]", "plainTextFormattedCitation" : "[154]", "previouslyFormattedCitation" : "[154]" }, "properties" : { "noteIndex" : 0 }, "schema" : "https://github.com/citation-style-language/schema/raw/master/csl-citation.json" }</w:instrText>
      </w:r>
      <w:r w:rsidR="006638DE">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[154]</w:t>
      </w:r>
      <w:r w:rsidR="006638DE">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success of protein separation is based on the solubilisation of proteins. SDS is again used to solubilise proteins in a sample and to provide a net </w:t>
      </w:r>
      <w:r w:rsidR="000837B6">
        <w:rPr>
          <w:rFonts w:asciiTheme="minorHAnsi" w:eastAsia="Calibri" w:hAnsiTheme="minorHAnsi" w:cs="Calibri"/>
          <w:color w:val="000000"/>
          <w:sz w:val="22"/>
          <w:szCs w:val="22"/>
          <w:lang w:eastAsia="en-GB"/>
        </w:rPr>
        <w:t xml:space="preserve">negative charge to all proteins. </w:t>
      </w:r>
      <w:r w:rsidRPr="00C44D8C">
        <w:rPr>
          <w:rFonts w:asciiTheme="minorHAnsi" w:eastAsia="Calibri" w:hAnsiTheme="minorHAnsi" w:cs="Calibri"/>
          <w:color w:val="000000"/>
          <w:sz w:val="22"/>
          <w:szCs w:val="22"/>
          <w:lang w:eastAsia="en-GB"/>
        </w:rPr>
        <w:t>Upon application of an electric field in a polyacrylamide gel, these negatively charged and solubilised protein molecules migrate through the gel at a rate based on their net charge and size</w:t>
      </w:r>
      <w:r w:rsidR="000837B6">
        <w:rPr>
          <w:rFonts w:asciiTheme="minorHAnsi" w:eastAsia="Calibri" w:hAnsiTheme="minorHAnsi" w:cs="Calibri"/>
          <w:color w:val="000000"/>
          <w:sz w:val="22"/>
          <w:szCs w:val="22"/>
          <w:lang w:eastAsia="en-GB"/>
        </w:rPr>
        <w:t xml:space="preserve">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"10.1016/j.jchromb.2006.10.040", "ISBN" : "1570-0232 (Print) 1570-0232 (Linking)", "ISSN" : "15700232", "PMID" : "17113834", "abstract" : "Sample preparation is one of the most crucial processes in proteomics research. The results of the experiment depend on the condition of the starting material. Therefore, the proper experimental model and careful sample preparation is vital to obtain significant and trustworthy results, particularly in comparative proteomics, where we are usually looking for minor differences between experimental-, and control samples. In this review we discuss problems associated with general strategies of samples preparation, and experimental demands for these processes. ?? 2006 Elsevier B.V. All rights reserved.", "author" : [ { "dropping-particle" : "", "family" : "Bodzon-Kulakowska", "given" : "Anna", "non-dropping-particle" : "", "parse-names" : false, "suffix" : "" }, { "dropping-particle" : "", "family" : "Bierczynska-Krzysik", "given" : "Anna", "non-dropping-particle" : "", "parse-names" : false, "suffix" : "" }, { "dropping-particle" : "", "family" : "Dylag", "given" : "Tomasz", "non-dropping-particle" : "", "parse-names" : false, "suffix" : "" }, { "dropping-particle" : "", "family" : "Drabik", "given" : "Anna", "non-dropping-particle" : "", "parse-names" : false, "suffix" : "" }, { "dropping-particle" : "", "family" : "Suder", "given" : "Piotr", "non-dropping-particle" : "", "parse-names" : false, "suffix" : "" }, { "dropping-particle" : "", "family" : "Noga", "given" : "Marek", "non-dropping-particle" : "", "parse-names" : false, "suffix" : "" }, { "dropping-particle" : "", "family" : "Jarzebinska", "given" : "Justyna", "non-dropping-particle" : "", "parse-names" : false, "suffix" : "" }, { "dropping-particle" : "", "family" : "Silberring", "given" : "Jerzy", "non-dropping-particle" : "", "parse-names" : false, "suffix" : "" } ], "container-title" : "Journal of Chromatography B: Analytical Technologies in the Biomedical and Life Sciences", "id" : "ITEM-1", "issue" : "1-2", "issued" : { "date-parts" : [ [ "2007" ] ] }, "page" : "1-31", "title" : "Methods for samples preparation in proteomic research", "type" : "article-journal", "volume" : "849" }, "uris" : [ "http://www.mendeley.com/documents/?uuid=a0500ff3-87cb-49a2-9936-12a4979977ae" ] } ], "mendeley" : { "formattedCitation" : "[145]", "plainTextFormattedCitation" : "[145]", "previouslyFormattedCitation" : "[145]"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[145]</w:t>
      </w:r>
      <w:r w:rsidR="000837B6">
        <w:rPr>
          <w:rFonts w:asciiTheme="minorHAnsi" w:eastAsia="Calibri" w:hAnsiTheme="minorHAnsi" w:cs="Calibri"/>
          <w:color w:val="000000"/>
          <w:sz w:val="22"/>
          <w:szCs w:val="22"/>
          <w:lang w:eastAsia="en-GB"/>
        </w:rPr>
        <w:fldChar w:fldCharType="end"/>
      </w:r>
      <w:r w:rsidR="000837B6">
        <w:rPr>
          <w:rFonts w:asciiTheme="minorHAnsi" w:eastAsia="Calibri" w:hAnsiTheme="minorHAnsi" w:cs="Calibri"/>
          <w:color w:val="000000"/>
          <w:sz w:val="22"/>
          <w:szCs w:val="22"/>
          <w:lang w:eastAsia="en-GB"/>
        </w:rPr>
        <w:t xml:space="preserve">, </w:t>
      </w:r>
      <w:r w:rsidRPr="00C44D8C">
        <w:rPr>
          <w:rFonts w:asciiTheme="minorHAnsi" w:eastAsia="Arial" w:hAnsiTheme="minorHAnsi" w:cs="Arial"/>
          <w:color w:val="000000"/>
          <w:sz w:val="22"/>
          <w:szCs w:val="22"/>
          <w:lang w:eastAsia="en-GB"/>
        </w:rPr>
        <w:t>and are detected by a visible stain. Silver staining is a popular choice of stain, owing to its sensitivity to proteins at the nanogram-level</w:t>
      </w:r>
      <w:r w:rsidR="000837B6">
        <w:rPr>
          <w:rFonts w:asciiTheme="minorHAnsi" w:eastAsia="Arial" w:hAnsiTheme="minorHAnsi" w:cs="Arial"/>
          <w:color w:val="000000"/>
          <w:sz w:val="22"/>
          <w:szCs w:val="22"/>
          <w:lang w:eastAsia="en-GB"/>
        </w:rPr>
        <w:t xml:space="preserve"> </w:t>
      </w:r>
      <w:r w:rsidR="000837B6">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"DOI" : "10.1038/nprot.2006.288", "author" : [ { "dropping-particle" : "", "family" : "Wray", "given" : "Wayne", "non-dropping-particle" : "", "parse-names" : false, "suffix" : "" }, { "dropping-particle" : "", "family" : "Boulikas", "given" : "Teni", "non-dropping-particle" : "", "parse-names" : false, "suffix" : "" }, { "dropping-particle" : "", "family" : "Wray", "given" : "Virginia P.", "non-dropping-particle" : "", "parse-names" : false, "suffix" : "" }, { "dropping-particle" : "", "family" : "Hancock", "given" : "Ronald", "non-dropping-particle" : "", "parse-names" : false, "suffix" : "" } ], "container-title" : "Analytical Biochemistry", "id" : "ITEM-1", "issued" : { "date-parts" : [ [ "1981" ] ] }, "page" : "197-203", "title" : "Silver staining of proteins in polyacrylamide gels", "type" : "article-journal", "volume" : "118" }, "uris" : [ "http://www.mendeley.com/documents/?uuid=116b7e4a-20f2-4be3-b2a3-f0e46b5166ac" ] } ], "mendeley" : { "formattedCitation" : "[155]", "plainTextFormattedCitation" : "[155]", "previouslyFormattedCitation" : "[155]" }, "properties" : { "noteIndex" : 0 }, "schema" : "https://github.com/citation-style-language/schema/raw/master/csl-citation.json" }</w:instrText>
      </w:r>
      <w:r w:rsidR="000837B6">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[155]</w:t>
      </w:r>
      <w:r w:rsidR="000837B6">
        <w:rPr>
          <w:rFonts w:asciiTheme="minorHAnsi" w:eastAsia="Arial" w:hAnsiTheme="minorHAnsi" w:cs="Arial"/>
          <w:color w:val="000000"/>
          <w:sz w:val="22"/>
          <w:szCs w:val="22"/>
          <w:lang w:eastAsia="en-GB"/>
        </w:rPr>
        <w:fldChar w:fldCharType="end"/>
      </w:r>
      <w:r w:rsidRPr="00C44D8C">
        <w:rPr>
          <w:rFonts w:asciiTheme="minorHAnsi" w:eastAsia="Arial" w:hAnsiTheme="minorHAnsi" w:cs="Arial"/>
          <w:color w:val="000000"/>
          <w:sz w:val="22"/>
          <w:szCs w:val="22"/>
          <w:lang w:eastAsia="en-GB"/>
        </w:rPr>
        <w:t xml:space="preserve">. </w:t>
      </w:r>
    </w:p>
    <w:p w14:paraId="228EFB7C" w14:textId="6152D25E" w:rsidR="00436CD0" w:rsidRPr="00C44D8C" w:rsidRDefault="00436CD0" w:rsidP="00436CD0">
      <w:pPr>
        <w:autoSpaceDE w:val="0"/>
        <w:autoSpaceDN w:val="0"/>
        <w:adjustRightInd w:val="0"/>
        <w:spacing w:line="360" w:lineRule="auto"/>
        <w:ind w:firstLine="720"/>
        <w:rPr>
          <w:rFonts w:asciiTheme="minorHAnsi" w:eastAsia="Calibri" w:hAnsiTheme="minorHAnsi" w:cs="Calibri"/>
          <w:color w:val="000000"/>
          <w:sz w:val="22"/>
          <w:szCs w:val="22"/>
          <w:lang w:eastAsia="en-GB"/>
        </w:rPr>
      </w:pPr>
      <w:r w:rsidRPr="00C44D8C">
        <w:rPr>
          <w:rFonts w:asciiTheme="minorHAnsi" w:eastAsia="Arial" w:hAnsiTheme="minorHAnsi" w:cs="Arial"/>
          <w:color w:val="000000"/>
          <w:sz w:val="22"/>
          <w:szCs w:val="22"/>
          <w:lang w:eastAsia="en-GB"/>
        </w:rPr>
        <w:t xml:space="preserve">The separated proteins appear as gel bands at different positions that can be compared to the bands from proteins of known size </w:t>
      </w:r>
      <w:r w:rsidR="000837B6">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"DOI" : "10.1155/2009/574398", "ISBN" : "1110-7243", "ISSN" : "11107243", "PMID" : "20011662", "abstract" : "Extraction of DNA, RNA, and protein is the basic method used in molecular biology. These biomolecules can be isolated from any biological material for subsequent downstream processes, analytical, or preparative purposes. In the past, the process of extraction and purification of nucleic acids used to be complicated, time-consuming, labor-intensive, and limited in terms of overall throughput. Currently, there are many specialized methods that can be used to extract pure biomolecules, such as solution-based and column-based protocols. Manual method has certainly come a long way over time with various commercial offerings which included complete kits containing most of the components needed to isolate nucleic acid, but most of them require repeated centrifugation steps, followed by removal of supernatants depending on the type of specimen and additional mechanical treatment. Automated systems designed for medium-to-large laboratories have grown in demand over recent years. It is an alternative to labor-intensive manual methods. The technology should allow a high throughput of samples; the yield, purity, reproducibility, and scalability of the biomolecules as well as the speed, accuracy, and reliability of the assay should be maximal, while minimizing the risk of cross-contamination.", "author" : [ { "dropping-particle" : "", "family" : "Tan", "given" : "Siun Chee", "non-dropping-particle" : "", "parse-names" : false, "suffix" : "" }, { "dropping-particle" : "", "family" : "Yiap", "given" : "Beow Chin", "non-dropping-particle" : "", "parse-names" : false, "suffix" : "" } ], "container-title" : "Journal of Biomedicine and Biotechnology", "id" : "ITEM-1", "issued" : { "date-parts" : [ [ "2009" ] ] }, "page" : "1-10", "title" : "DNA, RNA, and protein extraction: The past and the present", "type" : "article-journal", "volume" : "2009" }, "uris" : [ "http://www.mendeley.com/documents/?uuid=a83e0b70-6483-4cd5-b425-278991d79819" ] } ], "mendeley" : { "formattedCitation" : "[153]", "plainTextFormattedCitation" : "[153]", "previouslyFormattedCitation" : "[153]" }, "properties" : { "noteIndex" : 0 }, "schema" : "https://github.com/citation-style-language/schema/raw/master/csl-citation.json" }</w:instrText>
      </w:r>
      <w:r w:rsidR="000837B6">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[153]</w:t>
      </w:r>
      <w:r w:rsidR="000837B6">
        <w:rPr>
          <w:rFonts w:asciiTheme="minorHAnsi" w:eastAsia="Arial" w:hAnsiTheme="minorHAnsi" w:cs="Arial"/>
          <w:color w:val="000000"/>
          <w:sz w:val="22"/>
          <w:szCs w:val="22"/>
          <w:lang w:eastAsia="en-GB"/>
        </w:rPr>
        <w:fldChar w:fldCharType="end"/>
      </w:r>
      <w:r w:rsidRPr="00C44D8C">
        <w:rPr>
          <w:rFonts w:asciiTheme="minorHAnsi" w:eastAsia="Arial" w:hAnsiTheme="minorHAnsi" w:cs="Arial"/>
          <w:color w:val="000000"/>
          <w:sz w:val="22"/>
          <w:szCs w:val="22"/>
          <w:lang w:eastAsia="en-GB"/>
        </w:rPr>
        <w:t xml:space="preserve">. Methods for protein quantification, such as the Lowry or Bradford assay, are important steps to </w:t>
      </w:r>
      <w:r w:rsidRPr="00C44D8C">
        <w:rPr>
          <w:rFonts w:asciiTheme="minorHAnsi" w:eastAsia="Calibri" w:hAnsiTheme="minorHAnsi" w:cs="Calibri"/>
          <w:color w:val="000000"/>
          <w:sz w:val="22"/>
          <w:szCs w:val="22"/>
          <w:lang w:eastAsia="en-GB"/>
        </w:rPr>
        <w:t xml:space="preserve">ensure that equal amounts of protein from different experimental conditions enter the downstream proteomic workflow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"10.5772/2473", "ISBN" : "978-953-51-0070-6", "ISSN" : "978-953-51-0070-6", "abstract" : "Proteomics was thought to be a natural extension after the field of genomics has deposited significant amount of data. However, simply taking a straight verbatim approach to catalog all proteins in all tissues of different organisms is not viable. Researchers may need to focus on the perspectives of proteomics that are essential to the functional outcome of the cells. In Integrative Proteomics, expert researchers contribute both historical perspectives, new developments in sample preparation, gel-based and non-gel-based protein separation and identification using mass spectrometry. Substantial chapters are describing studies of the sub-proteomes such as phosphoproteome or glycoproteomes which are directly related to functional outcomes of the cells. Structural proteomics related to pharmaceutics development is also a perspective of the essence. Bioinformatics tools that can mine proteomics data and lead to pathway analyses become an integral part of proteomics. Integrative proteomics covers both look-backs and look-outs of proteomics. It is an ideal reference for students, new researchers, and experienced scientists who want to get an overview or insights into new development of the proteomics field.", "author" : [ { "dropping-particle" : "", "family" : "Hustoft", "given" : "Hanne Kolsrud", "non-dropping-particle" : "", "parse-names" : false, "suffix" : "" }, { "dropping-particle" : "", "family" : "Malerod", "given" : "Helle", "non-dropping-particle" : "", "parse-names" : false, "suffix" : "" }, { "dropping-particle" : "", "family" : "Wilson", "given" : "Steven Ray", "non-dropping-particle" : "", "parse-names" : false, "suffix" : "" }, { "dropping-particle" : "", "family" : "Reubsaet", "given" : "Leon", "non-dropping-particle" : "", "parse-names" : false, "suffix" : "" }, { "dropping-particle" : "", "family" : "Lundanes", "given" : "Elsa", "non-dropping-particle" : "", "parse-names" : false, "suffix" : "" }, { "dropping-particle" : "", "family" : "Greibrokk", "given" : "Tyge", "non-dropping-particle" : "", "parse-names" : false, "suffix" : "" } ], "container-title" : "Integrative Proteomics", "id" : "ITEM-1", "issued" : { "date-parts" : [ [ "2010" ] ] }, "page" : "73-92", "title" : "A Critical Review of Trypsin Digestion for LC-MS Based Proteomics", "type" : "article-journal" }, "uris" : [ "http://www.mendeley.com/documents/?uuid=5edfa95e-c83e-4128-999a-ed94288aff80" ] } ], "mendeley" : { "formattedCitation" : "[148]", "plainTextFormattedCitation" : "[148]", "previouslyFormattedCitation" : "[148]"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[148]</w:t>
      </w:r>
      <w:r w:rsidR="000837B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161863CC" w14:textId="0D29411B" w:rsidR="00436CD0" w:rsidRPr="00C44D8C" w:rsidRDefault="00831783" w:rsidP="00831783">
      <w:pPr>
        <w:pStyle w:val="Heading8"/>
        <w:rPr>
          <w:rFonts w:eastAsia="Arial" w:cs="Arial"/>
          <w:lang w:eastAsia="en-GB"/>
        </w:rPr>
      </w:pPr>
      <w:bookmarkStart w:id="63" w:name="_Toc462575280"/>
      <w:r>
        <w:rPr>
          <w:lang w:eastAsia="en-GB"/>
        </w:rPr>
        <w:lastRenderedPageBreak/>
        <w:t>2.5.3</w:t>
      </w:r>
      <w:r w:rsidR="00436CD0" w:rsidRPr="00C44D8C">
        <w:rPr>
          <w:lang w:eastAsia="en-GB"/>
        </w:rPr>
        <w:t>.4.2. Protein digestion</w:t>
      </w:r>
      <w:bookmarkEnd w:id="63"/>
    </w:p>
    <w:p w14:paraId="40B9370A" w14:textId="6CB09372" w:rsidR="00436CD0" w:rsidRPr="00C44D8C" w:rsidRDefault="00436CD0" w:rsidP="00436CD0">
      <w:pPr>
        <w:autoSpaceDE w:val="0"/>
        <w:autoSpaceDN w:val="0"/>
        <w:adjustRightInd w:val="0"/>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Prior to protein digestion, the protein sample undergoes denaturation, alkylation and reduction using various reagents to increase the efficiency of protein digestion, by allowing proteases better access to protein cleavage sites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"10.1016/j.jchromb.2006.10.040", "ISBN" : "1570-0232 (Print) 1570-0232 (Linking)", "ISSN" : "15700232", "PMID" : "17113834", "abstract" : "Sample preparation is one of the most crucial processes in proteomics research. The results of the experiment depend on the condition of the starting material. Therefore, the proper experimental model and careful sample preparation is vital to obtain significant and trustworthy results, particularly in comparative proteomics, where we are usually looking for minor differences between experimental-, and control samples. In this review we discuss problems associated with general strategies of samples preparation, and experimental demands for these processes. ?? 2006 Elsevier B.V. All rights reserved.", "author" : [ { "dropping-particle" : "", "family" : "Bodzon-Kulakowska", "given" : "Anna", "non-dropping-particle" : "", "parse-names" : false, "suffix" : "" }, { "dropping-particle" : "", "family" : "Bierczynska-Krzysik", "given" : "Anna", "non-dropping-particle" : "", "parse-names" : false, "suffix" : "" }, { "dropping-particle" : "", "family" : "Dylag", "given" : "Tomasz", "non-dropping-particle" : "", "parse-names" : false, "suffix" : "" }, { "dropping-particle" : "", "family" : "Drabik", "given" : "Anna", "non-dropping-particle" : "", "parse-names" : false, "suffix" : "" }, { "dropping-particle" : "", "family" : "Suder", "given" : "Piotr", "non-dropping-particle" : "", "parse-names" : false, "suffix" : "" }, { "dropping-particle" : "", "family" : "Noga", "given" : "Marek", "non-dropping-particle" : "", "parse-names" : false, "suffix" : "" }, { "dropping-particle" : "", "family" : "Jarzebinska", "given" : "Justyna", "non-dropping-particle" : "", "parse-names" : false, "suffix" : "" }, { "dropping-particle" : "", "family" : "Silberring", "given" : "Jerzy", "non-dropping-particle" : "", "parse-names" : false, "suffix" : "" } ], "container-title" : "Journal of Chromatography B: Analytical Technologies in the Biomedical and Life Sciences", "id" : "ITEM-1", "issue" : "1-2", "issued" : { "date-parts" : [ [ "2007" ] ] }, "page" : "1-31", "title" : "Methods for samples preparation in proteomic research", "type" : "article-journal", "volume" : "849" }, "uris" : [ "http://www.mendeley.com/documents/?uuid=a0500ff3-87cb-49a2-9936-12a4979977ae" ] } ], "mendeley" : { "formattedCitation" : "[145]", "plainTextFormattedCitation" : "[145]", "previouslyFormattedCitation" : "[145]"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[145]</w:t>
      </w:r>
      <w:r w:rsidR="000837B6">
        <w:rPr>
          <w:rFonts w:asciiTheme="minorHAnsi" w:eastAsia="Calibri" w:hAnsiTheme="minorHAnsi" w:cs="Calibri"/>
          <w:color w:val="000000"/>
          <w:sz w:val="22"/>
          <w:szCs w:val="22"/>
          <w:lang w:eastAsia="en-GB"/>
        </w:rPr>
        <w:fldChar w:fldCharType="end"/>
      </w:r>
      <w:r w:rsidR="000837B6">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Denaturation and reduction is required for the disruption of disulphide bonds between cysteine residues in proteins, which are responsible for protein structure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"10.5772/2473", "ISBN" : "978-953-51-0070-6", "ISSN" : "978-953-51-0070-6", "abstract" : "Proteomics was thought to be a natural extension after the field of genomics has deposited significant amount of data. However, simply taking a straight verbatim approach to catalog all proteins in all tissues of different organisms is not viable. Researchers may need to focus on the perspectives of proteomics that are essential to the functional outcome of the cells. In Integrative Proteomics, expert researchers contribute both historical perspectives, new developments in sample preparation, gel-based and non-gel-based protein separation and identification using mass spectrometry. Substantial chapters are describing studies of the sub-proteomes such as phosphoproteome or glycoproteomes which are directly related to functional outcomes of the cells. Structural proteomics related to pharmaceutics development is also a perspective of the essence. Bioinformatics tools that can mine proteomics data and lead to pathway analyses become an integral part of proteomics. Integrative proteomics covers both look-backs and look-outs of proteomics. It is an ideal reference for students, new researchers, and experienced scientists who want to get an overview or insights into new development of the proteomics field.", "author" : [ { "dropping-particle" : "", "family" : "Hustoft", "given" : "Hanne Kolsrud", "non-dropping-particle" : "", "parse-names" : false, "suffix" : "" }, { "dropping-particle" : "", "family" : "Malerod", "given" : "Helle", "non-dropping-particle" : "", "parse-names" : false, "suffix" : "" }, { "dropping-particle" : "", "family" : "Wilson", "given" : "Steven Ray", "non-dropping-particle" : "", "parse-names" : false, "suffix" : "" }, { "dropping-particle" : "", "family" : "Reubsaet", "given" : "Leon", "non-dropping-particle" : "", "parse-names" : false, "suffix" : "" }, { "dropping-particle" : "", "family" : "Lundanes", "given" : "Elsa", "non-dropping-particle" : "", "parse-names" : false, "suffix" : "" }, { "dropping-particle" : "", "family" : "Greibrokk", "given" : "Tyge", "non-dropping-particle" : "", "parse-names" : false, "suffix" : "" } ], "container-title" : "Integrative Proteomics", "id" : "ITEM-1", "issued" : { "date-parts" : [ [ "2010" ] ] }, "page" : "73-92", "title" : "A Critical Review of Trypsin Digestion for LC-MS Based Proteomics", "type" : "article-journal" }, "uris" : [ "http://www.mendeley.com/documents/?uuid=5edfa95e-c83e-4128-999a-ed94288aff80" ] } ], "mendeley" : { "formattedCitation" : "[148]", "plainTextFormattedCitation" : "[148]", "previouslyFormattedCitation" : "[148]"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[148]</w:t>
      </w:r>
      <w:r w:rsidR="000837B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Owing to the incompatibility of SDS to liquid chromatography (LC) separation techniques and MS, surfactants that are compatible to MS, such as the commercially available RapiGest™ (Waters, USA), are often used to enhance the solubilisation and denaturation of proteins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"10.1021/cr3003533.Protein", "author" : [ { "dropping-particle" : "", "family" : "Zhang", "given" : "Yaoyang", "non-dropping-particle" : "", "parse-names" : false, "suffix" : "" }, { "dropping-particle" : "", "family" : "Fonslow", "given" : "Bryan R", "non-dropping-particle" : "", "parse-names" : false, "suffix" : "" }, { "dropping-particle" : "", "family" : "Shan", "given" : "Bing", "non-dropping-particle" : "", "parse-names" : false, "suffix" : "" }, { "dropping-particle" : "", "family" : "Baek", "given" : "Moon-chang", "non-dropping-particle" : "", "parse-names" : false, "suffix" : "" }, { "dropping-particle" : "", "family" : "Yates", "given" : "John R", "non-dropping-particle" : "", "parse-names" : false, "suffix" : "" } ], "container-title" : "Chemical Reviews", "id" : "ITEM-1", "issue" : "4", "issued" : { "date-parts" : [ [ "2013" ] ] }, "page" : "2343-2394", "title" : "Protein Analysis by Shotgun / Bottom-up Proteomics", "type" : "article-journal", "volume" : "113" }, "uris" : [ "http://www.mendeley.com/documents/?uuid=431c6419-fc5b-46df-ac0c-f6367adb5e2f" ] } ], "mendeley" : { "formattedCitation" : "[152]", "plainTextFormattedCitation" : "[152]", "previouslyFormattedCitation" : "[152]"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[152]</w:t>
      </w:r>
      <w:r w:rsidR="000837B6">
        <w:rPr>
          <w:rFonts w:asciiTheme="minorHAnsi" w:eastAsia="Calibri" w:hAnsiTheme="minorHAnsi" w:cs="Calibri"/>
          <w:color w:val="000000"/>
          <w:sz w:val="22"/>
          <w:szCs w:val="22"/>
          <w:lang w:eastAsia="en-GB"/>
        </w:rPr>
        <w:fldChar w:fldCharType="end"/>
      </w:r>
      <w:r w:rsidR="000837B6">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This surfactant has an acid labile moiety that allows it to undergo hydrolysis when exposed to acidic environments, thus allowing its removal from samples prior to LC-MS </w:t>
      </w:r>
      <w:r w:rsidR="000837B6">
        <w:rPr>
          <w:rFonts w:asciiTheme="minorHAnsi" w:eastAsia="Calibri" w:hAnsiTheme="minorHAnsi" w:cs="Calibri"/>
          <w:color w:val="000000"/>
          <w:sz w:val="22"/>
          <w:szCs w:val="22"/>
          <w:lang w:eastAsia="en-GB"/>
        </w:rPr>
        <w:t>[148].</w:t>
      </w:r>
    </w:p>
    <w:p w14:paraId="1C8161BD" w14:textId="02335E22" w:rsidR="00436CD0" w:rsidRPr="00C44D8C" w:rsidRDefault="00436CD0" w:rsidP="00436CD0">
      <w:pPr>
        <w:autoSpaceDE w:val="0"/>
        <w:autoSpaceDN w:val="0"/>
        <w:adjustRightInd w:val="0"/>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Strong reducing agents, such as dith</w:t>
      </w:r>
      <w:r w:rsidR="00650B38">
        <w:rPr>
          <w:rFonts w:asciiTheme="minorHAnsi" w:eastAsia="Calibri" w:hAnsiTheme="minorHAnsi" w:cs="Calibri"/>
          <w:color w:val="000000"/>
          <w:sz w:val="22"/>
          <w:szCs w:val="22"/>
          <w:lang w:eastAsia="en-GB"/>
        </w:rPr>
        <w:t>iothreitol (DT</w:t>
      </w:r>
      <w:r w:rsidRPr="00C44D8C">
        <w:rPr>
          <w:rFonts w:asciiTheme="minorHAnsi" w:eastAsia="Calibri" w:hAnsiTheme="minorHAnsi" w:cs="Calibri"/>
          <w:color w:val="000000"/>
          <w:sz w:val="22"/>
          <w:szCs w:val="22"/>
          <w:lang w:eastAsia="en-GB"/>
        </w:rPr>
        <w:t xml:space="preserve">T) and </w:t>
      </w:r>
      <w:r w:rsidRPr="00C44D8C">
        <w:rPr>
          <w:rFonts w:asciiTheme="minorHAnsi" w:hAnsiTheme="minorHAnsi"/>
          <w:color w:val="000000"/>
          <w:sz w:val="22"/>
          <w:szCs w:val="22"/>
          <w:shd w:val="clear" w:color="auto" w:fill="FDFDFD"/>
          <w:lang w:eastAsia="en-GB"/>
        </w:rPr>
        <w:t>Tris(2-carboxyethyl)phosphine hydrochloride (TCEP)</w:t>
      </w:r>
      <w:r w:rsidRPr="00C44D8C">
        <w:rPr>
          <w:rFonts w:asciiTheme="minorHAnsi" w:eastAsia="Calibri" w:hAnsiTheme="minorHAnsi" w:cs="Calibri"/>
          <w:color w:val="000000"/>
          <w:sz w:val="22"/>
          <w:szCs w:val="22"/>
          <w:lang w:eastAsia="en-GB"/>
        </w:rPr>
        <w:t>, are commonly used to reduce protein disulphide bonds</w:t>
      </w:r>
      <w:r w:rsidR="000837B6">
        <w:rPr>
          <w:rFonts w:asciiTheme="minorHAnsi" w:eastAsia="Calibri" w:hAnsiTheme="minorHAnsi" w:cs="Calibri"/>
          <w:color w:val="000000"/>
          <w:sz w:val="22"/>
          <w:szCs w:val="22"/>
          <w:lang w:eastAsia="en-GB"/>
        </w:rPr>
        <w:t xml:space="preserve">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"10.1016/j.jchromb.2006.10.040", "ISBN" : "1570-0232 (Print) 1570-0232 (Linking)", "ISSN" : "15700232", "PMID" : "17113834", "abstract" : "Sample preparation is one of the most crucial processes in proteomics research. The results of the experiment depend on the condition of the starting material. Therefore, the proper experimental model and careful sample preparation is vital to obtain significant and trustworthy results, particularly in comparative proteomics, where we are usually looking for minor differences between experimental-, and control samples. In this review we discuss problems associated with general strategies of samples preparation, and experimental demands for these processes. ?? 2006 Elsevier B.V. All rights reserved.", "author" : [ { "dropping-particle" : "", "family" : "Bodzon-Kulakowska", "given" : "Anna", "non-dropping-particle" : "", "parse-names" : false, "suffix" : "" }, { "dropping-particle" : "", "family" : "Bierczynska-Krzysik", "given" : "Anna", "non-dropping-particle" : "", "parse-names" : false, "suffix" : "" }, { "dropping-particle" : "", "family" : "Dylag", "given" : "Tomasz", "non-dropping-particle" : "", "parse-names" : false, "suffix" : "" }, { "dropping-particle" : "", "family" : "Drabik", "given" : "Anna", "non-dropping-particle" : "", "parse-names" : false, "suffix" : "" }, { "dropping-particle" : "", "family" : "Suder", "given" : "Piotr", "non-dropping-particle" : "", "parse-names" : false, "suffix" : "" }, { "dropping-particle" : "", "family" : "Noga", "given" : "Marek", "non-dropping-particle" : "", "parse-names" : false, "suffix" : "" }, { "dropping-particle" : "", "family" : "Jarzebinska", "given" : "Justyna", "non-dropping-particle" : "", "parse-names" : false, "suffix" : "" }, { "dropping-particle" : "", "family" : "Silberring", "given" : "Jerzy", "non-dropping-particle" : "", "parse-names" : false, "suffix" : "" } ], "container-title" : "Journal of Chromatography B: Analytical Technologies in the Biomedical and Life Sciences", "id" : "ITEM-1", "issue" : "1-2", "issued" : { "date-parts" : [ [ "2007" ] ] }, "page" : "1-31", "title" : "Methods for samples preparation in proteomic research", "type" : "article-journal", "volume" : "849" }, "uris" : [ "http://www.mendeley.com/documents/?uuid=a0500ff3-87cb-49a2-9936-12a4979977ae" ] } ], "mendeley" : { "formattedCitation" : "[145]", "plainTextFormattedCitation" : "[145]", "previouslyFormattedCitation" : "[145]"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[145]</w:t>
      </w:r>
      <w:r w:rsidR="000837B6">
        <w:rPr>
          <w:rFonts w:asciiTheme="minorHAnsi" w:eastAsia="Calibri" w:hAnsiTheme="minorHAnsi" w:cs="Calibri"/>
          <w:color w:val="000000"/>
          <w:sz w:val="22"/>
          <w:szCs w:val="22"/>
          <w:lang w:eastAsia="en-GB"/>
        </w:rPr>
        <w:fldChar w:fldCharType="end"/>
      </w:r>
      <w:r w:rsidR="000837B6">
        <w:rPr>
          <w:rFonts w:asciiTheme="minorHAnsi" w:eastAsia="Calibri" w:hAnsiTheme="minorHAnsi" w:cs="Calibri"/>
          <w:color w:val="000000"/>
          <w:sz w:val="22"/>
          <w:szCs w:val="22"/>
          <w:lang w:eastAsia="en-GB"/>
        </w:rPr>
        <w:t xml:space="preserve">. </w:t>
      </w:r>
      <w:r w:rsidRPr="00C44D8C">
        <w:rPr>
          <w:rFonts w:asciiTheme="minorHAnsi" w:eastAsia="Arial" w:hAnsiTheme="minorHAnsi" w:cs="Arial"/>
          <w:color w:val="000000"/>
          <w:sz w:val="22"/>
          <w:szCs w:val="22"/>
          <w:lang w:eastAsia="en-GB"/>
        </w:rPr>
        <w:t xml:space="preserve">Alkylation of cysteines is required to further prevent denatured proteins from reforming disulphide bonds between cysteine residues </w:t>
      </w:r>
      <w:r w:rsidR="000837B6">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"DOI" : "10.5772/2473", "ISBN" : "978-953-51-0070-6", "ISSN" : "978-953-51-0070-6", "abstract" : "Proteomics was thought to be a natural extension after the field of genomics has deposited significant amount of data. However, simply taking a straight verbatim approach to catalog all proteins in all tissues of different organisms is not viable. Researchers may need to focus on the perspectives of proteomics that are essential to the functional outcome of the cells. In Integrative Proteomics, expert researchers contribute both historical perspectives, new developments in sample preparation, gel-based and non-gel-based protein separation and identification using mass spectrometry. Substantial chapters are describing studies of the sub-proteomes such as phosphoproteome or glycoproteomes which are directly related to functional outcomes of the cells. Structural proteomics related to pharmaceutics development is also a perspective of the essence. Bioinformatics tools that can mine proteomics data and lead to pathway analyses become an integral part of proteomics. Integrative proteomics covers both look-backs and look-outs of proteomics. It is an ideal reference for students, new researchers, and experienced scientists who want to get an overview or insights into new development of the proteomics field.", "author" : [ { "dropping-particle" : "", "family" : "Hustoft", "given" : "Hanne Kolsrud", "non-dropping-particle" : "", "parse-names" : false, "suffix" : "" }, { "dropping-particle" : "", "family" : "Malerod", "given" : "Helle", "non-dropping-particle" : "", "parse-names" : false, "suffix" : "" }, { "dropping-particle" : "", "family" : "Wilson", "given" : "Steven Ray", "non-dropping-particle" : "", "parse-names" : false, "suffix" : "" }, { "dropping-particle" : "", "family" : "Reubsaet", "given" : "Leon", "non-dropping-particle" : "", "parse-names" : false, "suffix" : "" }, { "dropping-particle" : "", "family" : "Lundanes", "given" : "Elsa", "non-dropping-particle" : "", "parse-names" : false, "suffix" : "" }, { "dropping-particle" : "", "family" : "Greibrokk", "given" : "Tyge", "non-dropping-particle" : "", "parse-names" : false, "suffix" : "" } ], "container-title" : "Integrative Proteomics", "id" : "ITEM-1", "issued" : { "date-parts" : [ [ "2010" ] ] }, "page" : "73-92", "title" : "A Critical Review of Trypsin Digestion for LC-MS Based Proteomics", "type" : "article-journal" }, "uris" : [ "http://www.mendeley.com/documents/?uuid=5edfa95e-c83e-4128-999a-ed94288aff80" ] } ], "mendeley" : { "formattedCitation" : "[148]", "plainTextFormattedCitation" : "[148]", "previouslyFormattedCitation" : "[148]" }, "properties" : { "noteIndex" : 0 }, "schema" : "https://github.com/citation-style-language/schema/raw/master/csl-citation.json" }</w:instrText>
      </w:r>
      <w:r w:rsidR="000837B6">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[148]</w:t>
      </w:r>
      <w:r w:rsidR="000837B6">
        <w:rPr>
          <w:rFonts w:asciiTheme="minorHAnsi" w:eastAsia="Arial" w:hAnsiTheme="minorHAnsi" w:cs="Arial"/>
          <w:color w:val="000000"/>
          <w:sz w:val="22"/>
          <w:szCs w:val="22"/>
          <w:lang w:eastAsia="en-GB"/>
        </w:rPr>
        <w:fldChar w:fldCharType="end"/>
      </w:r>
      <w:r w:rsidRPr="00C44D8C">
        <w:rPr>
          <w:rFonts w:asciiTheme="minorHAnsi" w:eastAsia="Calibri" w:hAnsiTheme="minorHAnsi" w:cs="Calibri"/>
          <w:color w:val="000000"/>
          <w:sz w:val="22"/>
          <w:szCs w:val="22"/>
          <w:lang w:eastAsia="en-GB"/>
        </w:rPr>
        <w:t>.</w:t>
      </w:r>
      <w:r w:rsidRPr="00C44D8C">
        <w:rPr>
          <w:rFonts w:asciiTheme="minorHAnsi" w:eastAsia="Arial" w:hAnsiTheme="minorHAnsi" w:cs="Arial"/>
          <w:color w:val="000000"/>
          <w:sz w:val="22"/>
          <w:szCs w:val="22"/>
          <w:lang w:eastAsia="en-GB"/>
        </w:rPr>
        <w:t xml:space="preserve"> </w:t>
      </w:r>
    </w:p>
    <w:p w14:paraId="2A8F40BD" w14:textId="2228F43A" w:rsidR="00436CD0" w:rsidRPr="00C44D8C" w:rsidRDefault="00436CD0" w:rsidP="00436CD0">
      <w:pPr>
        <w:autoSpaceDE w:val="0"/>
        <w:autoSpaceDN w:val="0"/>
        <w:adjustRightInd w:val="0"/>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  Thereafter, the denatured, reduced and alkylated proteins undergo enzymatic digestion and are broken down into smaller and simpler peptides by a sequence-specific protease, such as trypsin. Trypsin specifically cleaves the arginine and lysine residues on proteins on their carboxy-terminal side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"10.1038/nrm1468", "ISBN" : "1471-0072 (Print)", "ISSN" : "1471-0072", "PMID" : "15340378", "abstract" : "Proteomics is an increasingly powerful and indispensable technology in molecular cell biology. It can be used to identify the components of small protein complexes and large organelles, to determine post-translational modifications and in sophisticated functional screens. The key - but little understood - technology in mass-spectrometry-based proteomics is peptide sequencing, which we describe and review here in an easily accessible format.", "author" : [ { "dropping-particle" : "", "family" : "Steen", "given" : "Hanno", "non-dropping-particle" : "", "parse-names" : false, "suffix" : "" }, { "dropping-particle" : "", "family" : "Mann", "given" : "Matthias", "non-dropping-particle" : "", "parse-names" : false, "suffix" : "" } ], "container-title" : "Nature reviews. Molecular cell biology", "id" : "ITEM-1", "issue" : "September", "issued" : { "date-parts" : [ [ "2004" ] ] }, "page" : "699-711", "title" : "The ABC's (and XYZ's) of peptide sequencing.", "type" : "article-journal", "volume" : "5" }, "uris" : [ "http://www.mendeley.com/documents/?uuid=2d36a031-1cab-4496-b044-20fa3b282c07" ] } ], "mendeley" : { "formattedCitation" : "[144]", "plainTextFormattedCitation" : "[144]", "previouslyFormattedCitation" : "[144]"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[144]</w:t>
      </w:r>
      <w:r w:rsidR="000837B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producing peptides that fall within the mass range detection limits of MS for easier identification. This is a key step, as mass spectrometers are more sensitive to sequencing peptides that are up to 20 residues long compared to proteins</w:t>
      </w:r>
      <w:r w:rsidR="000837B6">
        <w:rPr>
          <w:rFonts w:asciiTheme="minorHAnsi" w:eastAsia="Calibri" w:hAnsiTheme="minorHAnsi" w:cs="Calibri"/>
          <w:color w:val="000000"/>
          <w:sz w:val="22"/>
          <w:szCs w:val="22"/>
          <w:lang w:eastAsia="en-GB"/>
        </w:rPr>
        <w:t xml:space="preserve">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"10.1038/nrm1468", "ISBN" : "1471-0072 (Print)", "ISSN" : "1471-0072", "PMID" : "15340378", "abstract" : "Proteomics is an increasingly powerful and indispensable technology in molecular cell biology. It can be used to identify the components of small protein complexes and large organelles, to determine post-translational modifications and in sophisticated functional screens. The key - but little understood - technology in mass-spectrometry-based proteomics is peptide sequencing, which we describe and review here in an easily accessible format.", "author" : [ { "dropping-particle" : "", "family" : "Steen", "given" : "Hanno", "non-dropping-particle" : "", "parse-names" : false, "suffix" : "" }, { "dropping-particle" : "", "family" : "Mann", "given" : "Matthias", "non-dropping-particle" : "", "parse-names" : false, "suffix" : "" } ], "container-title" : "Nature reviews. Molecular cell biology", "id" : "ITEM-1", "issue" : "September", "issued" : { "date-parts" : [ [ "2004" ] ] }, "page" : "699-711", "title" : "The ABC's (and XYZ's) of peptide sequencing.", "type" : "article-journal", "volume" : "5" }, "uris" : [ "http://www.mendeley.com/documents/?uuid=2d36a031-1cab-4496-b044-20fa3b282c07" ] }, { "id" : "ITEM-2", "itemData" : { "DOI" : "10.4061/2009/239204", "ISBN" : "1757-4242", "ISSN" : "1757-4242", "PMID" : "20948568", "abstract" : "Proteomics is the large-scale study of the structure and function of proteins in complex biological sample. Such an approach has the potential value to understand the complex nature of the organism. Current proteomic tools allow large-scale, high-throughput analyses for the detection, identification, and functional investigation of proteome. Advances in protein fractionation and labeling techniques have improved protein identification to include the least abundant proteins. In addition, proteomics has been complemented by the analysis of posttranslational modifications and techniques for the quantitative comparison of different proteomes. However, the major limitation of proteomic investigations remains the complexity of biological structures and physiological processes, rendering the path of exploration paved with various difficulties and pitfalls. The quantity of data that is acquired with new techniques places new challenges on data processing and analysis. This article provides a brief overview of currently available proteomic techniques and their applications, followed by detailed description of advantages and technical challenges. Some solutions to circumvent technical difficulties are proposed.", "author" : [ { "dropping-particle" : "", "family" : "Chandramouli", "given" : "Kondethimmanahalli", "non-dropping-particle" : "", "parse-names" : false, "suffix" : "" }, { "dropping-particle" : "", "family" : "Qian", "given" : "Pei-Yuan", "non-dropping-particle" : "", "parse-names" : false, "suffix" : "" } ], "container-title" : "Human genomics and proteomics : HGP", "id" : "ITEM-2", "issued" : { "date-parts" : [ [ "2009" ] ] }, "title" : "Proteomics: challenges, techniques and possibilities to overcome biological sample complexity.", "type" : "article-journal", "volume" : "2009" }, "uris" : [ "http://www.mendeley.com/documents/?uuid=7a5e699b-1323-4bfa-97ac-6d446e552d07" ] } ], "mendeley" : { "formattedCitation" : "[144,147]", "plainTextFormattedCitation" : "[144,147]", "previouslyFormattedCitation" : "[144,147]"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[144,147]</w:t>
      </w:r>
      <w:r w:rsidR="000837B6">
        <w:rPr>
          <w:rFonts w:asciiTheme="minorHAnsi" w:eastAsia="Calibri" w:hAnsiTheme="minorHAnsi" w:cs="Calibri"/>
          <w:color w:val="000000"/>
          <w:sz w:val="22"/>
          <w:szCs w:val="22"/>
          <w:lang w:eastAsia="en-GB"/>
        </w:rPr>
        <w:fldChar w:fldCharType="end"/>
      </w:r>
      <w:r w:rsidR="000837B6">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w:t>
      </w:r>
    </w:p>
    <w:p w14:paraId="54B36B86" w14:textId="77777777" w:rsidR="00436CD0" w:rsidRPr="00C44D8C" w:rsidRDefault="00436CD0" w:rsidP="00436CD0">
      <w:pPr>
        <w:autoSpaceDE w:val="0"/>
        <w:autoSpaceDN w:val="0"/>
        <w:adjustRightInd w:val="0"/>
        <w:spacing w:line="360" w:lineRule="auto"/>
        <w:rPr>
          <w:rFonts w:asciiTheme="minorHAnsi" w:eastAsia="Calibri" w:hAnsiTheme="minorHAnsi" w:cs="Calibri"/>
          <w:color w:val="000000"/>
          <w:sz w:val="22"/>
          <w:szCs w:val="22"/>
          <w:lang w:eastAsia="en-GB"/>
        </w:rPr>
      </w:pPr>
    </w:p>
    <w:p w14:paraId="0230DDDB" w14:textId="24399A43" w:rsidR="00436CD0" w:rsidRPr="00C44D8C" w:rsidRDefault="00831783" w:rsidP="00831783">
      <w:pPr>
        <w:pStyle w:val="Heading8"/>
        <w:rPr>
          <w:rFonts w:eastAsia="Arial" w:cs="Arial"/>
          <w:lang w:eastAsia="en-GB"/>
        </w:rPr>
      </w:pPr>
      <w:bookmarkStart w:id="64" w:name="_Toc462575281"/>
      <w:r>
        <w:rPr>
          <w:lang w:eastAsia="en-GB"/>
        </w:rPr>
        <w:t>2.5.3</w:t>
      </w:r>
      <w:r w:rsidR="00436CD0" w:rsidRPr="00C44D8C">
        <w:rPr>
          <w:lang w:eastAsia="en-GB"/>
        </w:rPr>
        <w:t>.4.3. Peptide separation</w:t>
      </w:r>
      <w:bookmarkEnd w:id="64"/>
    </w:p>
    <w:p w14:paraId="27BBDCCC" w14:textId="58BF67D3"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In order to further reduce the complexity of the peptide sample prior to MS, a 2D-LC approach is often used to fractionate the peptides using two liquid phase separation methods. This approach is indispensable in the analysis of complex protein samples owing to its speed, reproducibility and automation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"10.1016/j.chroma.2007.08.054.Fast", "author" : [ { "dropping-particle" : "", "family" : "Stoll", "given" : "Dwight R", "non-dropping-particle" : "", "parse-names" : false, "suffix" : "" }, { "dropping-particle" : "", "family" : "Xiaoping", "given" : "Lim", "non-dropping-particle" : "", "parse-names" : false, "suffix" : "" }, { "dropping-particle" : "", "family" : "Wang", "given" : "Xiaoli", "non-dropping-particle" : "", "parse-names" : false, "suffix" : "" }, { "dropping-particle" : "", "family" : "Carr", "given" : "Peter W", "non-dropping-particle" : "", "parse-names" : false, "suffix" : "" }, { "dropping-particle" : "", "family" : "Porter", "given" : "Sarah E G", "non-dropping-particle" : "", "parse-names" : false, "suffix" : "" }, { "dropping-particle" : "", "family" : "Rutan", "given" : "Sarah C", "non-dropping-particle" : "", "parse-names" : false, "suffix" : "" } ], "container-title" : "Journal of Chromatography A", "id" : "ITEM-1", "issued" : { "date-parts" : [ [ "2007" ] ] }, "page" : "1-92", "title" : "Fast, comprehensive two-dimensional liquid chromatography", "type" : "article-journal", "volume" : "1168" }, "uris" : [ "http://www.mendeley.com/documents/?uuid=b544966d-da2c-4f2c-823f-22a401615b7e" ] } ], "mendeley" : { "formattedCitation" : "[156]", "plainTextFormattedCitation" : "[156]", "previouslyFormattedCitation" : "[156]"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[156]</w:t>
      </w:r>
      <w:r w:rsidR="000837B6">
        <w:rPr>
          <w:rFonts w:asciiTheme="minorHAnsi" w:eastAsia="Calibri" w:hAnsiTheme="minorHAnsi" w:cs="Calibri"/>
          <w:color w:val="000000"/>
          <w:sz w:val="22"/>
          <w:szCs w:val="22"/>
          <w:lang w:eastAsia="en-GB"/>
        </w:rPr>
        <w:fldChar w:fldCharType="end"/>
      </w:r>
      <w:r w:rsidR="000837B6">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The most common method for peptide separation is to trap peptides out of solution onto an immobilised phase based on the polarity, hydrophobicity or ionisation of the peptides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"10.1016/j.chroma.2007.08.054.Fast", "author" : [ { "dropping-particle" : "", "family" : "Stoll", "given" : "Dwight R", "non-dropping-particle" : "", "parse-names" : false, "suffix" : "" }, { "dropping-particle" : "", "family" : "Xiaoping", "given" : "Lim", "non-dropping-particle" : "", "parse-names" : false, "suffix" : "" }, { "dropping-particle" : "", "family" : "Wang", "given" : "Xiaoli", "non-dropping-particle" : "", "parse-names" : false, "suffix" : "" }, { "dropping-particle" : "", "family" : "Carr", "given" : "Peter W", "non-dropping-particle" : "", "parse-names" : false, "suffix" : "" }, { "dropping-particle" : "", "family" : "Porter", "given" : "Sarah E G", "non-dropping-particle" : "", "parse-names" : false, "suffix" : "" }, { "dropping-particle" : "", "family" : "Rutan", "given" : "Sarah C", "non-dropping-particle" : "", "parse-names" : false, "suffix" : "" } ], "container-title" : "Journal of Chromatography A", "id" : "ITEM-1", "issued" : { "date-parts" : [ [ "2007" ] ] }, "page" : "1-92", "title" : "Fast, comprehensive two-dimensional liquid chromatography", "type" : "article-journal", "volume" : "1168" }, "uris" : [ "http://www.mendeley.com/documents/?uuid=b544966d-da2c-4f2c-823f-22a401615b7e" ] }, { "id" : "ITEM-2", "itemData" : { "abstract" : "The importance of sample preparation methods as the first stage in an analytical procedure is emphasised and examined. Examples are given of the extraction and concentration of analytes from solid, liquid and gas phase matrices, including solvent phase extractions, such as supercritical fluids and superheated water extraction, solid-phase extraction and solid-phase microextraction, headspace analysis and vapour trapping. The potential role of selective extraction methods, including molecular imprinted phases and affinity columns, are considered. For problem samples alternative approaches, such as derivatisation are discussed, and potential new approaches minimising sample preparation are noted.", "author" : [ { "dropping-particle" : "", "family" : "Smith", "given" : "Roger M", "non-dropping-particle" : "", "parse-names" : false, "suffix" : "" } ], "container-title" : "Journal of Chromatography A", "id" : "ITEM-2", "issued" : { "date-parts" : [ [ "2003" ] ] }, "page" : "3-27", "title" : "B efore the injection\u2014modern methods of sample preparation for separation techniques", "type" : "article-journal", "volume" : "1000" }, "uris" : [ "http://www.mendeley.com/documents/?uuid=ecbd5c5a-bd64-3745-8291-1ba092cb7204" ] } ], "mendeley" : { "formattedCitation" : "[156,157]", "plainTextFormattedCitation" : "[156,157]", "previouslyFormattedCitation" : "[156,157]"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[156,157]</w:t>
      </w:r>
      <w:r w:rsidR="000837B6">
        <w:rPr>
          <w:rFonts w:asciiTheme="minorHAnsi" w:eastAsia="Calibri" w:hAnsiTheme="minorHAnsi" w:cs="Calibri"/>
          <w:color w:val="000000"/>
          <w:sz w:val="22"/>
          <w:szCs w:val="22"/>
          <w:lang w:eastAsia="en-GB"/>
        </w:rPr>
        <w:fldChar w:fldCharType="end"/>
      </w:r>
      <w:r w:rsidR="000837B6">
        <w:rPr>
          <w:rFonts w:asciiTheme="minorHAnsi" w:eastAsia="Calibri" w:hAnsiTheme="minorHAnsi" w:cs="Calibri"/>
          <w:color w:val="000000"/>
          <w:sz w:val="22"/>
          <w:szCs w:val="22"/>
          <w:lang w:eastAsia="en-GB"/>
        </w:rPr>
        <w:t xml:space="preserve">. </w:t>
      </w:r>
    </w:p>
    <w:p w14:paraId="6D124777" w14:textId="31AE207B"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Arial" w:hAnsiTheme="minorHAnsi" w:cs="Arial"/>
          <w:color w:val="000000"/>
          <w:sz w:val="22"/>
          <w:szCs w:val="22"/>
          <w:lang w:eastAsia="en-GB"/>
        </w:rPr>
        <w:t xml:space="preserve">Reverse-phase liquid chromatography </w:t>
      </w:r>
      <w:r w:rsidRPr="00C44D8C">
        <w:rPr>
          <w:rFonts w:asciiTheme="minorHAnsi" w:eastAsia="Calibri" w:hAnsiTheme="minorHAnsi" w:cs="Calibri"/>
          <w:color w:val="000000"/>
          <w:sz w:val="22"/>
          <w:szCs w:val="22"/>
          <w:lang w:eastAsia="en-GB"/>
        </w:rPr>
        <w:t>(RPLC) is the most popular separation method, owing to its high efficiency and reproducibility</w:t>
      </w:r>
      <w:r w:rsidR="000837B6">
        <w:rPr>
          <w:rFonts w:asciiTheme="minorHAnsi" w:eastAsia="Calibri" w:hAnsiTheme="minorHAnsi" w:cs="Calibri"/>
          <w:color w:val="000000"/>
          <w:sz w:val="22"/>
          <w:szCs w:val="22"/>
          <w:lang w:eastAsia="en-GB"/>
        </w:rPr>
        <w:t xml:space="preserve">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"10.1016/j.chroma.2007.08.054.Fast", "author" : [ { "dropping-particle" : "", "family" : "Stoll", "given" : "Dwight R", "non-dropping-particle" : "", "parse-names" : false, "suffix" : "" }, { "dropping-particle" : "", "family" : "Xiaoping", "given" : "Lim", "non-dropping-particle" : "", "parse-names" : false, "suffix" : "" }, { "dropping-particle" : "", "family" : "Wang", "given" : "Xiaoli", "non-dropping-particle" : "", "parse-names" : false, "suffix" : "" }, { "dropping-particle" : "", "family" : "Carr", "given" : "Peter W", "non-dropping-particle" : "", "parse-names" : false, "suffix" : "" }, { "dropping-particle" : "", "family" : "Porter", "given" : "Sarah E G", "non-dropping-particle" : "", "parse-names" : false, "suffix" : "" }, { "dropping-particle" : "", "family" : "Rutan", "given" : "Sarah C", "non-dropping-particle" : "", "parse-names" : false, "suffix" : "" } ], "container-title" : "Journal of Chromatography A", "id" : "ITEM-1", "issued" : { "date-parts" : [ [ "2007" ] ] }, "page" : "1-92", "title" : "Fast, comprehensive two-dimensional liquid chromatography", "type" : "article-journal", "volume" : "1168" }, "uris" : [ "http://www.mendeley.com/documents/?uuid=b544966d-da2c-4f2c-823f-22a401615b7e" ] } ], "mendeley" : { "formattedCitation" : "[156]", "plainTextFormattedCitation" : "[156]", "previouslyFormattedCitation" : "[156]"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[156]</w:t>
      </w:r>
      <w:r w:rsidR="000837B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It is able to elute, or remove peptides in order of their hydrophobicity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"10.1038/nrm1468", "ISBN" : "1471-0072 (Print)", "ISSN" : "1471-0072", "PMID" : "15340378", "abstract" : "Proteomics is an increasingly powerful and indispensable technology in molecular cell biology. It can be used to identify the components of small protein complexes and large organelles, to determine post-translational modifications and in sophisticated functional screens. The key - but little understood - technology in mass-spectrometry-based proteomics is peptide sequencing, which we describe and review here in an easily accessible format.", "author" : [ { "dropping-particle" : "", "family" : "Steen", "given" : "Hanno", "non-dropping-particle" : "", "parse-names" : false, "suffix" : "" }, { "dropping-particle" : "", "family" : "Mann", "given" : "Matthias", "non-dropping-particle" : "", "parse-names" : false, "suffix" : "" } ], "container-title" : "Nature reviews. Molecular cell biology", "id" : "ITEM-1", "issue" : "September", "issued" : { "date-parts" : [ [ "2004" ] ] }, "page" : "699-711", "title" : "The ABC's (and XYZ's) of peptide sequencing.", "type" : "article-journal", "volume" : "5" }, "uris" : [ "http://www.mendeley.com/documents/?uuid=2d36a031-1cab-4496-b044-20fa3b282c07" ] } ], "mendeley" : { "formattedCitation" : "[144]", "plainTextFormattedCitation" : "[144]", "previouslyFormattedCitation" : "[144]"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[144]</w:t>
      </w:r>
      <w:r w:rsidR="000837B6">
        <w:rPr>
          <w:rFonts w:asciiTheme="minorHAnsi" w:eastAsia="Calibri" w:hAnsiTheme="minorHAnsi" w:cs="Calibri"/>
          <w:color w:val="000000"/>
          <w:sz w:val="22"/>
          <w:szCs w:val="22"/>
          <w:lang w:eastAsia="en-GB"/>
        </w:rPr>
        <w:fldChar w:fldCharType="end"/>
      </w:r>
      <w:r w:rsidR="000837B6">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The more polar peptides are eluted first (polar mobile phase), and the less polar peptides become adsorbed onto a hydrophobic </w:t>
      </w:r>
      <w:r w:rsidRPr="00C44D8C">
        <w:rPr>
          <w:rFonts w:asciiTheme="minorHAnsi" w:eastAsia="Calibri" w:hAnsiTheme="minorHAnsi" w:cs="Calibri"/>
          <w:color w:val="000000"/>
          <w:sz w:val="22"/>
          <w:szCs w:val="22"/>
          <w:lang w:eastAsia="en-GB"/>
        </w:rPr>
        <w:lastRenderedPageBreak/>
        <w:t xml:space="preserve">solid support as they interact with the hydrophobic groups on the support (non-polar </w:t>
      </w:r>
      <w:r w:rsidR="0075771C">
        <w:rPr>
          <w:rFonts w:asciiTheme="minorHAnsi" w:eastAsia="Calibri" w:hAnsiTheme="minorHAnsi" w:cs="Calibri"/>
          <w:color w:val="000000"/>
          <w:sz w:val="22"/>
          <w:szCs w:val="22"/>
          <w:lang w:eastAsia="en-GB"/>
        </w:rPr>
        <w:t>immobilised</w:t>
      </w:r>
      <w:r w:rsidRPr="00C44D8C">
        <w:rPr>
          <w:rFonts w:asciiTheme="minorHAnsi" w:eastAsia="Calibri" w:hAnsiTheme="minorHAnsi" w:cs="Calibri"/>
          <w:color w:val="000000"/>
          <w:sz w:val="22"/>
          <w:szCs w:val="22"/>
          <w:lang w:eastAsia="en-GB"/>
        </w:rPr>
        <w:t xml:space="preserve"> phase)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"10.1586/epr.10.46", "ISBN" : "1744-8387 (Electronic)\\r1478-9450 (Linking)", "ISSN" : "1478-9450", "PMID" : "20973639", "abstract" : "Peptide fractionation is extremely important in proteomics approaches. Full proteome characterization is desired from complex organisms, and with growing interest in post-translational modifications an extended protein sequence coverage is required. Peptide fractionation techniques have the great challenge of feeding current mass spectrometers in a way in which these issues are met. Peptide fractionation can be divided into three simple components: the column characteristics; the mobile phase; and peptide properties (charge, polarity, hydrophobicity and size). The current challenges are in the combination of these three components to allow comprehensive proteomics studies to be improved", "author" : [ { "dropping-particle" : "", "family" : "Manadas", "given" : "Bruno", "non-dropping-particle" : "", "parse-names" : false, "suffix" : "" }, { "dropping-particle" : "", "family" : "Mendes", "given" : "Vera M", "non-dropping-particle" : "", "parse-names" : false, "suffix" : "" }, { "dropping-particle" : "", "family" : "English", "given" : "Jane", "non-dropping-particle" : "", "parse-names" : false, "suffix" : "" }, { "dropping-particle" : "", "family" : "Dunn", "given" : "Michael J", "non-dropping-particle" : "", "parse-names" : false, "suffix" : "" } ], "container-title" : "Expert Reviews in Proteomics", "id" : "ITEM-1", "issue" : "5", "issued" : { "date-parts" : [ [ "2010" ] ] }, "page" : "655-663", "title" : "Peptide fractionation in proteomics approaches", "type" : "article-journal", "volume" : "7" }, "uris" : [ "http://www.mendeley.com/documents/?uuid=27a7840c-daff-42d0-86c4-c479ffdb72af" ] } ], "mendeley" : { "formattedCitation" : "[158]", "plainTextFormattedCitation" : "[158]", "previouslyFormattedCitation" : "[158]"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[158]</w:t>
      </w:r>
      <w:r w:rsidR="000837B6">
        <w:rPr>
          <w:rFonts w:asciiTheme="minorHAnsi" w:eastAsia="Calibri" w:hAnsiTheme="minorHAnsi" w:cs="Calibri"/>
          <w:color w:val="000000"/>
          <w:sz w:val="22"/>
          <w:szCs w:val="22"/>
          <w:lang w:eastAsia="en-GB"/>
        </w:rPr>
        <w:fldChar w:fldCharType="end"/>
      </w:r>
      <w:r w:rsidR="000837B6">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Using an organic solvent at a gradient of increasing organic content reduces the hydrophobic interactions between the adsorbed peptides and the solid support, thus allowing peptides to become eluted after the polar mobile phase peptides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"10.1038/nrm1468", "ISBN" : "1471-0072 (Print)", "ISSN" : "1471-0072", "PMID" : "15340378", "abstract" : "Proteomics is an increasingly powerful and indispensable technology in molecular cell biology. It can be used to identify the components of small protein complexes and large organelles, to determine post-translational modifications and in sophisticated functional screens. The key - but little understood - technology in mass-spectrometry-based proteomics is peptide sequencing, which we describe and review here in an easily accessible format.", "author" : [ { "dropping-particle" : "", "family" : "Steen", "given" : "Hanno", "non-dropping-particle" : "", "parse-names" : false, "suffix" : "" }, { "dropping-particle" : "", "family" : "Mann", "given" : "Matthias", "non-dropping-particle" : "", "parse-names" : false, "suffix" : "" } ], "container-title" : "Nature reviews. Molecular cell biology", "id" : "ITEM-1", "issue" : "September", "issued" : { "date-parts" : [ [ "2004" ] ] }, "page" : "699-711", "title" : "The ABC's (and XYZ's) of peptide sequencing.", "type" : "article-journal", "volume" : "5" }, "uris" : [ "http://www.mendeley.com/documents/?uuid=2d36a031-1cab-4496-b044-20fa3b282c07" ] } ], "mendeley" : { "formattedCitation" : "[144]", "plainTextFormattedCitation" : "[144]", "previouslyFormattedCitation" : "[144]"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[144]</w:t>
      </w:r>
      <w:r w:rsidR="000837B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714C8A67" w14:textId="36274D86"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Arial" w:hAnsiTheme="minorHAnsi" w:cs="Arial"/>
          <w:color w:val="000000"/>
          <w:sz w:val="22"/>
          <w:szCs w:val="22"/>
          <w:lang w:eastAsia="en-GB"/>
        </w:rPr>
        <w:t>The ability to use RPLC coup</w:t>
      </w:r>
      <w:r w:rsidR="0075771C">
        <w:rPr>
          <w:rFonts w:asciiTheme="minorHAnsi" w:eastAsia="Arial" w:hAnsiTheme="minorHAnsi" w:cs="Arial"/>
          <w:color w:val="000000"/>
          <w:sz w:val="22"/>
          <w:szCs w:val="22"/>
          <w:lang w:eastAsia="en-GB"/>
        </w:rPr>
        <w:t>led to MS (online mode) makes RPLC</w:t>
      </w:r>
      <w:r w:rsidRPr="00C44D8C">
        <w:rPr>
          <w:rFonts w:asciiTheme="minorHAnsi" w:eastAsia="Arial" w:hAnsiTheme="minorHAnsi" w:cs="Arial"/>
          <w:color w:val="000000"/>
          <w:sz w:val="22"/>
          <w:szCs w:val="22"/>
          <w:lang w:eastAsia="en-GB"/>
        </w:rPr>
        <w:t xml:space="preserve"> a suitable method for the identificatio</w:t>
      </w:r>
      <w:r w:rsidR="0075771C">
        <w:rPr>
          <w:rFonts w:asciiTheme="minorHAnsi" w:eastAsia="Arial" w:hAnsiTheme="minorHAnsi" w:cs="Arial"/>
          <w:color w:val="000000"/>
          <w:sz w:val="22"/>
          <w:szCs w:val="22"/>
          <w:lang w:eastAsia="en-GB"/>
        </w:rPr>
        <w:t>n of biological molecules, and for</w:t>
      </w:r>
      <w:r w:rsidRPr="00C44D8C">
        <w:rPr>
          <w:rFonts w:asciiTheme="minorHAnsi" w:eastAsia="Arial" w:hAnsiTheme="minorHAnsi" w:cs="Arial"/>
          <w:color w:val="000000"/>
          <w:sz w:val="22"/>
          <w:szCs w:val="22"/>
          <w:lang w:eastAsia="en-GB"/>
        </w:rPr>
        <w:t xml:space="preserve"> the purification of peptide samples before </w:t>
      </w:r>
      <w:r w:rsidR="0075771C">
        <w:rPr>
          <w:rFonts w:asciiTheme="minorHAnsi" w:eastAsia="Arial" w:hAnsiTheme="minorHAnsi" w:cs="Arial"/>
          <w:color w:val="000000"/>
          <w:sz w:val="22"/>
          <w:szCs w:val="22"/>
          <w:lang w:eastAsia="en-GB"/>
        </w:rPr>
        <w:t xml:space="preserve">MS </w:t>
      </w:r>
      <w:r w:rsidRPr="00C44D8C">
        <w:rPr>
          <w:rFonts w:asciiTheme="minorHAnsi" w:eastAsia="Arial" w:hAnsiTheme="minorHAnsi" w:cs="Arial"/>
          <w:color w:val="000000"/>
          <w:sz w:val="22"/>
          <w:szCs w:val="22"/>
          <w:lang w:eastAsia="en-GB"/>
        </w:rPr>
        <w:t xml:space="preserve">analysis </w:t>
      </w:r>
      <w:r w:rsidR="000837B6">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"ITEM-1", "issued" : { "date-parts" : [ [ "2002" ] ] }, "page" : "39-63", "title" : "Molecular Biologist\u2019s Guide to Proteomics", "type" : "article-journal", "volume" : "66" }, "uris" : [ "http://www.mendeley.com/documents/?uuid=52365586-e7ff-358b-90e7-642bf4ddf4d2" ] } ], "mendeley" : { "formattedCitation" : "[142]", "plainTextFormattedCitation" : "[142]", "previouslyFormattedCitation" : "[142]" }, "properties" : { "noteIndex" : 0 }, "schema" : "https://github.com/citation-style-language/schema/raw/master/csl-citation.json" }</w:instrText>
      </w:r>
      <w:r w:rsidR="000837B6">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[142]</w:t>
      </w:r>
      <w:r w:rsidR="000837B6">
        <w:rPr>
          <w:rFonts w:asciiTheme="minorHAnsi" w:eastAsia="Arial" w:hAnsiTheme="minorHAnsi" w:cs="Arial"/>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r w:rsidRPr="00C44D8C">
        <w:rPr>
          <w:rFonts w:asciiTheme="minorHAnsi" w:eastAsia="Arial" w:hAnsiTheme="minorHAnsi" w:cs="Arial"/>
          <w:color w:val="000000"/>
          <w:sz w:val="22"/>
          <w:szCs w:val="22"/>
          <w:lang w:eastAsia="en-GB"/>
        </w:rPr>
        <w:t>The versatility of this technique means that RPLC separation is becoming increasingly used in both the first and second dimensions of a 2D-LC system</w:t>
      </w:r>
      <w:r w:rsidR="000837B6">
        <w:rPr>
          <w:rFonts w:asciiTheme="minorHAnsi" w:eastAsia="Arial" w:hAnsiTheme="minorHAnsi" w:cs="Arial"/>
          <w:color w:val="000000"/>
          <w:sz w:val="22"/>
          <w:szCs w:val="22"/>
          <w:lang w:eastAsia="en-GB"/>
        </w:rPr>
        <w:t xml:space="preserve"> </w:t>
      </w:r>
      <w:r w:rsidR="000837B6">
        <w:rPr>
          <w:rFonts w:asciiTheme="minorHAnsi" w:eastAsia="Arial" w:hAnsiTheme="minorHAnsi" w:cs="Arial"/>
          <w:color w:val="000000"/>
          <w:sz w:val="22"/>
          <w:szCs w:val="22"/>
          <w:lang w:eastAsia="en-GB"/>
        </w:rPr>
        <w:fldChar w:fldCharType="begin" w:fldLock="1"/>
      </w:r>
      <w:r w:rsidR="00AB0CFE">
        <w:rPr>
          <w:rFonts w:asciiTheme="minorHAnsi" w:eastAsia="Arial" w:hAnsiTheme="minorHAnsi" w:cs="Arial"/>
          <w:color w:val="000000"/>
          <w:sz w:val="22"/>
          <w:szCs w:val="22"/>
          <w:lang w:eastAsia="en-GB"/>
        </w:rPr>
        <w:instrText>ADDIN CSL_CITATION { "citationItems" : [ { "id" : "ITEM-1", "itemData" : { "DOI" : "10.1016/j.chroma.2007.08.054.Fast", "author" : [ { "dropping-particle" : "", "family" : "Stoll", "given" : "Dwight R", "non-dropping-particle" : "", "parse-names" : false, "suffix" : "" }, { "dropping-particle" : "", "family" : "Xiaoping", "given" : "Lim", "non-dropping-particle" : "", "parse-names" : false, "suffix" : "" }, { "dropping-particle" : "", "family" : "Wang", "given" : "Xiaoli", "non-dropping-particle" : "", "parse-names" : false, "suffix" : "" }, { "dropping-particle" : "", "family" : "Carr", "given" : "Peter W", "non-dropping-particle" : "", "parse-names" : false, "suffix" : "" }, { "dropping-particle" : "", "family" : "Porter", "given" : "Sarah E G", "non-dropping-particle" : "", "parse-names" : false, "suffix" : "" }, { "dropping-particle" : "", "family" : "Rutan", "given" : "Sarah C", "non-dropping-particle" : "", "parse-names" : false, "suffix" : "" } ], "container-title" : "Journal of Chromatography A", "id" : "ITEM-1", "issued" : { "date-parts" : [ [ "2007" ] ] }, "page" : "1-92", "title" : "Fast, comprehensive two-dimensional liquid chromatography", "type" : "article-journal", "volume" : "1168" }, "uris" : [ "http://www.mendeley.com/documents/?uuid=b544966d-da2c-4f2c-823f-22a401615b7e" ] } ], "mendeley" : { "formattedCitation" : "[156]", "plainTextFormattedCitation" : "[156]", "previouslyFormattedCitation" : "[156]" }, "properties" : { "noteIndex" : 0 }, "schema" : "https://github.com/citation-style-language/schema/raw/master/csl-citation.json" }</w:instrText>
      </w:r>
      <w:r w:rsidR="000837B6">
        <w:rPr>
          <w:rFonts w:asciiTheme="minorHAnsi" w:eastAsia="Arial" w:hAnsiTheme="minorHAnsi" w:cs="Arial"/>
          <w:color w:val="000000"/>
          <w:sz w:val="22"/>
          <w:szCs w:val="22"/>
          <w:lang w:eastAsia="en-GB"/>
        </w:rPr>
        <w:fldChar w:fldCharType="separate"/>
      </w:r>
      <w:r w:rsidR="00BB3D6F" w:rsidRPr="00BB3D6F">
        <w:rPr>
          <w:rFonts w:asciiTheme="minorHAnsi" w:eastAsia="Arial" w:hAnsiTheme="minorHAnsi" w:cs="Arial"/>
          <w:noProof/>
          <w:color w:val="000000"/>
          <w:sz w:val="22"/>
          <w:szCs w:val="22"/>
          <w:lang w:eastAsia="en-GB"/>
        </w:rPr>
        <w:t>[156]</w:t>
      </w:r>
      <w:r w:rsidR="000837B6">
        <w:rPr>
          <w:rFonts w:asciiTheme="minorHAnsi" w:eastAsia="Arial" w:hAnsiTheme="minorHAnsi" w:cs="Arial"/>
          <w:color w:val="000000"/>
          <w:sz w:val="22"/>
          <w:szCs w:val="22"/>
          <w:lang w:eastAsia="en-GB"/>
        </w:rPr>
        <w:fldChar w:fldCharType="end"/>
      </w:r>
      <w:r w:rsidRPr="00C44D8C">
        <w:rPr>
          <w:rFonts w:asciiTheme="minorHAnsi" w:eastAsia="Arial" w:hAnsiTheme="minorHAnsi" w:cs="Arial"/>
          <w:color w:val="000000"/>
          <w:sz w:val="22"/>
          <w:szCs w:val="22"/>
          <w:lang w:eastAsia="en-GB"/>
        </w:rPr>
        <w:t xml:space="preserve">. </w:t>
      </w:r>
    </w:p>
    <w:p w14:paraId="20667A18" w14:textId="49CDBE4F"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Arial" w:hAnsiTheme="minorHAnsi" w:cs="Arial"/>
          <w:color w:val="000000"/>
          <w:sz w:val="22"/>
          <w:szCs w:val="22"/>
          <w:lang w:eastAsia="en-GB"/>
        </w:rPr>
        <w:t xml:space="preserve">Prior to injection of peptides into a mass spectrometer in the second dimension of LC separation, </w:t>
      </w:r>
      <w:r w:rsidRPr="00C44D8C">
        <w:rPr>
          <w:rFonts w:asciiTheme="minorHAnsi" w:eastAsia="Calibri" w:hAnsiTheme="minorHAnsi" w:cs="Calibri"/>
          <w:color w:val="000000"/>
          <w:sz w:val="22"/>
          <w:szCs w:val="22"/>
          <w:lang w:eastAsia="en-GB"/>
        </w:rPr>
        <w:t>liquid peptide samples are vaporised to the gas phase. In 2D-LC, this is carried out by electrospray ionisation</w:t>
      </w:r>
      <w:r w:rsidR="000837B6">
        <w:rPr>
          <w:rFonts w:asciiTheme="minorHAnsi" w:eastAsia="Calibri" w:hAnsiTheme="minorHAnsi" w:cs="Calibri"/>
          <w:color w:val="000000"/>
          <w:sz w:val="22"/>
          <w:szCs w:val="22"/>
          <w:lang w:eastAsia="en-GB"/>
        </w:rPr>
        <w:t xml:space="preserve">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"10.1016/j.chroma.2007.08.054.Fast", "author" : [ { "dropping-particle" : "", "family" : "Stoll", "given" : "Dwight R", "non-dropping-particle" : "", "parse-names" : false, "suffix" : "" }, { "dropping-particle" : "", "family" : "Xiaoping", "given" : "Lim", "non-dropping-particle" : "", "parse-names" : false, "suffix" : "" }, { "dropping-particle" : "", "family" : "Wang", "given" : "Xiaoli", "non-dropping-particle" : "", "parse-names" : false, "suffix" : "" }, { "dropping-particle" : "", "family" : "Carr", "given" : "Peter W", "non-dropping-particle" : "", "parse-names" : false, "suffix" : "" }, { "dropping-particle" : "", "family" : "Porter", "given" : "Sarah E G", "non-dropping-particle" : "", "parse-names" : false, "suffix" : "" }, { "dropping-particle" : "", "family" : "Rutan", "given" : "Sarah C", "non-dropping-particle" : "", "parse-names" : false, "suffix" : "" } ], "container-title" : "Journal of Chromatography A", "id" : "ITEM-1", "issued" : { "date-parts" : [ [ "2007" ] ] }, "page" : "1-92", "title" : "Fast, comprehensive two-dimensional liquid chromatography", "type" : "article-journal", "volume" : "1168" }, "uris" : [ "http://www.mendeley.com/documents/?uuid=b544966d-da2c-4f2c-823f-22a401615b7e" ] } ], "mendeley" : { "formattedCitation" : "[156]", "plainTextFormattedCitation" : "[156]", "previouslyFormattedCitation" : "[156]"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[156]</w:t>
      </w:r>
      <w:r w:rsidR="000837B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which ionises liquid phase peptides with a high electric potential at the end of an LC system, producing a cloud of highly charged peptide ions. These ions become desolvated as the solvent evaporates, yielding smaller peptide </w:t>
      </w:r>
      <w:r w:rsidR="000837B6">
        <w:rPr>
          <w:rFonts w:asciiTheme="minorHAnsi" w:eastAsia="Calibri" w:hAnsiTheme="minorHAnsi" w:cs="Calibri"/>
          <w:color w:val="000000"/>
          <w:sz w:val="22"/>
          <w:szCs w:val="22"/>
          <w:lang w:eastAsia="en-GB"/>
        </w:rPr>
        <w:t xml:space="preserve">ions with a high charge density </w:t>
      </w:r>
      <w:r w:rsidR="000837B6">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"ITEM-1", "issued" : { "date-parts" : [ [ "2002" ] ] }, "page" : "39-63", "title" : "Molecular Biologist\u2019s Guide to Proteomics", "type" : "article-journal", "volume" : "66" }, "uris" : [ "http://www.mendeley.com/documents/?uuid=52365586-e7ff-358b-90e7-642bf4ddf4d2" ] } ], "mendeley" : { "formattedCitation" : "[142]", "plainTextFormattedCitation" : "[142]", "previouslyFormattedCitation" : "[142]" }, "properties" : { "noteIndex" : 0 }, "schema" : "https://github.com/citation-style-language/schema/raw/master/csl-citation.json" }</w:instrText>
      </w:r>
      <w:r w:rsidR="000837B6">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[142]</w:t>
      </w:r>
      <w:r w:rsidR="000837B6">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1666BB1F" w14:textId="77777777" w:rsidR="00436CD0" w:rsidRPr="00C44D8C" w:rsidRDefault="00436CD0" w:rsidP="00436CD0">
      <w:pPr>
        <w:spacing w:line="360" w:lineRule="auto"/>
        <w:rPr>
          <w:rFonts w:asciiTheme="minorHAnsi" w:eastAsia="Calibri" w:hAnsiTheme="minorHAnsi" w:cs="Calibri"/>
          <w:color w:val="000000"/>
          <w:sz w:val="22"/>
          <w:szCs w:val="22"/>
          <w:lang w:eastAsia="en-GB"/>
        </w:rPr>
      </w:pPr>
    </w:p>
    <w:p w14:paraId="7E2543EA" w14:textId="32A1DCFE" w:rsidR="00436CD0" w:rsidRPr="00C44D8C" w:rsidRDefault="00831783" w:rsidP="00831783">
      <w:pPr>
        <w:pStyle w:val="Heading8"/>
        <w:rPr>
          <w:rFonts w:eastAsia="Arial" w:cs="Arial"/>
          <w:lang w:eastAsia="en-GB"/>
        </w:rPr>
      </w:pPr>
      <w:bookmarkStart w:id="65" w:name="_Toc462575282"/>
      <w:r>
        <w:rPr>
          <w:lang w:eastAsia="en-GB"/>
        </w:rPr>
        <w:t>2.5.3</w:t>
      </w:r>
      <w:r w:rsidR="00436CD0" w:rsidRPr="00C44D8C">
        <w:rPr>
          <w:lang w:eastAsia="en-GB"/>
        </w:rPr>
        <w:t>.4.4. Mass spectrometry</w:t>
      </w:r>
      <w:bookmarkEnd w:id="65"/>
    </w:p>
    <w:p w14:paraId="76AB55ED" w14:textId="33960D29" w:rsidR="00436CD0" w:rsidRPr="00C44D8C" w:rsidRDefault="00436CD0" w:rsidP="00436CD0">
      <w:pPr>
        <w:spacing w:line="360" w:lineRule="auto"/>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MS is the final step of the proteomics workflow and measures the mass to charge ratio (m/z) of peptides in the gas phase. </w:t>
      </w:r>
      <w:r w:rsidRPr="00C44D8C">
        <w:rPr>
          <w:rFonts w:asciiTheme="minorHAnsi" w:eastAsia="Arial" w:hAnsiTheme="minorHAnsi" w:cs="Arial"/>
          <w:color w:val="000000"/>
          <w:sz w:val="22"/>
          <w:szCs w:val="22"/>
          <w:lang w:eastAsia="en-GB"/>
        </w:rPr>
        <w:t>Within the mass spectrometer, t</w:t>
      </w:r>
      <w:r w:rsidRPr="00C44D8C">
        <w:rPr>
          <w:rFonts w:asciiTheme="minorHAnsi" w:eastAsia="Calibri" w:hAnsiTheme="minorHAnsi" w:cs="Calibri"/>
          <w:color w:val="000000"/>
          <w:sz w:val="22"/>
          <w:szCs w:val="22"/>
          <w:lang w:eastAsia="en-GB"/>
        </w:rPr>
        <w:t xml:space="preserve">he gas phase peptide ions collide with an inert collision gas, typically nitrogen or argon in a process known as collision induced dissociation. This collision causes the peptides to further fragment into fragment ions, in order to obtain the sequence of peptides and their m/z values </w:t>
      </w:r>
      <w:r w:rsidR="00CE1AD2">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"ITEM-1", "issued" : { "date-parts" : [ [ "2002" ] ] }, "page" : "39-63", "title" : "Molecular Biologist\u2019s Guide to Proteomics", "type" : "article-journal", "volume" : "66" }, "uris" : [ "http://www.mendeley.com/documents/?uuid=52365586-e7ff-358b-90e7-642bf4ddf4d2" ] } ], "mendeley" : { "formattedCitation" : "[142]", "plainTextFormattedCitation" : "[142]", "previouslyFormattedCitation" : "[142]" }, "properties" : { "noteIndex" : 0 }, "schema" : "https://github.com/citation-style-language/schema/raw/master/csl-citation.json" }</w:instrText>
      </w:r>
      <w:r w:rsidR="00CE1AD2">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[142]</w:t>
      </w:r>
      <w:r w:rsidR="00CE1AD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p>
    <w:p w14:paraId="260C50EC" w14:textId="07DC94BA"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The mass spectrometer organises the ionised peptides based on their m/z for mass analysis. There are three different types of mass spectrometers, which differ in how they measure m/z ratios: quadrupole MS, which uses an electric field produced by four parallel metal rods to transmit ions of a specific m/z ratio for analysis; time of flight MS, which measures m/z based on how much time is needed for an ion to cross the flight tube; and quadruple ion trap MS, which traps ions in a 3D electric field for analysis </w:t>
      </w:r>
      <w:r w:rsidR="00CE1AD2">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"ITEM-1", "issued" : { "date-parts" : [ [ "2002" ] ] }, "page" : "39-63", "title" : "Molecular Biologist\u2019s Guide to Proteomics", "type" : "article-journal", "volume" : "66" }, "uris" : [ "http://www.mendeley.com/documents/?uuid=52365586-e7ff-358b-90e7-642bf4ddf4d2" ] }, { "id" : "ITEM-2", "itemData" : { "DOI" : "10.1038/nrm1468", "ISBN" : "1471-0072 (Print)", "ISSN" : "1471-0072", "PMID" : "15340378", "abstract" : "Proteomics is an increasingly powerful and indispensable technology in molecular cell biology. It can be used to identify the components of small protein complexes and large organelles, to determine post-translational modifications and in sophisticated functional screens. The key - but little understood - technology in mass-spectrometry-based proteomics is peptide sequencing, which we describe and review here in an easily accessible format.", "author" : [ { "dropping-particle" : "", "family" : "Steen", "given" : "Hanno", "non-dropping-particle" : "", "parse-names" : false, "suffix" : "" }, { "dropping-particle" : "", "family" : "Mann", "given" : "Matthias", "non-dropping-particle" : "", "parse-names" : false, "suffix" : "" } ], "container-title" : "Nature reviews. Molecular cell biology", "id" : "ITEM-2", "issue" : "September", "issued" : { "date-parts" : [ [ "2004" ] ] }, "page" : "699-711", "title" : "The ABC's (and XYZ's) of peptide sequencing.", "type" : "article-journal", "volume" : "5" }, "uris" : [ "http://www.mendeley.com/documents/?uuid=2d36a031-1cab-4496-b044-20fa3b282c07" ] } ], "mendeley" : { "formattedCitation" : "[142,144]", "plainTextFormattedCitation" : "[142,144]", "previouslyFormattedCitation" : "[142,144]" }, "properties" : { "noteIndex" : 0 }, "schema" : "https://github.com/citation-style-language/schema/raw/master/csl-citation.json" }</w:instrText>
      </w:r>
      <w:r w:rsidR="00CE1AD2">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[142,144]</w:t>
      </w:r>
      <w:r w:rsidR="00CE1AD2">
        <w:rPr>
          <w:rFonts w:asciiTheme="minorHAnsi" w:eastAsia="Calibri" w:hAnsiTheme="minorHAnsi" w:cs="Calibri"/>
          <w:color w:val="000000"/>
          <w:sz w:val="22"/>
          <w:szCs w:val="22"/>
          <w:lang w:eastAsia="en-GB"/>
        </w:rPr>
        <w:fldChar w:fldCharType="end"/>
      </w:r>
      <w:r w:rsidR="00CE1AD2">
        <w:rPr>
          <w:rFonts w:asciiTheme="minorHAnsi" w:eastAsia="Calibri" w:hAnsiTheme="minorHAnsi" w:cs="Calibri"/>
          <w:color w:val="000000"/>
          <w:sz w:val="22"/>
          <w:szCs w:val="22"/>
          <w:lang w:eastAsia="en-GB"/>
        </w:rPr>
        <w:t xml:space="preserve">. </w:t>
      </w:r>
    </w:p>
    <w:p w14:paraId="41892FE5" w14:textId="0CC1CC6B"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The m/z values of fragment ions in a sample are recorded in a mass spectrum, and the masses of these unknown proteins are matched to the known masses of naturally occurring proteins for a given species within a database </w:t>
      </w:r>
      <w:r w:rsidR="00CE1AD2">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"ITEM-1", "issued" : { "date-parts" : [ [ "2002" ] ] }, "page" : "39-63", "title" : "Molecular Biologist\u2019s Guide to Proteomics", "type" : "article-journal", "volume" : "66" }, "uris" : [ "http://www.mendeley.com/documents/?uuid=52365586-e7ff-358b-90e7-642bf4ddf4d2" ] } ], "mendeley" : { "formattedCitation" : "[142]", "plainTextFormattedCitation" : "[142]", "previouslyFormattedCitation" : "[142]" }, "properties" : { "noteIndex" : 0 }, "schema" : "https://github.com/citation-style-language/schema/raw/master/csl-citation.json" }</w:instrText>
      </w:r>
      <w:r w:rsidR="00CE1AD2">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[142]</w:t>
      </w:r>
      <w:r w:rsidR="00CE1AD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As such, protein identification can only occur if the genome of the organism in question has already been sequenced to enable the comparison of all possible species-specific proteins </w:t>
      </w:r>
      <w:r w:rsidR="00CE1AD2">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"10.1038/nrm1468", "ISBN" : "1471-0072 (Print)", "ISSN" : "1471-0072", "PMID" : "15340378", "abstract" : "Proteomics is an increasingly powerful and indispensable technology in molecular cell biology. It can be used to identify the components of small protein complexes and large organelles, to determine post-translational modifications and in sophisticated functional screens. The key - but little understood - technology in mass-spectrometry-based proteomics is peptide sequencing, which we describe and review here in an easily accessible format.", "author" : [ { "dropping-particle" : "", "family" : "Steen", "given" : "Hanno", "non-dropping-particle" : "", "parse-names" : false, "suffix" : "" }, { "dropping-particle" : "", "family" : "Mann", "given" : "Matthias", "non-dropping-particle" : "", "parse-names" : false, "suffix" : "" } ], "container-title" : "Nature reviews. Molecular cell biology", "id" : "ITEM-1", "issue" : "September", "issued" : { "date-parts" : [ [ "2004" ] ] }, "page" : "699-711", "title" : "The ABC's (and XYZ's) of peptide sequencing.", "type" : "article-journal", "volume" : "5" }, "uris" : [ "http://www.mendeley.com/documents/?uuid=2d36a031-1cab-4496-b044-20fa3b282c07" ] } ], "mendeley" : { "formattedCitation" : "[144]", "plainTextFormattedCitation" : "[144]", "previouslyFormattedCitation" : "[144]" }, "properties" : { "noteIndex" : 0 }, "schema" : "https://github.com/citation-style-language/schema/raw/master/csl-citation.json" }</w:instrText>
      </w:r>
      <w:r w:rsidR="00CE1AD2">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[144]</w:t>
      </w:r>
      <w:r w:rsidR="00CE1AD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Various </w:t>
      </w:r>
      <w:r w:rsidRPr="00C44D8C">
        <w:rPr>
          <w:rFonts w:asciiTheme="minorHAnsi" w:eastAsia="Calibri" w:hAnsiTheme="minorHAnsi" w:cs="Calibri"/>
          <w:color w:val="000000"/>
          <w:sz w:val="22"/>
          <w:szCs w:val="22"/>
          <w:lang w:eastAsia="en-GB"/>
        </w:rPr>
        <w:lastRenderedPageBreak/>
        <w:t>software programs now exist that specialise in the identification of proteins based on raw MS data, such a</w:t>
      </w:r>
      <w:r w:rsidR="00CE1AD2">
        <w:rPr>
          <w:rFonts w:asciiTheme="minorHAnsi" w:eastAsia="Calibri" w:hAnsiTheme="minorHAnsi" w:cs="Calibri"/>
          <w:color w:val="000000"/>
          <w:sz w:val="22"/>
          <w:szCs w:val="22"/>
          <w:lang w:eastAsia="en-GB"/>
        </w:rPr>
        <w:t>s Mascot, MaxQuant and SEQUEST</w:t>
      </w:r>
      <w:r w:rsidRPr="00C44D8C">
        <w:rPr>
          <w:rFonts w:asciiTheme="minorHAnsi" w:eastAsia="Calibri" w:hAnsiTheme="minorHAnsi" w:cs="Calibri"/>
          <w:color w:val="000000"/>
          <w:sz w:val="22"/>
          <w:szCs w:val="22"/>
          <w:lang w:eastAsia="en-GB"/>
        </w:rPr>
        <w:t xml:space="preserve">. These programs use search algorithms combined with a form of statistical scoring to significantly compare the mass spectra of unknown and known proteins, yielding a closely-matched protein identification </w:t>
      </w:r>
      <w:r w:rsidR="00CE1AD2">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"ITEM-1", "issued" : { "date-parts" : [ [ "2002" ] ] }, "page" : "39-63", "title" : "Molecular Biologist\u2019s Guide to Proteomics", "type" : "article-journal", "volume" : "66" }, "uris" : [ "http://www.mendeley.com/documents/?uuid=52365586-e7ff-358b-90e7-642bf4ddf4d2" ] } ], "mendeley" : { "formattedCitation" : "[142]", "plainTextFormattedCitation" : "[142]", "previouslyFormattedCitation" : "[142]" }, "properties" : { "noteIndex" : 0 }, "schema" : "https://github.com/citation-style-language/schema/raw/master/csl-citation.json" }</w:instrText>
      </w:r>
      <w:r w:rsidR="00CE1AD2">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[142]</w:t>
      </w:r>
      <w:r w:rsidR="00CE1AD2">
        <w:rPr>
          <w:rFonts w:asciiTheme="minorHAnsi" w:eastAsia="Calibri" w:hAnsiTheme="minorHAnsi" w:cs="Calibri"/>
          <w:color w:val="000000"/>
          <w:sz w:val="22"/>
          <w:szCs w:val="22"/>
          <w:lang w:eastAsia="en-GB"/>
        </w:rPr>
        <w:fldChar w:fldCharType="end"/>
      </w:r>
      <w:r w:rsidR="00CE1AD2">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w:t>
      </w:r>
    </w:p>
    <w:p w14:paraId="46FF4CF1" w14:textId="77777777" w:rsidR="00FE1A56" w:rsidRPr="00C44D8C" w:rsidRDefault="00FE1A56" w:rsidP="00436CD0">
      <w:pPr>
        <w:spacing w:line="360" w:lineRule="auto"/>
        <w:rPr>
          <w:rFonts w:asciiTheme="minorHAnsi" w:eastAsia="Calibri" w:hAnsiTheme="minorHAnsi" w:cs="Calibri"/>
          <w:color w:val="000000"/>
          <w:sz w:val="22"/>
          <w:szCs w:val="22"/>
          <w:lang w:eastAsia="en-GB"/>
        </w:rPr>
      </w:pPr>
    </w:p>
    <w:p w14:paraId="4B3790D8" w14:textId="11B4F50C" w:rsidR="00436CD0" w:rsidRPr="00C44D8C" w:rsidRDefault="00831783" w:rsidP="00831783">
      <w:pPr>
        <w:pStyle w:val="Heading8"/>
        <w:rPr>
          <w:lang w:eastAsia="en-GB"/>
        </w:rPr>
      </w:pPr>
      <w:bookmarkStart w:id="66" w:name="_Toc462575283"/>
      <w:r>
        <w:rPr>
          <w:lang w:eastAsia="en-GB"/>
        </w:rPr>
        <w:t>2.5.3</w:t>
      </w:r>
      <w:r w:rsidR="00436CD0" w:rsidRPr="00C44D8C">
        <w:rPr>
          <w:lang w:eastAsia="en-GB"/>
        </w:rPr>
        <w:t>.4.5. iTRAQ quantification</w:t>
      </w:r>
      <w:bookmarkEnd w:id="66"/>
      <w:r w:rsidR="00436CD0" w:rsidRPr="00C44D8C">
        <w:rPr>
          <w:lang w:eastAsia="en-GB"/>
        </w:rPr>
        <w:t xml:space="preserve"> </w:t>
      </w:r>
    </w:p>
    <w:p w14:paraId="2DBC7966" w14:textId="60CE2497"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In recent years, the emergence of a rapid, reliable and high-throughput protein quantification method based on isobaric tags for relative and absolute quantification (iTRAQ) has been advantageous to proteomic analysis </w:t>
      </w:r>
      <w:r w:rsidR="00CE1AD2">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"10.1002/pmic.201300088", "ISBN" : "1615-9861 (Electronic)\\n1615-9853 (Linking)", "ISSN" : "16159853", "PMID" : "23894103", "abstract" : "In recent years, much progress has been made in proteomic studies to unravel metabolic pathways and basic cellular processes. This is especially interesting for members of the Archaea, the third domain of life. Archaea exhibit extraordinary features and many of their cultivable representatives are adaptable to extreme environments. Archaea harbor many unique traits besides bacterial attributes, such as size, shape, and DNA structure and eukaryal characteristics like information processing. Sulfolobus solfataricus P2, a thermoacidophilic archaeal representative, is a well-established model organism adapted to low-pH environments (pH 2\u20133) and high temperatures (80\u00b0C). The genome has a size of 3 Mbp and its sequence has been deciphered. Approximately 3033 predicted open reading frames have been identified and the genome is characterized by a great number of diverse insertion sequence elements. In unraveling the organisms\u2019 metabolism and lifestyle, proteomic analyses have played a major role. Much effort has been directed at this organism and is reviewed here. With the help of proteomics, unique metabolic pathways were resolved in S. solfataricus, targets for regulatory protein phosphorylation identified, and cellular responses upon virus infection as well as oxidative stress analyzed.", "author" : [ { "dropping-particle" : "", "family" : "Kort", "given" : "Julia Christin", "non-dropping-particle" : "", "parse-names" : false, "suffix" : "" }, { "dropping-particle" : "", "family" : "Esser", "given" : "Dominik", "non-dropping-particle" : "", "parse-names" : false, "suffix" : "" }, { "dropping-particle" : "", "family" : "Pham", "given" : "Trong Khoa", "non-dropping-particle" : "", "parse-names" : false, "suffix" : "" }, { "dropping-particle" : "", "family" : "Noirel", "given" : "Josselin", "non-dropping-particle" : "", "parse-names" : false, "suffix" : "" }, { "dropping-particle" : "", "family" : "Wright", "given" : "Phillip C.", "non-dropping-particle" : "", "parse-names" : false, "suffix" : "" }, { "dropping-particle" : "", "family" : "Siebers", "given" : "Bettina", "non-dropping-particle" : "", "parse-names" : false, "suffix" : "" } ], "container-title" : "Proteomics", "id" : "ITEM-1", "issue" : "18-19", "issued" : { "date-parts" : [ [ "2013" ] ] }, "page" : "2831-2850", "title" : "A cool tool for hot and sour Archaea: Proteomics of Sulfolobus solfataricus", "type" : "article-journal", "volume" : "13" }, "uris" : [ "http://www.mendeley.com/documents/?uuid=c8c6cc37-43ac-4845-b141-665893fc293d" ] } ], "mendeley" : { "formattedCitation" : "[143]", "plainTextFormattedCitation" : "[143]", "previouslyFormattedCitation" : "[143]" }, "properties" : { "noteIndex" : 0 }, "schema" : "https://github.com/citation-style-language/schema/raw/master/csl-citation.json" }</w:instrText>
      </w:r>
      <w:r w:rsidR="00CE1AD2">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[143]</w:t>
      </w:r>
      <w:r w:rsidR="00CE1AD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Other methods for quantitative proteomic analysis exist, such as label-free, stable isotope labelling with amino acids in cell culture (SILAC) and isotope-coded affinity tag (ICAT), but iTRAQ offers the advantage of being an easy to use method with the capability to analyse and quantify the relative abundance of proteins from up to eight different samples simultaneously</w:t>
      </w:r>
      <w:r w:rsidR="00CE1AD2">
        <w:rPr>
          <w:rFonts w:asciiTheme="minorHAnsi" w:eastAsia="Calibri" w:hAnsiTheme="minorHAnsi" w:cs="Calibri"/>
          <w:color w:val="000000"/>
          <w:sz w:val="22"/>
          <w:szCs w:val="22"/>
          <w:lang w:eastAsia="en-GB"/>
        </w:rPr>
        <w:t xml:space="preserve"> </w:t>
      </w:r>
      <w:r w:rsidR="00CE1AD2">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"10.2174/157016411794697408", "ISSN" : "15701646", "abstract" : "Isobaric tags for absolute and relative quantification (iTRAQ) provide the quantitative proteomics community with an easy-to-use tool to examine proteome changes. Five years after the launch of the technique, has the community become familiar with iTRAQ? In this review, we propose to answer this question by looking at two of its facets. On the one hand, we enquire whether iTRAQ is used `optimally'; in other words, whether the community is keeping up with the methods that have been devised and the requirements that have become recognised, in quantitative proteomics. On the other hand, there is the question of whether an iTRAQ paper is written in such a way as to allow other researchers to challenge or improve the results. To tackle these two problems, we have reviewed the iTRAQ literature and gathered data about the methods; in this study, we discuss the experimental designs, the use of biological and technical replicates, the confirmation through additional experiments, the strategies to identify differential expression and supplementary information. Our conclusions aim at giving recommendations in light of our statistics.", "author" : [ { "dropping-particle" : "", "family" : "Noirel", "given" : "Josselin", "non-dropping-particle" : "", "parse-names" : false, "suffix" : "" }, { "dropping-particle" : "", "family" : "Evans", "given" : "Caroline", "non-dropping-particle" : "", "parse-names" : false, "suffix" : "" }, { "dropping-particle" : "", "family" : "Salim", "given" : "Malinda", "non-dropping-particle" : "", "parse-names" : false, "suffix" : "" }, { "dropping-particle" : "", "family" : "Mukherjee", "given" : "Joy", "non-dropping-particle" : "", "parse-names" : false, "suffix" : "" }, { "dropping-particle" : "", "family" : "Yen Ow", "given" : "Saw", "non-dropping-particle" : "", "parse-names" : false, "suffix" : "" }, { "dropping-particle" : "", "family" : "Pandhal", "given" : "Jagroop", "non-dropping-particle" : "", "parse-names" : false, "suffix" : "" }, { "dropping-particle" : "", "family" : "Khoa Pham", "given" : "Trong", "non-dropping-particle" : "", "parse-names" : false, "suffix" : "" }, { "dropping-particle" : "", "family" : "A. Biggs", "given" : "Catherine", "non-dropping-particle" : "", "parse-names" : false, "suffix" : "" }, { "dropping-particle" : "", "family" : "C. Wright", "given" : "Phillip", "non-dropping-particle" : "", "parse-names" : false, "suffix" : "" } ], "container-title" : "Current Proteomics", "id" : "ITEM-1", "issue" : "1", "issued" : { "date-parts" : [ [ "2011" ] ] }, "page" : "17-30", "title" : "Methods in Quantitative Proteomics: Setting iTRAQ on the Right Track", "type" : "article-journal", "volume" : "8" }, "uris" : [ "http://www.mendeley.com/documents/?uuid=b6f1e376-d24d-40c5-a1f2-58b0ce013666" ] }, { "id" : "ITEM-2", "itemData" : { "author" : [ { "dropping-particle" : "", "family" : "Ow", "given" : "Saw Yen", "non-dropping-particle" : "", "parse-names" : false, "suffix" : "" }, { "dropping-particle" : "", "family" : "Salim", "given" : "Malinda", "non-dropping-particle" : "", "parse-names" : false, "suffix" : "" }, { "dropping-particle" : "", "family" : "Noirel", "given" : "Josselin", "non-dropping-particle" : "", "parse-names" : false, "suffix" : "" }, { "dropping-particle" : "", "family" : "Evans", "given" : "Caroline", "non-dropping-particle" : "", "parse-names" : false, "suffix" : "" }, { "dropping-particle" : "", "family" : "Rehman", "given" : "Ishtiaq", "non-dropping-particle" : "", "parse-names" : false, "suffix" : "" }, { "dropping-particle" : "", "family" : "Wright", "given" : "Phillip C", "non-dropping-particle" : "", "parse-names" : false, "suffix" : "" } ], "container-title" : "Journal of proteome research", "id" : "ITEM-2", "issued" : { "date-parts" : [ [ "2009" ] ] }, "page" : "5347-5355", "title" : "iTRAQ Underestimation in Simple and Complex Mixtures : \u201c The Good , the Bad and the Ugly \u201d", "type" : "article-journal", "volume" : "8" }, "uris" : [ "http://www.mendeley.com/documents/?uuid=787e3c9e-78de-46b4-9be1-33b8746ed0c6" ] } ], "mendeley" : { "formattedCitation" : "[159,160]", "plainTextFormattedCitation" : "[159,160]", "previouslyFormattedCitation" : "[159,160]" }, "properties" : { "noteIndex" : 0 }, "schema" : "https://github.com/citation-style-language/schema/raw/master/csl-citation.json" }</w:instrText>
      </w:r>
      <w:r w:rsidR="00CE1AD2">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[159,160]</w:t>
      </w:r>
      <w:r w:rsidR="00CE1AD2">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As such, numerous studies have used iTRAQ to elucidate key differential expression of proteins during biofilm formation for a number of archaeal and bacterial species subjected to various growth conditions in a single experimental run</w:t>
      </w:r>
      <w:r w:rsidR="00CE1AD2">
        <w:rPr>
          <w:rFonts w:asciiTheme="minorHAnsi" w:eastAsia="Calibri" w:hAnsiTheme="minorHAnsi" w:cs="Calibri"/>
          <w:color w:val="000000"/>
          <w:sz w:val="22"/>
          <w:szCs w:val="22"/>
          <w:lang w:eastAsia="en-GB"/>
        </w:rPr>
        <w:t xml:space="preserve"> </w:t>
      </w:r>
      <w:r w:rsidR="00CE1AD2">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"10.1128/AEM.03787-12", "ISSN" : "1098-5336", "PMID" : "23645201", "abstract" : "Low-temperature anaerobic digestion (LTAD) technology is underpinned by a diverse microbial community. The methanogenic archaea represent a key functional group in these consortia, undertaking CO2 reduction as well as acetate and methylated C1 metabolism with subsequent biogas (40 to 60% CH4 and 30 to 50% CO2) formation. However, the cold adaptation strategies, which allow methanogens to function efficiently in LTAD, remain unclear. Here, a pure-culture proteomic approach was employed to study the functional characteristics of Methanosarcina barkeri (optimum growth temperature, 37\u00b0C), which has been detected in LTAD bioreactors. Two experimental approaches were undertaken. The first approach aimed to characterize a low-temperature shock response (LTSR) of M. barkeri DSMZ 800(T) grown at 37\u00b0C with a temperature drop to 15\u00b0C, while the second experimental approach aimed to examine the low-temperature adaptation strategies (LTAS) of the same strain when it was grown at 15\u00b0C. The latter experiment employed cell viability and growth measurements (optical density at 600 nm [OD600]), which directly compared M. barkeri cells grown at 15\u00b0C with those grown at 37\u00b0C. During the LTSR experiment, a total of 127 proteins were detected in 37\u00b0C and 15\u00b0C samples, with 20 proteins differentially expressed with respect to temperature, while in the LTAS experiment 39% of proteins identified were differentially expressed between phases of growth. Functional categories included methanogenesis, cellular information processing, and chaperones. By applying a polyphasic approach (proteomics and growth studies), insights into the low-temperature adaptation capacity of this mesophilically characterized methanogen were obtained which suggest that the metabolically diverse Methanosarcinaceae could be functionally relevant for LTAD systems.", "author" : [ { "dropping-particle" : "", "family" : "Gunnigle", "given" : "Eoin", "non-dropping-particle" : "", "parse-names" : false, "suffix" : "" }, { "dropping-particle" : "", "family" : "McCay", "given" : "Paul", "non-dropping-particle" : "", "parse-names" : false, "suffix" : "" }, { "dropping-particle" : "", "family" : "Fuszard", "given" : "Matthew", "non-dropping-particle" : "", "parse-names" : false, "suffix" : "" }, { "dropping-particle" : "", "family" : "Botting", "given" : "Catherine H", "non-dropping-particle" : "", "parse-names" : false, "suffix" : "" }, { "dropping-particle" : "", "family" : "Abram", "given" : "Florence", "non-dropping-particle" : "", "parse-names" : false, "suffix" : "" }, { "dropping-particle" : "", "family" : "O'Flaherty", "given" : "Vincent", "non-dropping-particle" : "", "parse-names" : false, "suffix" : "" } ], "container-title" : "Applied and environmental microbiology", "id" : "ITEM-1", "issue" : "14", "issued" : { "date-parts" : [ [ "2013", "7" ] ] }, "page" : "4210-9", "title" : "A functional approach to uncover the low-temperature adaptation strategies of the archaeon Methanosarcina barkeri.", "type" : "article-journal", "volume" : "79" }, "uris" : [ "http://www.mendeley.com/documents/?uuid=a1e78e2b-5465-45d9-947f-dd0983c6bf6b" ] }, { "id" : "ITEM-2",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"ITEM-2",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"id" : "ITEM-3", "itemData" : { "DOI" : "10.1021/pr9005102", "ISBN" : "1535-3893", "ISSN" : "15353893", "PMID" : "20039705", "abstract" : "The response of the cold-adapted (psychrophilic) methanogenic archaeon Methanococcoides burtonii to growth temperature was investigated using differential proteomics (postincorporation isobaric labeling) and tandem liquid chromatography-mass spectrometry (LC/LC-MS/MS). This is the first proteomic study of M. burtonii to include techniques that specifically enrich for both surface and membrane proteins and to assess the effects of growth temperature (4 vs 23 degrees C) and carbon source (trimethylamine vs methanol) on cellular protein levels. Numerous surface layer proteins were more abundant at 4 degrees C, indicating an extensive remodeling of the cell envelope in response to low temperature. Many of these surface proteins contain domains associated with cell adhesion. Within the cell, small proteins each composed of a single TRAM domain were recovered as important cold adaptation proteins and might serve as RNA chaperones, in an analogous manner to Csp proteins (absent from M. burtonii). Other proteins that had higher abundances at 4 degrees C can be similarly tied to relieving or resolving the adverse affects of cold growth temperature on translational capacity and correct protein folding. The proteome of M. burtonii grown at 23 degrees C was dominated by oxidative stress proteins, as well as a large number of integral membrane proteins of unknown function. This is the first truly global proteomic study of a psychrophilic archaeon and greatly expands knowledge of the cellular mechanisms underpinning cold adaptation in the Archaea.", "author" : [ { "dropping-particle" : "", "family" : "Williams", "given" : "Timothy J.", "non-dropping-particle" : "", "parse-names" : false, "suffix" : "" }, { "dropping-particle" : "", "family" : "Burg", "given" : "Dominic W.", "non-dropping-particle" : "", "parse-names" : false, "suffix" : "" }, { "dropping-particle" : "", "family" : "Ertan", "given" : "Haluk", "non-dropping-particle" : "", "parse-names" : false, "suffix" : "" }, { "dropping-particle" : "", "family" : "Raftery", "given" : "Mark J.", "non-dropping-particle" : "", "parse-names" : false, "suffix" : "" }, { "dropping-particle" : "", "family" : "Poljak", "given" : "Anne", "non-dropping-particle" : "", "parse-names" : false, "suffix" : "" }, { "dropping-particle" : "", "family" : "Guilhaus", "given" : "Michael", "non-dropping-particle" : "", "parse-names" : false, "suffix" : "" }, { "dropping-particle" : "", "family" : "Cavicchioli", "given" : "Ricardo", "non-dropping-particle" : "", "parse-names" : false, "suffix" : "" } ], "container-title" : "Journal of Proteome Research", "id" : "ITEM-3", "issue" : "2", "issued" : { "date-parts" : [ [ "2010" ] ] }, "page" : "653-663", "title" : "Global proteomic analysis of the insoluble, soluble, and supernatant fractions of the psychrophilic archaeon Methanococcoides burtonii part II: The effect of different methylated growth substrates", "type" : "article-journal", "volume" : "9" }, "uris" : [ "http://www.mendeley.com/documents/?uuid=532221f1-c31d-424f-8890-9e5290cbfd6e" ] } ], "mendeley" : { "formattedCitation" : "[89,161,162]", "plainTextFormattedCitation" : "[89,161,162]", "previouslyFormattedCitation" : "[89,161,162]" }, "properties" : { "noteIndex" : 0 }, "schema" : "https://github.com/citation-style-language/schema/raw/master/csl-citation.json" }</w:instrText>
      </w:r>
      <w:r w:rsidR="00CE1AD2">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[89,161,162]</w:t>
      </w:r>
      <w:r w:rsidR="00CE1AD2">
        <w:rPr>
          <w:rFonts w:asciiTheme="minorHAnsi" w:eastAsia="Calibri" w:hAnsiTheme="minorHAnsi" w:cs="Calibri"/>
          <w:color w:val="000000"/>
          <w:sz w:val="22"/>
          <w:szCs w:val="22"/>
          <w:lang w:eastAsia="en-GB"/>
        </w:rPr>
        <w:fldChar w:fldCharType="end"/>
      </w:r>
      <w:r w:rsidR="00CE1AD2">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w:t>
      </w:r>
    </w:p>
    <w:p w14:paraId="328A0A1C" w14:textId="4A99CC33"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eastAsia="Calibri" w:hAnsiTheme="minorHAnsi" w:cs="Calibri"/>
          <w:sz w:val="22"/>
          <w:szCs w:val="22"/>
          <w:lang w:eastAsia="en-GB"/>
        </w:rPr>
        <w:tab/>
      </w:r>
      <w:r w:rsidRPr="00C44D8C">
        <w:rPr>
          <w:rFonts w:asciiTheme="minorHAnsi" w:hAnsiTheme="minorHAnsi"/>
          <w:color w:val="000000"/>
          <w:sz w:val="22"/>
          <w:szCs w:val="22"/>
          <w:lang w:eastAsia="en-GB"/>
        </w:rPr>
        <w:t xml:space="preserve">iTRAQ labels are chemical tags that react with the N-termini of primary amines of peptides with a neutral mass balance group and a uniquely charged N-methylpiperazine reporter group </w:t>
      </w:r>
      <w:r w:rsidR="00CE1AD2">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"10.4061/2009/239204", "ISBN" : "1757-4242", "ISSN" : "1757-4242", "PMID" : "20948568", "abstract" : "Proteomics is the large-scale study of the structure and function of proteins in complex biological sample. Such an approach has the potential value to understand the complex nature of the organism. Current proteomic tools allow large-scale, high-throughput analyses for the detection, identification, and functional investigation of proteome. Advances in protein fractionation and labeling techniques have improved protein identification to include the least abundant proteins. In addition, proteomics has been complemented by the analysis of posttranslational modifications and techniques for the quantitative comparison of different proteomes. However, the major limitation of proteomic investigations remains the complexity of biological structures and physiological processes, rendering the path of exploration paved with various difficulties and pitfalls. The quantity of data that is acquired with new techniques places new challenges on data processing and analysis. This article provides a brief overview of currently available proteomic techniques and their applications, followed by detailed description of advantages and technical challenges. Some solutions to circumvent technical difficulties are proposed.", "author" : [ { "dropping-particle" : "", "family" : "Chandramouli", "given" : "Kondethimmanahalli", "non-dropping-particle" : "", "parse-names" : false, "suffix" : "" }, { "dropping-particle" : "", "family" : "Qian", "given" : "Pei-Yuan", "non-dropping-particle" : "", "parse-names" : false, "suffix" : "" } ], "container-title" : "Human genomics and proteomics : HGP", "id" : "ITEM-1", "issued" : { "date-parts" : [ [ "2009" ] ] }, "title" : "Proteomics: challenges, techniques and possibilities to overcome biological sample complexity.", "type" : "article-journal", "volume" : "2009" }, "uris" : [ "http://www.mendeley.com/documents/?uuid=7a5e699b-1323-4bfa-97ac-6d446e552d07" ] } ], "mendeley" : { "formattedCitation" : "[147]", "plainTextFormattedCitation" : "[147]", "previouslyFormattedCitation" : "[147]" }, "properties" : { "noteIndex" : 0 }, "schema" : "https://github.com/citation-style-language/schema/raw/master/csl-citation.json" }</w:instrText>
      </w:r>
      <w:r w:rsidR="00CE1AD2">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[147]</w:t>
      </w:r>
      <w:r w:rsidR="00CE1AD2">
        <w:rPr>
          <w:rFonts w:asciiTheme="minorHAnsi" w:hAnsiTheme="minorHAnsi"/>
          <w:color w:val="000000"/>
          <w:sz w:val="22"/>
          <w:szCs w:val="22"/>
          <w:lang w:eastAsia="en-GB"/>
        </w:rPr>
        <w:fldChar w:fldCharType="end"/>
      </w:r>
      <w:r w:rsidR="00CE1AD2">
        <w:rPr>
          <w:rFonts w:asciiTheme="minorHAnsi" w:hAnsiTheme="minorHAnsi"/>
          <w:color w:val="000000"/>
          <w:sz w:val="22"/>
          <w:szCs w:val="22"/>
          <w:lang w:eastAsia="en-GB"/>
        </w:rPr>
        <w:t>.</w:t>
      </w:r>
      <w:r w:rsidRPr="00C44D8C">
        <w:rPr>
          <w:rFonts w:asciiTheme="minorHAnsi" w:eastAsia="Calibri" w:hAnsiTheme="minorHAnsi" w:cs="Calibri"/>
          <w:sz w:val="22"/>
          <w:szCs w:val="22"/>
          <w:lang w:eastAsia="en-GB"/>
        </w:rPr>
        <w:t xml:space="preserve"> The balance group ensures that all labelled peptides have the same mass of 145 Da (isobaric) during tandem </w:t>
      </w:r>
      <w:r w:rsidR="0075771C">
        <w:rPr>
          <w:rFonts w:asciiTheme="minorHAnsi" w:eastAsia="Calibri" w:hAnsiTheme="minorHAnsi" w:cs="Calibri"/>
          <w:sz w:val="22"/>
          <w:szCs w:val="22"/>
          <w:lang w:eastAsia="en-GB"/>
        </w:rPr>
        <w:t>MS</w:t>
      </w:r>
      <w:r w:rsidR="00CE1AD2">
        <w:rPr>
          <w:rFonts w:asciiTheme="minorHAnsi" w:eastAsia="Calibri" w:hAnsiTheme="minorHAnsi" w:cs="Calibri"/>
          <w:sz w:val="22"/>
          <w:szCs w:val="22"/>
          <w:lang w:eastAsia="en-GB"/>
        </w:rPr>
        <w:t xml:space="preserve"> </w:t>
      </w:r>
      <w:r w:rsidR="00CE1AD2">
        <w:rPr>
          <w:rFonts w:asciiTheme="minorHAnsi" w:eastAsia="Calibri" w:hAnsiTheme="minorHAnsi" w:cs="Calibri"/>
          <w:sz w:val="22"/>
          <w:szCs w:val="22"/>
          <w:lang w:eastAsia="en-GB"/>
        </w:rPr>
        <w:fldChar w:fldCharType="begin" w:fldLock="1"/>
      </w:r>
      <w:r w:rsidR="00AB0CFE">
        <w:rPr>
          <w:rFonts w:asciiTheme="minorHAnsi" w:eastAsia="Calibri" w:hAnsiTheme="minorHAnsi" w:cs="Calibri"/>
          <w:sz w:val="22"/>
          <w:szCs w:val="22"/>
          <w:lang w:eastAsia="en-GB"/>
        </w:rPr>
        <w:instrText>ADDIN CSL_CITATION { "citationItems" : [ { "id" : "ITEM-1", "itemData" : { "ISBN" : "978-953-51-0070-6", "abstract" : "Proteomics was thought to be a natural extension after the field of genomics has deposited significant amount of data. However, simply taking a straight verbatim approach to catalog all proteins in all tissues of different organisms is not viable. Researchers may need to focus on the perspectives of proteomics that are essential to the functional outcome of the cells. In Integrative Proteomics, expert researchers contribute both historical perspectives, new developments in sample preparation, gel-based and non-gel-based protein separation and identification using mass spectrometry. Substantial chapters are describing studies of the sub-proteomes such as phosphoproteome or glycoproteomes which are directly related to functional outcomes of the cells. Structural proteomics related to pharmaceutics development is also a perspective of the essence. Bioinformatics tools that can mine proteomics data and lead to pathway analyses become an integral part of proteomics. Integrative proteomics covers both look-backs and look-outs of proteomics. It is an ideal reference for students, new researchers, and experienced scientists who want to get an overview or insights into new development of the proteomics field", "author" : [ { "dropping-particle" : "", "family" : "Fuller", "given" : "H R", "non-dropping-particle" : "", "parse-names" : false, "suffix" : "" }, { "dropping-particle" : "", "family" : "Morris", "given" : "G E", "non-dropping-particle" : "", "parse-names" : false, "suffix" : "" } ], "container-title" : "Integrative Proteomics", "id" : "ITEM-1", "issued" : { "date-parts" : [ [ "2012" ] ] }, "page" : "442", "title" : "Quantitative Proteomics Using iTRAQ Labeling and Mass Spectrometry", "type" : "article-journal" }, "uris" : [ "http://www.mendeley.com/documents/?uuid=767591a0-cbdf-4eda-986f-ba0b7a4d7bbb" ] }, { "id" : "ITEM-2", "itemData" : { "DOI" : "10.1002/pmic.201000808", "ISSN" : "16159853", "PMID" : "21726045", "abstract" : "The study of surface-exposed proteins has received increasing attention following the advent of genomic sequencing, which in turn has enabled predictive tools and facilitated the technologies for their analysis by proteomics. The exterior topology of a bacterial pathogen is the interface between the cell and environment and thus is the initial mediator for infection, providing an important reservoir for components that may be used for novel vaccine development as well as the characterization of new drug targets. The study of such biological molecules has however, been under-represented in proteomics studies due to the difficulty involved in their analysis. Cell-envelope proteins in bacteria are typically difficult to characterize due to their low abundance, poor solubility, and the problematic isolation of pure surface fractions with only minimal contamination. Here, we describe different cell envelope preparations for proteomic characterization, focused principally on gel-free technologies. Fractionation techniques popularly used in proteomics are also explained with emphasis on surface and membrane-derived proteins/peptides. Conditional confirmation of localization is also explored with emphasis on different prediction algorithms as well as on analyses of surface peptide fractions by the use of different search programs and their implications for the unambiguous identification of surface-exposed and membrane-embedded proteins. Finally, different quantification techniques are discussed that are important for the validation of identifications and for highlighting novel proteins that may warrant further study by independent techniques.", "author" : [ { "dropping-particle" : "", "family" : "Solis", "given" : "Nestor", "non-dropping-particle" : "", "parse-names" : false, "suffix" : "" }, { "dropping-particle" : "", "family" : "Cordwell", "given" : "Stuart J.", "non-dropping-particle" : "", "parse-names" : false, "suffix" : "" } ], "container-title" : "Proteomics", "id" : "ITEM-2", "issued" : { "date-parts" : [ [ "2011" ] ] }, "page" : "3169-3189", "title" : "Current methodologies for proteomics of bacterial surface-exposed and cell envelope proteins", "type" : "article-journal", "volume" : "11" }, "uris" : [ "http://www.mendeley.com/documents/?uuid=f9698ced-0c1c-47eb-917d-d9d5b9d17459" ] } ], "mendeley" : { "formattedCitation" : "[163,164]", "plainTextFormattedCitation" : "[163,164]", "previouslyFormattedCitation" : "[163,164]" }, "properties" : { "noteIndex" : 0 }, "schema" : "https://github.com/citation-style-language/schema/raw/master/csl-citation.json" }</w:instrText>
      </w:r>
      <w:r w:rsidR="00CE1AD2">
        <w:rPr>
          <w:rFonts w:asciiTheme="minorHAnsi" w:eastAsia="Calibri" w:hAnsiTheme="minorHAnsi" w:cs="Calibri"/>
          <w:sz w:val="22"/>
          <w:szCs w:val="22"/>
          <w:lang w:eastAsia="en-GB"/>
        </w:rPr>
        <w:fldChar w:fldCharType="separate"/>
      </w:r>
      <w:r w:rsidR="00BB3D6F" w:rsidRPr="00BB3D6F">
        <w:rPr>
          <w:rFonts w:asciiTheme="minorHAnsi" w:eastAsia="Calibri" w:hAnsiTheme="minorHAnsi" w:cs="Calibri"/>
          <w:noProof/>
          <w:sz w:val="22"/>
          <w:szCs w:val="22"/>
          <w:lang w:eastAsia="en-GB"/>
        </w:rPr>
        <w:t>[163,164]</w:t>
      </w:r>
      <w:r w:rsidR="00CE1AD2">
        <w:rPr>
          <w:rFonts w:asciiTheme="minorHAnsi" w:eastAsia="Calibri" w:hAnsiTheme="minorHAnsi" w:cs="Calibri"/>
          <w:sz w:val="22"/>
          <w:szCs w:val="22"/>
          <w:lang w:eastAsia="en-GB"/>
        </w:rPr>
        <w:fldChar w:fldCharType="end"/>
      </w:r>
      <w:r w:rsidR="00CE1AD2">
        <w:rPr>
          <w:rFonts w:asciiTheme="minorHAnsi" w:eastAsia="Calibri" w:hAnsiTheme="minorHAnsi" w:cs="Calibri"/>
          <w:sz w:val="22"/>
          <w:szCs w:val="22"/>
          <w:lang w:eastAsia="en-GB"/>
        </w:rPr>
        <w:t>.</w:t>
      </w:r>
      <w:r w:rsidRPr="00C44D8C">
        <w:rPr>
          <w:rFonts w:asciiTheme="minorHAnsi" w:eastAsia="Calibri" w:hAnsiTheme="minorHAnsi" w:cs="Calibri"/>
          <w:sz w:val="22"/>
          <w:szCs w:val="22"/>
          <w:lang w:eastAsia="en-GB"/>
        </w:rPr>
        <w:t xml:space="preserve"> Following peptide fractionation within a mass spectrometer, the iTRAQ reporter groups break off from their respective peptides and produce ions with </w:t>
      </w:r>
      <w:r w:rsidRPr="00C44D8C">
        <w:rPr>
          <w:rFonts w:asciiTheme="minorHAnsi" w:hAnsiTheme="minorHAnsi"/>
          <w:color w:val="000000"/>
          <w:sz w:val="22"/>
          <w:szCs w:val="22"/>
          <w:lang w:eastAsia="en-GB"/>
        </w:rPr>
        <w:t>distinct m/z value</w:t>
      </w:r>
      <w:r w:rsidR="0075771C">
        <w:rPr>
          <w:rFonts w:asciiTheme="minorHAnsi" w:hAnsiTheme="minorHAnsi"/>
          <w:color w:val="000000"/>
          <w:sz w:val="22"/>
          <w:szCs w:val="22"/>
          <w:lang w:eastAsia="en-GB"/>
        </w:rPr>
        <w:t>s</w:t>
      </w:r>
      <w:r w:rsidRPr="00C44D8C">
        <w:rPr>
          <w:rFonts w:asciiTheme="minorHAnsi" w:hAnsiTheme="minorHAnsi"/>
          <w:color w:val="000000"/>
          <w:sz w:val="22"/>
          <w:szCs w:val="22"/>
          <w:lang w:eastAsia="en-GB"/>
        </w:rPr>
        <w:t xml:space="preserve"> of 114, 115, 116, 118, 119, 121 and 122. These strong reporter ions allow the relative quantification of proteins, where the relative intensity of each reporter ion is a direct indication of the relative abundance of each protein in the sample</w:t>
      </w:r>
      <w:r w:rsidR="00CE1AD2">
        <w:rPr>
          <w:rFonts w:asciiTheme="minorHAnsi" w:hAnsiTheme="minorHAnsi"/>
          <w:color w:val="000000"/>
          <w:sz w:val="22"/>
          <w:szCs w:val="22"/>
          <w:lang w:eastAsia="en-GB"/>
        </w:rPr>
        <w:t xml:space="preserve"> </w:t>
      </w:r>
      <w:r w:rsidR="00CE1AD2">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"ISBN" : "978-953-51-0070-6", "abstract" : "Proteomics was thought to be a natural extension after the field of genomics has deposited significant amount of data. However, simply taking a straight verbatim approach to catalog all proteins in all tissues of different organisms is not viable. Researchers may need to focus on the perspectives of proteomics that are essential to the functional outcome of the cells. In Integrative Proteomics, expert researchers contribute both historical perspectives, new developments in sample preparation, gel-based and non-gel-based protein separation and identification using mass spectrometry. Substantial chapters are describing studies of the sub-proteomes such as phosphoproteome or glycoproteomes which are directly related to functional outcomes of the cells. Structural proteomics related to pharmaceutics development is also a perspective of the essence. Bioinformatics tools that can mine proteomics data and lead to pathway analyses become an integral part of proteomics. Integrative proteomics covers both look-backs and look-outs of proteomics. It is an ideal reference for students, new researchers, and experienced scientists who want to get an overview or insights into new development of the proteomics field", "author" : [ { "dropping-particle" : "", "family" : "Fuller", "given" : "H R", "non-dropping-particle" : "", "parse-names" : false, "suffix" : "" }, { "dropping-particle" : "", "family" : "Morris", "given" : "G E", "non-dropping-particle" : "", "parse-names" : false, "suffix" : "" } ], "container-title" : "Integrative Proteomics", "id" : "ITEM-1", "issued" : { "date-parts" : [ [ "2012" ] ] }, "page" : "442", "title" : "Quantitative Proteomics Using iTRAQ Labeling and Mass Spectrometry", "type" : "article-journal" }, "uris" : [ "http://www.mendeley.com/documents/?uuid=767591a0-cbdf-4eda-986f-ba0b7a4d7bbb" ] } ], "mendeley" : { "formattedCitation" : "[163]", "plainTextFormattedCitation" : "[163]", "previouslyFormattedCitation" : "[163]" }, "properties" : { "noteIndex" : 0 }, "schema" : "https://github.com/citation-style-language/schema/raw/master/csl-citation.json" }</w:instrText>
      </w:r>
      <w:r w:rsidR="00CE1AD2">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[163]</w:t>
      </w:r>
      <w:r w:rsidR="00CE1AD2">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Having multiple biological replicates for each experimental condition is recommended in order to increase the statistical robustness of the results</w:t>
      </w:r>
      <w:r w:rsidR="00CE1AD2">
        <w:rPr>
          <w:rFonts w:asciiTheme="minorHAnsi" w:hAnsiTheme="minorHAnsi"/>
          <w:color w:val="000000"/>
          <w:sz w:val="22"/>
          <w:szCs w:val="22"/>
          <w:lang w:eastAsia="en-GB"/>
        </w:rPr>
        <w:t xml:space="preserve"> </w:t>
      </w:r>
      <w:r w:rsidR="00CE1AD2">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"10.2174/157016411794697408", "ISSN" : "15701646", "abstract" : "Isobaric tags for absolute and relative quantification (iTRAQ) provide the quantitative proteomics community with an easy-to-use tool to examine proteome changes. Five years after the launch of the technique, has the community become familiar with iTRAQ? In this review, we propose to answer this question by looking at two of its facets. On the one hand, we enquire whether iTRAQ is used `optimally'; in other words, whether the community is keeping up with the methods that have been devised and the requirements that have become recognised, in quantitative proteomics. On the other hand, there is the question of whether an iTRAQ paper is written in such a way as to allow other researchers to challenge or improve the results. To tackle these two problems, we have reviewed the iTRAQ literature and gathered data about the methods; in this study, we discuss the experimental designs, the use of biological and technical replicates, the confirmation through additional experiments, the strategies to identify differential expression and supplementary information. Our conclusions aim at giving recommendations in light of our statistics.", "author" : [ { "dropping-particle" : "", "family" : "Noirel", "given" : "Josselin", "non-dropping-particle" : "", "parse-names" : false, "suffix" : "" }, { "dropping-particle" : "", "family" : "Evans", "given" : "Caroline", "non-dropping-particle" : "", "parse-names" : false, "suffix" : "" }, { "dropping-particle" : "", "family" : "Salim", "given" : "Malinda", "non-dropping-particle" : "", "parse-names" : false, "suffix" : "" }, { "dropping-particle" : "", "family" : "Mukherjee", "given" : "Joy", "non-dropping-particle" : "", "parse-names" : false, "suffix" : "" }, { "dropping-particle" : "", "family" : "Yen Ow", "given" : "Saw", "non-dropping-particle" : "", "parse-names" : false, "suffix" : "" }, { "dropping-particle" : "", "family" : "Pandhal", "given" : "Jagroop", "non-dropping-particle" : "", "parse-names" : false, "suffix" : "" }, { "dropping-particle" : "", "family" : "Khoa Pham", "given" : "Trong", "non-dropping-particle" : "", "parse-names" : false, "suffix" : "" }, { "dropping-particle" : "", "family" : "A. Biggs", "given" : "Catherine", "non-dropping-particle" : "", "parse-names" : false, "suffix" : "" }, { "dropping-particle" : "", "family" : "C. Wright", "given" : "Phillip", "non-dropping-particle" : "", "parse-names" : false, "suffix" : "" } ], "container-title" : "Current Proteomics", "id" : "ITEM-1", "issue" : "1", "issued" : { "date-parts" : [ [ "2011" ] ] }, "page" : "17-30", "title" : "Methods in Quantitative Proteomics: Setting iTRAQ on the Right Track", "type" : "article-journal", "volume" : "8" }, "uris" : [ "http://www.mendeley.com/documents/?uuid=b6f1e376-d24d-40c5-a1f2-58b0ce013666" ] } ], "mendeley" : { "formattedCitation" : "[159]", "plainTextFormattedCitation" : "[159]", "previouslyFormattedCitation" : "[159]" }, "properties" : { "noteIndex" : 0 }, "schema" : "https://github.com/citation-style-language/schema/raw/master/csl-citation.json" }</w:instrText>
      </w:r>
      <w:r w:rsidR="00CE1AD2">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[159]</w:t>
      </w:r>
      <w:r w:rsidR="00CE1AD2">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w:t>
      </w:r>
    </w:p>
    <w:p w14:paraId="74B295A8" w14:textId="6D820241" w:rsidR="00436CD0" w:rsidRPr="00C44D8C" w:rsidRDefault="00436CD0" w:rsidP="00436CD0">
      <w:pPr>
        <w:spacing w:line="360" w:lineRule="auto"/>
        <w:ind w:firstLine="720"/>
        <w:rPr>
          <w:rFonts w:asciiTheme="minorHAnsi" w:eastAsia="Calibri" w:hAnsiTheme="minorHAnsi" w:cs="Calibri"/>
          <w:color w:val="000000"/>
          <w:sz w:val="22"/>
          <w:szCs w:val="22"/>
          <w:lang w:eastAsia="en-GB"/>
        </w:rPr>
      </w:pPr>
      <w:r w:rsidRPr="00C44D8C">
        <w:rPr>
          <w:rFonts w:asciiTheme="minorHAnsi" w:eastAsia="Arial" w:hAnsiTheme="minorHAnsi" w:cs="Arial"/>
          <w:color w:val="000000"/>
          <w:sz w:val="22"/>
          <w:szCs w:val="22"/>
          <w:lang w:eastAsia="en-GB"/>
        </w:rPr>
        <w:t xml:space="preserve">A limitation of the iTRAQ approach stems from the enzymatic digestion of proteins prior to labelling, which can increase sample complexity. Therefore, </w:t>
      </w:r>
      <w:r w:rsidRPr="00C44D8C">
        <w:rPr>
          <w:rFonts w:asciiTheme="minorHAnsi" w:eastAsia="Calibri" w:hAnsiTheme="minorHAnsi" w:cs="Calibri"/>
          <w:color w:val="000000"/>
          <w:sz w:val="22"/>
          <w:szCs w:val="22"/>
          <w:lang w:eastAsia="en-GB"/>
        </w:rPr>
        <w:t xml:space="preserve">a 2D-LC approach is required prior to MS of labelled peptides to increase the resolution of proteins in the sample </w:t>
      </w:r>
      <w:r w:rsidR="00CE1AD2">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"10.4061/2009/239204", "ISBN" : "1757-4242", "ISSN" : "1757-4242", "PMID" : "20948568", "abstract" : "Proteomics is the large-scale study of the structure and function of proteins in complex biological sample. Such an approach has the potential value to understand the complex nature of the organism. Current proteomic tools allow large-scale, high-throughput analyses for the detection, identification, and functional investigation of proteome. Advances in protein fractionation and labeling techniques have improved protein identification to include the least abundant proteins. In addition, proteomics has been complemented by the analysis of posttranslational modifications and techniques for the quantitative comparison of different proteomes. However, the major limitation of proteomic investigations remains the complexity of biological structures and physiological processes, rendering the path of exploration paved with various difficulties and pitfalls. The quantity of data that is acquired with new techniques places new challenges on data processing and analysis. This article provides a brief overview of currently available proteomic techniques and their applications, followed by detailed description of advantages and technical challenges. Some solutions to circumvent technical difficulties are proposed.", "author" : [ { "dropping-particle" : "", "family" : "Chandramouli", "given" : "Kondethimmanahalli", "non-dropping-particle" : "", "parse-names" : false, "suffix" : "" }, { "dropping-particle" : "", "family" : "Qian", "given" : "Pei-Yuan", "non-dropping-particle" : "", "parse-names" : false, "suffix" : "" } ], "container-title" : "Human genomics and proteomics : HGP", "id" : "ITEM-1", "issued" : { "date-parts" : [ [ "2009" ] ] }, "title" : "Proteomics: challenges, techniques and possibilities to overcome biological sample complexity.", "type" : "article-journal", "volume" : "2009" }, "uris" : [ "http://www.mendeley.com/documents/?uuid=7a5e699b-1323-4bfa-97ac-6d446e552d07" ] } ], "mendeley" : { "formattedCitation" : "[147]", "plainTextFormattedCitation" : "[147]", "previouslyFormattedCitation" : "[147]" }, "properties" : { "noteIndex" : 0 }, "schema" : "https://github.com/citation-style-language/schema/raw/master/csl-citation.json" }</w:instrText>
      </w:r>
      <w:r w:rsidR="00CE1AD2">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[147]</w:t>
      </w:r>
      <w:r w:rsidR="00CE1AD2">
        <w:rPr>
          <w:rFonts w:asciiTheme="minorHAnsi" w:eastAsia="Calibri" w:hAnsiTheme="minorHAnsi" w:cs="Calibri"/>
          <w:color w:val="000000"/>
          <w:sz w:val="22"/>
          <w:szCs w:val="22"/>
          <w:lang w:eastAsia="en-GB"/>
        </w:rPr>
        <w:fldChar w:fldCharType="end"/>
      </w:r>
      <w:r w:rsidR="00CE1AD2">
        <w:rPr>
          <w:rFonts w:asciiTheme="minorHAnsi" w:eastAsia="Calibri" w:hAnsiTheme="minorHAnsi" w:cs="Calibri"/>
          <w:color w:val="000000"/>
          <w:sz w:val="22"/>
          <w:szCs w:val="22"/>
          <w:lang w:eastAsia="en-GB"/>
        </w:rPr>
        <w:t>.</w:t>
      </w:r>
      <w:r w:rsidRPr="00C44D8C">
        <w:rPr>
          <w:rFonts w:asciiTheme="minorHAnsi" w:eastAsia="Calibri" w:hAnsiTheme="minorHAnsi" w:cs="Calibri"/>
          <w:color w:val="000000"/>
          <w:sz w:val="22"/>
          <w:szCs w:val="22"/>
          <w:lang w:eastAsia="en-GB"/>
        </w:rPr>
        <w:t xml:space="preserve"> Another issue </w:t>
      </w:r>
      <w:r w:rsidRPr="00C44D8C">
        <w:rPr>
          <w:rFonts w:asciiTheme="minorHAnsi" w:hAnsiTheme="minorHAnsi"/>
          <w:color w:val="000000"/>
          <w:sz w:val="22"/>
          <w:szCs w:val="22"/>
          <w:lang w:eastAsia="en-GB"/>
        </w:rPr>
        <w:t>is that iTRAQ can be prone to the underestimation of changes in protein expression levels</w:t>
      </w:r>
      <w:r w:rsidR="00CE1AD2">
        <w:rPr>
          <w:rFonts w:asciiTheme="minorHAnsi" w:hAnsiTheme="minorHAnsi"/>
          <w:color w:val="000000"/>
          <w:sz w:val="22"/>
          <w:szCs w:val="22"/>
          <w:lang w:eastAsia="en-GB"/>
        </w:rPr>
        <w:t xml:space="preserve"> </w:t>
      </w:r>
      <w:r w:rsidR="00CE1AD2">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"10.1002/pros.21167", "ISBN" : "1097-0045 (Electronic)\\n0270-4137 (Linking)", "ISSN" : "02704137", "PMID" : "20623638", "abstract" : "BACKGROUND: Due to the heterogeneity in the biological behavior of prostate cancer, biomarkers that can reliably distinguish indolent from aggressive disease are urgently needed to inform treatment choices.\\n\\nMETHODS: We employed 8-plex isobaric Tags for Relative and Absolute Quantitation (iTRAQ), to profile the proteomes of two distinct panels of isogenic prostate cancer cells with varying growth and metastatic potentials, in order to identify novel biomarkers associated with progression. The LNCaP, LNCaP-Pro5, and LNCaP-LN3 panel of cells represent a model of androgen-responsive prostate cancer, while the PC-3, PC-3M, and PC-3M-LN4 panel represent a model of androgen-insensitive disease.\\n\\nRESULTS: Of the 245 unique proteins identified and quantified (&gt;or=95% confidence; &gt;or=2 peptides/protein), 17 showed significant differential expression (&gt;or=+/-1.5), in at least one of the variant LNCaP cells relative to parental cells. Similarly, comparisons within the PC-3 panel identified 45 proteins to show significant differential expression in at least one of the variant PC-3 cells compared with parental cells. Differential expression of selected candidates was verified by Western blotting or immunocytochemistry, and corresponding mRNA expression was determined by quantitative real-time PCR (qRT-PCR). Immunostaining of prostate tissue microarrays for ERp5, one of the candidates identified, showed a significant higher immunoexpression in pre-malignant lesions compared with non-malignant epithelium (P &lt; 0.0001, Mann-Whitney U-test), and in high Gleason grade (4-5) versus low grade (2-3) cancers (P &lt; 0.05).\\n\\nCONCLUSIONS: Our study provides proof of principle for the application of an 8-plex iTRAQ approach to uncover clinically relevant candidate biomarkers for prostate cancer progression.", "author" : [ { "dropping-particle" : "", "family" : "Glen", "given" : "Adam", "non-dropping-particle" : "", "parse-names" : false, "suffix" : "" }, { "dropping-particle" : "", "family" : "Evans", "given" : "Caroline A.", "non-dropping-particle" : "", "parse-names" : false, "suffix" : "" }, { "dropping-particle" : "", "family" : "Gan", "given" : "Chee S.", "non-dropping-particle" : "", "parse-names" : false, "suffix" : "" }, { "dropping-particle" : "", "family" : "Cross", "given" : "Simon S.", "non-dropping-particle" : "", "parse-names" : false, "suffix" : "" }, { "dropping-particle" : "", "family" : "Hamdy", "given" : "Freddie C.", "non-dropping-particle" : "", "parse-names" : false, "suffix" : "" }, { "dropping-particle" : "", "family" : "Gibbins", "given" : "Jonathan", "non-dropping-particle" : "", "parse-names" : false, "suffix" : "" }, { "dropping-particle" : "", "family" : "Lippitt", "given" : "Jenny", "non-dropping-particle" : "", "parse-names" : false, "suffix" : "" }, { "dropping-particle" : "", "family" : "Eaton", "given" : "Colby L.", "non-dropping-particle" : "", "parse-names" : false, "suffix" : "" }, { "dropping-particle" : "", "family" : "Noirel", "given" : "Josselin", "non-dropping-particle" : "", "parse-names" : false, "suffix" : "" }, { "dropping-particle" : "", "family" : "Wright", "given" : "Phillip C.", "non-dropping-particle" : "", "parse-names" : false, "suffix" : "" }, { "dropping-particle" : "", "family" : "Rehman", "given" : "Ishtiaq", "non-dropping-particle" : "", "parse-names" : false, "suffix" : "" } ], "container-title" : "Prostate", "id" : "ITEM-1", "issue" : "12", "issued" : { "date-parts" : [ [ "2010" ] ] }, "page" : "1313-1332", "title" : "Eight-plex iTRAQ analysis of variant metastatic human prostate cancer cells identifies candidate biomarkers of progression: An exploratory study", "type" : "article-journal", "volume" : "70" }, "uris" : [ "http://www.mendeley.com/documents/?uuid=585b2394-af47-4324-b20d-e71a5efb53a8" ] } ], "mendeley" : { "formattedCitation" : "[165]", "plainTextFormattedCitation" : "[165]", "previouslyFormattedCitation" : "[165]" }, "properties" : { "noteIndex" : 0 }, "schema" : "https://github.com/citation-style-language/schema/raw/master/csl-citation.json" }</w:instrText>
      </w:r>
      <w:r w:rsidR="00CE1AD2">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[165]</w:t>
      </w:r>
      <w:r w:rsidR="00CE1AD2">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due to sample complexity and isotopic impurities </w:t>
      </w:r>
      <w:r w:rsidR="007207B4">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"author" : [ { "dropping-particle" : "", "family" : "Ow", "given" : "Saw Yen", "non-dropping-particle" : "", "parse-names" : false, "suffix" : "" }, { "dropping-particle" : "", "family" : "Salim", "given" : "Malinda", "non-dropping-particle" : "", "parse-names" : false, "suffix" : "" }, { "dropping-particle" : "", "family" : "Noirel", "given" : "Josselin", "non-dropping-particle" : "", "parse-names" : false, "suffix" : "" }, { "dropping-particle" : "", "family" : "Evans", "given" : "Caroline", "non-dropping-particle" : "", "parse-names" : false, "suffix" : "" }, { "dropping-particle" : "", "family" : "Rehman", "given" : "Ishtiaq", "non-dropping-particle" : "", "parse-names" : false, "suffix" : "" }, { "dropping-particle" : "", "family" : "Wright", "given" : "Phillip C", "non-dropping-particle" : "", "parse-names" : false, "suffix" : "" } ], "container-title" : "Journal of proteome research", "id" : "ITEM-1", "issued" : { "date-parts" : [ [ "2009" ] ] }, "page" : "5347-5355", "title" : "iTRAQ Underestimation in Simple and Complex Mixtures : \u201c The Good , the Bad and the Ugly \u201d", "type" : "article-journal", "volume" : "8" }, "uris" : [ "http://www.mendeley.com/documents/?uuid=787e3c9e-78de-46b4-9be1-33b8746ed0c6" ] } ], "mendeley" : { "formattedCitation" : "[160]", "plainTextFormattedCitation" : "[160]", "previouslyFormattedCitation" : "[160]" }, "properties" : { "noteIndex" : 0 }, "schema" : "https://github.com/citation-style-language/schema/raw/master/csl-citation.json" }</w:instrText>
      </w:r>
      <w:r w:rsidR="007207B4">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[160]</w:t>
      </w:r>
      <w:r w:rsidR="007207B4">
        <w:rPr>
          <w:rFonts w:asciiTheme="minorHAnsi" w:hAnsiTheme="minorHAnsi"/>
          <w:color w:val="000000"/>
          <w:sz w:val="22"/>
          <w:szCs w:val="22"/>
          <w:lang w:eastAsia="en-GB"/>
        </w:rPr>
        <w:fldChar w:fldCharType="end"/>
      </w:r>
      <w:r w:rsidR="007207B4">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Therefore, the use of validation experiments is important to verify the conclusions drawn from iTRAQ. </w:t>
      </w:r>
      <w:r w:rsidRPr="00C44D8C">
        <w:rPr>
          <w:rFonts w:asciiTheme="minorHAnsi" w:eastAsia="Calibri" w:hAnsiTheme="minorHAnsi" w:cs="Calibri"/>
          <w:color w:val="000000"/>
          <w:sz w:val="22"/>
          <w:szCs w:val="22"/>
          <w:lang w:eastAsia="en-GB"/>
        </w:rPr>
        <w:t>A typical iTRAQ workflow is shown in Fig. 2.10.</w:t>
      </w:r>
    </w:p>
    <w:p w14:paraId="022444CC" w14:textId="77777777" w:rsidR="00436CD0" w:rsidRPr="00C44D8C" w:rsidRDefault="00436CD0" w:rsidP="00436CD0">
      <w:pPr>
        <w:spacing w:line="360" w:lineRule="auto"/>
        <w:rPr>
          <w:rFonts w:asciiTheme="minorHAnsi" w:eastAsia="Calibri" w:hAnsiTheme="minorHAnsi" w:cs="Calibri"/>
          <w:sz w:val="22"/>
          <w:szCs w:val="22"/>
          <w:lang w:eastAsia="en-GB"/>
        </w:rPr>
      </w:pPr>
    </w:p>
    <w:p w14:paraId="446FF5D7" w14:textId="77777777" w:rsidR="00436CD0" w:rsidRPr="00C44D8C" w:rsidRDefault="00436CD0" w:rsidP="00436CD0">
      <w:pPr>
        <w:spacing w:line="360" w:lineRule="auto"/>
        <w:rPr>
          <w:rFonts w:asciiTheme="minorHAnsi" w:eastAsia="Calibri" w:hAnsiTheme="minorHAnsi" w:cs="Calibri"/>
          <w:sz w:val="22"/>
          <w:szCs w:val="22"/>
          <w:lang w:eastAsia="en-GB"/>
        </w:rPr>
      </w:pPr>
      <w:r w:rsidRPr="00C44D8C">
        <w:rPr>
          <w:rFonts w:asciiTheme="minorHAnsi" w:eastAsia="Calibri" w:hAnsiTheme="minorHAnsi" w:cs="Calibri"/>
          <w:noProof/>
          <w:sz w:val="22"/>
          <w:szCs w:val="22"/>
          <w:lang w:eastAsia="en-GB"/>
        </w:rPr>
        <mc:AlternateContent>
          <mc:Choice Requires="wps">
            <w:drawing>
              <wp:anchor distT="0" distB="0" distL="114300" distR="114300" simplePos="0" relativeHeight="251664384" behindDoc="0" locked="0" layoutInCell="1" allowOverlap="1" wp14:anchorId="44616AE3" wp14:editId="684E664C">
                <wp:simplePos x="0" y="0"/>
                <wp:positionH relativeFrom="column">
                  <wp:posOffset>2773680</wp:posOffset>
                </wp:positionH>
                <wp:positionV relativeFrom="paragraph">
                  <wp:posOffset>3445298</wp:posOffset>
                </wp:positionV>
                <wp:extent cx="448310" cy="228600"/>
                <wp:effectExtent l="0" t="0" r="8890" b="0"/>
                <wp:wrapNone/>
                <wp:docPr id="41" name="Text Box 41"/>
                <wp:cNvGraphicFramePr/>
                <a:graphic xmlns:a="http://schemas.openxmlformats.org/drawingml/2006/main">
                  <a:graphicData uri="http://schemas.microsoft.com/office/word/2010/wordprocessingShape">
                    <wps:wsp>
                      <wps:cNvSpPr txBox="1"/>
                      <wps:spPr>
                        <a:xfrm>
                          <a:off x="0" y="0"/>
                          <a:ext cx="448310" cy="228600"/>
                        </a:xfrm>
                        <a:prstGeom prst="rect">
                          <a:avLst/>
                        </a:prstGeom>
                        <a:solidFill>
                          <a:sysClr val="window" lastClr="FFFFFF"/>
                        </a:solidFill>
                        <a:ln w="6350">
                          <a:noFill/>
                        </a:ln>
                        <a:effectLst/>
                      </wps:spPr>
                      <wps:txbx>
                        <w:txbxContent>
                          <w:p w14:paraId="39E9BC92" w14:textId="77777777" w:rsidR="007715D2" w:rsidRPr="00436CD0" w:rsidRDefault="007715D2" w:rsidP="00436CD0">
                            <w:pPr>
                              <w:rPr>
                                <w:rFonts w:ascii="Calibri" w:hAnsi="Calibri"/>
                                <w:b/>
                              </w:rPr>
                            </w:pPr>
                            <w:r>
                              <w:rPr>
                                <w:b/>
                              </w:rP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4616AE3" id="Text Box 41" o:spid="_x0000_s1040" type="#_x0000_t202" style="position:absolute;margin-left:218.4pt;margin-top:271.3pt;width:35.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" fillcolor="window" stroked="f" strokeweight=".5pt">
                <v:textbox>
                  <w:txbxContent>
                    <w:p w14:paraId="39E9BC92" w14:textId="77777777" w:rsidR="007715D2" w:rsidRPr="00436CD0" w:rsidRDefault="007715D2" w:rsidP="00436CD0">
                      <w:pPr>
                        <w:rPr>
                          <w:rFonts w:ascii="Calibri" w:hAnsi="Calibri"/>
                          <w:b/>
                        </w:rPr>
                      </w:pPr>
                      <w:r>
                        <w:rPr>
                          <w:b/>
                        </w:rPr>
                        <w:t>115</w:t>
                      </w:r>
                    </w:p>
                  </w:txbxContent>
                </v:textbox>
              </v:shape>
            </w:pict>
          </mc:Fallback>
        </mc:AlternateContent>
      </w:r>
      <w:r w:rsidRPr="00C44D8C">
        <w:rPr>
          <w:rFonts w:asciiTheme="minorHAnsi" w:eastAsia="Calibri" w:hAnsiTheme="minorHAnsi" w:cs="Calibri"/>
          <w:noProof/>
          <w:sz w:val="22"/>
          <w:szCs w:val="22"/>
          <w:lang w:eastAsia="en-GB"/>
        </w:rPr>
        <mc:AlternateContent>
          <mc:Choice Requires="wps">
            <w:drawing>
              <wp:anchor distT="0" distB="0" distL="114300" distR="114300" simplePos="0" relativeHeight="251668480" behindDoc="0" locked="0" layoutInCell="1" allowOverlap="1" wp14:anchorId="22B757AA" wp14:editId="6EAAD75E">
                <wp:simplePos x="0" y="0"/>
                <wp:positionH relativeFrom="column">
                  <wp:posOffset>3108113</wp:posOffset>
                </wp:positionH>
                <wp:positionV relativeFrom="paragraph">
                  <wp:posOffset>3362960</wp:posOffset>
                </wp:positionV>
                <wp:extent cx="482600"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482600" cy="279400"/>
                        </a:xfrm>
                        <a:prstGeom prst="rect">
                          <a:avLst/>
                        </a:prstGeom>
                        <a:solidFill>
                          <a:sysClr val="window" lastClr="FFFFFF"/>
                        </a:solidFill>
                        <a:ln w="6350">
                          <a:noFill/>
                        </a:ln>
                        <a:effectLst/>
                      </wps:spPr>
                      <wps:txbx>
                        <w:txbxContent>
                          <w:p w14:paraId="66F002FE" w14:textId="77777777" w:rsidR="007715D2" w:rsidRPr="00436CD0" w:rsidRDefault="007715D2" w:rsidP="00436CD0">
                            <w:pPr>
                              <w:rPr>
                                <w:rFonts w:ascii="Calibri" w:hAnsi="Calibri"/>
                                <w:b/>
                              </w:rPr>
                            </w:pPr>
                            <w:r>
                              <w:rPr>
                                <w:b/>
                              </w:rPr>
                              <w:t>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2B757AA" id="Text Box 42" o:spid="_x0000_s1041" type="#_x0000_t202" style="position:absolute;margin-left:244.75pt;margin-top:264.8pt;width:38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" fillcolor="window" stroked="f" strokeweight=".5pt">
                <v:textbox>
                  <w:txbxContent>
                    <w:p w14:paraId="66F002FE" w14:textId="77777777" w:rsidR="007715D2" w:rsidRPr="00436CD0" w:rsidRDefault="007715D2" w:rsidP="00436CD0">
                      <w:pPr>
                        <w:rPr>
                          <w:rFonts w:ascii="Calibri" w:hAnsi="Calibri"/>
                          <w:b/>
                        </w:rPr>
                      </w:pPr>
                      <w:r>
                        <w:rPr>
                          <w:b/>
                        </w:rPr>
                        <w:t>116</w:t>
                      </w:r>
                    </w:p>
                  </w:txbxContent>
                </v:textbox>
              </v:shape>
            </w:pict>
          </mc:Fallback>
        </mc:AlternateContent>
      </w:r>
      <w:r w:rsidRPr="00C44D8C">
        <w:rPr>
          <w:rFonts w:asciiTheme="minorHAnsi" w:eastAsia="Calibri" w:hAnsiTheme="minorHAnsi" w:cs="Calibri"/>
          <w:noProof/>
          <w:sz w:val="22"/>
          <w:szCs w:val="22"/>
          <w:lang w:eastAsia="en-GB"/>
        </w:rPr>
        <mc:AlternateContent>
          <mc:Choice Requires="wps">
            <w:drawing>
              <wp:anchor distT="0" distB="0" distL="114300" distR="114300" simplePos="0" relativeHeight="251660288" behindDoc="0" locked="0" layoutInCell="1" allowOverlap="1" wp14:anchorId="2B151D59" wp14:editId="64139DE5">
                <wp:simplePos x="0" y="0"/>
                <wp:positionH relativeFrom="column">
                  <wp:posOffset>2519680</wp:posOffset>
                </wp:positionH>
                <wp:positionV relativeFrom="paragraph">
                  <wp:posOffset>3727027</wp:posOffset>
                </wp:positionV>
                <wp:extent cx="440267" cy="228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40267" cy="228600"/>
                        </a:xfrm>
                        <a:prstGeom prst="rect">
                          <a:avLst/>
                        </a:prstGeom>
                        <a:solidFill>
                          <a:sysClr val="window" lastClr="FFFFFF"/>
                        </a:solidFill>
                        <a:ln w="6350">
                          <a:noFill/>
                        </a:ln>
                        <a:effectLst/>
                      </wps:spPr>
                      <wps:txbx>
                        <w:txbxContent>
                          <w:p w14:paraId="0E4E91AA" w14:textId="77777777" w:rsidR="007715D2" w:rsidRPr="00436CD0" w:rsidRDefault="007715D2" w:rsidP="00436CD0">
                            <w:pPr>
                              <w:rPr>
                                <w:rFonts w:ascii="Calibri" w:hAnsi="Calibri"/>
                                <w:b/>
                              </w:rPr>
                            </w:pPr>
                            <w:r>
                              <w:rPr>
                                <w:b/>
                              </w:rP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B151D59" id="Text Box 40" o:spid="_x0000_s1042" type="#_x0000_t202" style="position:absolute;margin-left:198.4pt;margin-top:293.45pt;width:34.6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" fillcolor="window" stroked="f" strokeweight=".5pt">
                <v:textbox>
                  <w:txbxContent>
                    <w:p w14:paraId="0E4E91AA" w14:textId="77777777" w:rsidR="007715D2" w:rsidRPr="00436CD0" w:rsidRDefault="007715D2" w:rsidP="00436CD0">
                      <w:pPr>
                        <w:rPr>
                          <w:rFonts w:ascii="Calibri" w:hAnsi="Calibri"/>
                          <w:b/>
                        </w:rPr>
                      </w:pPr>
                      <w:r>
                        <w:rPr>
                          <w:b/>
                        </w:rPr>
                        <w:t>114</w:t>
                      </w:r>
                    </w:p>
                  </w:txbxContent>
                </v:textbox>
              </v:shape>
            </w:pict>
          </mc:Fallback>
        </mc:AlternateContent>
      </w:r>
      <w:r w:rsidRPr="00C44D8C">
        <w:rPr>
          <w:rFonts w:asciiTheme="minorHAnsi" w:eastAsia="Calibri" w:hAnsiTheme="minorHAnsi" w:cs="Calibri"/>
          <w:noProof/>
          <w:sz w:val="22"/>
          <w:szCs w:val="22"/>
          <w:lang w:eastAsia="en-GB"/>
        </w:rPr>
        <mc:AlternateContent>
          <mc:Choice Requires="wps">
            <w:drawing>
              <wp:anchor distT="0" distB="0" distL="114300" distR="114300" simplePos="0" relativeHeight="251656192" behindDoc="0" locked="0" layoutInCell="1" allowOverlap="1" wp14:anchorId="5F9D4DBB" wp14:editId="30BBDC38">
                <wp:simplePos x="0" y="0"/>
                <wp:positionH relativeFrom="column">
                  <wp:posOffset>2240915</wp:posOffset>
                </wp:positionH>
                <wp:positionV relativeFrom="paragraph">
                  <wp:posOffset>3351742</wp:posOffset>
                </wp:positionV>
                <wp:extent cx="482600" cy="279400"/>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482600" cy="279400"/>
                        </a:xfrm>
                        <a:prstGeom prst="rect">
                          <a:avLst/>
                        </a:prstGeom>
                        <a:solidFill>
                          <a:sysClr val="window" lastClr="FFFFFF"/>
                        </a:solidFill>
                        <a:ln w="6350">
                          <a:noFill/>
                        </a:ln>
                        <a:effectLst/>
                      </wps:spPr>
                      <wps:txbx>
                        <w:txbxContent>
                          <w:p w14:paraId="11A37BD7" w14:textId="77777777" w:rsidR="007715D2" w:rsidRPr="00436CD0" w:rsidRDefault="007715D2" w:rsidP="00436CD0">
                            <w:pPr>
                              <w:rPr>
                                <w:rFonts w:ascii="Calibri" w:hAnsi="Calibri"/>
                                <w:b/>
                              </w:rPr>
                            </w:pPr>
                            <w:r>
                              <w:rPr>
                                <w:b/>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F9D4DBB" id="Text Box 38" o:spid="_x0000_s1043" type="#_x0000_t202" style="position:absolute;margin-left:176.45pt;margin-top:263.9pt;width:38pt;height: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" fillcolor="window" stroked="f" strokeweight=".5pt">
                <v:textbox>
                  <w:txbxContent>
                    <w:p w14:paraId="11A37BD7" w14:textId="77777777" w:rsidR="007715D2" w:rsidRPr="00436CD0" w:rsidRDefault="007715D2" w:rsidP="00436CD0">
                      <w:pPr>
                        <w:rPr>
                          <w:rFonts w:ascii="Calibri" w:hAnsi="Calibri"/>
                          <w:b/>
                        </w:rPr>
                      </w:pPr>
                      <w:r>
                        <w:rPr>
                          <w:b/>
                        </w:rPr>
                        <w:t>113</w:t>
                      </w:r>
                    </w:p>
                  </w:txbxContent>
                </v:textbox>
              </v:shape>
            </w:pict>
          </mc:Fallback>
        </mc:AlternateContent>
      </w:r>
      <w:r w:rsidRPr="00C44D8C">
        <w:rPr>
          <w:rFonts w:asciiTheme="minorHAnsi" w:eastAsia="Calibri" w:hAnsiTheme="minorHAnsi" w:cs="Calibri"/>
          <w:noProof/>
          <w:sz w:val="22"/>
          <w:szCs w:val="22"/>
          <w:lang w:eastAsia="en-GB"/>
        </w:rPr>
        <w:drawing>
          <wp:inline distT="0" distB="0" distL="0" distR="0" wp14:anchorId="31FC2FA7" wp14:editId="32BCF54E">
            <wp:extent cx="5401945" cy="4740910"/>
            <wp:effectExtent l="0" t="0" r="825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traq workflow diagram.jpg"/>
                    <pic:cNvPicPr/>
                  </pic:nvPicPr>
                  <pic:blipFill>
                    <a:blip r:embed="rId22">
                      <a:extLst>
                        <a:ext uri="{28A0092B-C50C-407E-A947-70E740481C1C}">
                          <a14:useLocalDpi xmlns:a14="http://schemas.microsoft.com/office/drawing/2010/main" val="0"/>
                        </a:ext>
                      </a:extLst>
                    </a:blip>
                    <a:stretch>
                      <a:fillRect/>
                    </a:stretch>
                  </pic:blipFill>
                  <pic:spPr>
                    <a:xfrm>
                      <a:off x="0" y="0"/>
                      <a:ext cx="5401945" cy="4740910"/>
                    </a:xfrm>
                    <a:prstGeom prst="rect">
                      <a:avLst/>
                    </a:prstGeom>
                  </pic:spPr>
                </pic:pic>
              </a:graphicData>
            </a:graphic>
          </wp:inline>
        </w:drawing>
      </w:r>
    </w:p>
    <w:p w14:paraId="4ACE14DA" w14:textId="77777777" w:rsidR="00D20D2A" w:rsidRDefault="00436CD0" w:rsidP="00D20D2A">
      <w:pPr>
        <w:spacing w:line="360" w:lineRule="auto"/>
        <w:rPr>
          <w:rFonts w:asciiTheme="minorHAnsi" w:eastAsia="Calibri" w:hAnsiTheme="minorHAnsi" w:cs="Calibri"/>
          <w:sz w:val="22"/>
          <w:szCs w:val="22"/>
          <w:lang w:eastAsia="en-GB"/>
        </w:rPr>
      </w:pPr>
      <w:r w:rsidRPr="00C44D8C">
        <w:rPr>
          <w:rFonts w:asciiTheme="minorHAnsi" w:eastAsia="Calibri" w:hAnsiTheme="minorHAnsi" w:cs="Calibri"/>
          <w:b/>
          <w:sz w:val="22"/>
          <w:szCs w:val="22"/>
          <w:lang w:eastAsia="en-GB"/>
        </w:rPr>
        <w:t>Fig. 2.10</w:t>
      </w:r>
      <w:r w:rsidRPr="00C44D8C">
        <w:rPr>
          <w:rFonts w:asciiTheme="minorHAnsi" w:eastAsia="Calibri" w:hAnsiTheme="minorHAnsi" w:cs="Calibri"/>
          <w:sz w:val="22"/>
          <w:szCs w:val="22"/>
          <w:lang w:eastAsia="en-GB"/>
        </w:rPr>
        <w:t xml:space="preserve"> A typical iTRAQ workflow. The different intensities of each reporter ion in the depicted MS/MS spectrum in this diagram provides </w:t>
      </w:r>
      <w:r w:rsidRPr="00C44D8C">
        <w:rPr>
          <w:rFonts w:asciiTheme="minorHAnsi" w:hAnsiTheme="minorHAnsi"/>
          <w:color w:val="000000"/>
          <w:sz w:val="22"/>
          <w:szCs w:val="22"/>
          <w:lang w:eastAsia="en-GB"/>
        </w:rPr>
        <w:t>direct indication of the relative abundance of a protein in the sample.</w:t>
      </w:r>
      <w:r w:rsidRPr="00C44D8C">
        <w:rPr>
          <w:rFonts w:asciiTheme="minorHAnsi" w:eastAsia="Calibri" w:hAnsiTheme="minorHAnsi" w:cs="Calibri"/>
          <w:sz w:val="22"/>
          <w:szCs w:val="22"/>
          <w:lang w:eastAsia="en-GB"/>
        </w:rPr>
        <w:t xml:space="preserve"> </w:t>
      </w:r>
      <w:bookmarkStart w:id="67" w:name="_Toc462575284"/>
    </w:p>
    <w:p w14:paraId="092C2CD7" w14:textId="77777777" w:rsidR="00D20D2A" w:rsidRDefault="00D20D2A" w:rsidP="00D20D2A">
      <w:pPr>
        <w:spacing w:line="360" w:lineRule="auto"/>
        <w:rPr>
          <w:rFonts w:asciiTheme="minorHAnsi" w:eastAsia="Calibri" w:hAnsiTheme="minorHAnsi" w:cs="Calibri"/>
          <w:sz w:val="22"/>
          <w:szCs w:val="22"/>
          <w:lang w:eastAsia="en-GB"/>
        </w:rPr>
      </w:pPr>
    </w:p>
    <w:p w14:paraId="448719B0" w14:textId="5F02CAD5" w:rsidR="00436CD0" w:rsidRPr="00C44D8C" w:rsidRDefault="00831783" w:rsidP="00D20D2A">
      <w:pPr>
        <w:pStyle w:val="Heading7"/>
        <w:rPr>
          <w:lang w:eastAsia="en-GB"/>
        </w:rPr>
      </w:pPr>
      <w:r>
        <w:rPr>
          <w:lang w:eastAsia="en-GB"/>
        </w:rPr>
        <w:t>2.5.3</w:t>
      </w:r>
      <w:r w:rsidR="00436CD0" w:rsidRPr="00C44D8C">
        <w:rPr>
          <w:lang w:eastAsia="en-GB"/>
        </w:rPr>
        <w:t>.4.6. Archaeal proteomics</w:t>
      </w:r>
      <w:bookmarkEnd w:id="67"/>
      <w:r w:rsidR="00436CD0" w:rsidRPr="00C44D8C">
        <w:rPr>
          <w:lang w:eastAsia="en-GB"/>
        </w:rPr>
        <w:t xml:space="preserve"> </w:t>
      </w:r>
    </w:p>
    <w:p w14:paraId="0DF15825" w14:textId="650F346F" w:rsidR="00436CD0" w:rsidRPr="00C44D8C" w:rsidRDefault="00436CD0" w:rsidP="00436CD0">
      <w:pPr>
        <w:spacing w:line="360" w:lineRule="auto"/>
        <w:rPr>
          <w:rFonts w:asciiTheme="minorHAnsi" w:eastAsia="Arial" w:hAnsiTheme="minorHAnsi" w:cs="Arial"/>
          <w:i/>
          <w:color w:val="000000"/>
          <w:sz w:val="22"/>
          <w:szCs w:val="22"/>
          <w:lang w:eastAsia="en-GB"/>
        </w:rPr>
      </w:pPr>
      <w:r w:rsidRPr="00C44D8C">
        <w:rPr>
          <w:rFonts w:asciiTheme="minorHAnsi" w:eastAsia="Calibri" w:hAnsiTheme="minorHAnsi" w:cs="Calibri"/>
          <w:color w:val="000000"/>
          <w:sz w:val="22"/>
          <w:szCs w:val="22"/>
          <w:lang w:eastAsia="en-GB"/>
        </w:rPr>
        <w:t xml:space="preserve">As is clear, the process of proteomics is a complex one, but it has developed rapidly in the face of recent advances in scientific instrumentation and analysis, and now forms an important part of a microbiologist’s repertoire of tools for examining biofilm formation </w:t>
      </w:r>
      <w:r w:rsidR="007207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"10.1186/gb-2003-4-6-219", "ISBN" : "1465-6914 (Electronic)\\n1465-6906 (Linking)", "ISSN" : "1465-6914", "PMID" : "12801407", "abstract" : "Bacterial communities that are attached to a surface, so-called biofilms, and their inherent resistance to antimicrobial agents are a cause of many persistent and chronic bacterial infections. Recent genomic and proteomic studies have identified many of the genes and gene products differentially expressed during biofilm formation, revealing the complexity of this developmental process.", "author" : [ { "dropping-particle" : "", "family" : "Sauer", "given" : "Karin", "non-dropping-particle" : "", "parse-names" : false, "suffix" : "" } ], "container-title" : "Genome biology", "id" : "ITEM-1", "issue" : "6", "issued" : { "date-parts" : [ [ "2003" ] ] }, "page" : "219", "title" : "The genomics and proteomics of biofilm formation.", "type" : "article-journal", "volume" : "4" }, "uris" : [ "http://www.mendeley.com/documents/?uuid=e53b96bd-22f5-437a-a6ce-2a7bbe7f8082" ] } ], "mendeley" : { "formattedCitation" : "[166]", "plainTextFormattedCitation" : "[166]", "previouslyFormattedCitation" : "[166]" }, "properties" : { "noteIndex" : 0 }, "schema" : "https://github.com/citation-style-language/schema/raw/master/csl-citation.json" }</w:instrText>
      </w:r>
      <w:r w:rsidR="007207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[166]</w:t>
      </w:r>
      <w:r w:rsidR="007207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However, proteomics is still a relatively new research area for studying archaea owing to the challenges involved in cultivating archaeal species for proteomic manipulation </w:t>
      </w:r>
      <w:r w:rsidR="007207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"10.1016/j.mib.2012.02.002", "ISBN" : "1369-5274", "ISSN" : "13695274", "PMID" : "22386447", "abstract" : "Archaea display amazing physiological properties that are of interest to understand at the molecular level including the ability to thrive at extreme environmental conditions, the presence of novel metabolic pathways (e.g. methanogenesis, methylaspartate cycle) and the use of eukaryotic-like protein machineries for basic cellular functions. Coupling traditional genetic and biochemical approaches with advanced technologies, such as genomics and proteomics, provides an avenue for scientists to discover new aspects related to the molecular physiology of archaea. This review emphasizes the unusual properties of archaeal proteomes and how high-throughput and specialized mass spectrometry-based proteomic studies have provided insight into the molecular properties of archaeal cells. ?? 2012 Elsevier Ltd.", "author" : [ { "dropping-particle" : "", "family" : "Maupin-Furlow", "given" : "Julie a.", "non-dropping-particle" : "", "parse-names" : false, "suffix" : "" }, { "dropping-particle" : "", "family" : "Humbard", "given" : "Matthew a.", "non-dropping-particle" : "", "parse-names" : false, "suffix" : "" }, { "dropping-particle" : "", "family" : "Kirkland", "given" : "Phillip Aaron", "non-dropping-particle" : "", "parse-names" : false, "suffix" : "" } ], "container-title" : "Current Opinion in Microbiology", "id" : "ITEM-1", "issue" : "3", "issued" : { "date-parts" : [ [ "2012" ] ] }, "page" : "351-356", "publisher" : "Elsevier Ltd", "title" : "Extreme challenges and advances in archaeal proteomics", "type" : "article-journal", "volume" : "15" }, "uris" : [ "http://www.mendeley.com/documents/?uuid=e8e6ae4d-80b5-4fef-8de8-ba054e1e9138" ] } ], "mendeley" : { "formattedCitation" : "[167]", "plainTextFormattedCitation" : "[167]", "previouslyFormattedCitation" : "[167]" }, "properties" : { "noteIndex" : 0 }, "schema" : "https://github.com/citation-style-language/schema/raw/master/csl-citation.json" }</w:instrText>
      </w:r>
      <w:r w:rsidR="007207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[167]</w:t>
      </w:r>
      <w:r w:rsidR="007207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A search on Web of Science (</w:t>
      </w:r>
      <w:r w:rsidRPr="00C44D8C">
        <w:rPr>
          <w:rFonts w:asciiTheme="minorHAnsi" w:eastAsia="Calibri" w:hAnsiTheme="minorHAnsi" w:cs="Calibri"/>
          <w:i/>
          <w:color w:val="000000"/>
          <w:sz w:val="22"/>
          <w:szCs w:val="22"/>
          <w:lang w:eastAsia="en-GB"/>
        </w:rPr>
        <w:t>www.webofknowledge.com</w:t>
      </w:r>
      <w:r w:rsidRPr="00C44D8C">
        <w:rPr>
          <w:rFonts w:asciiTheme="minorHAnsi" w:eastAsia="Calibri" w:hAnsiTheme="minorHAnsi" w:cs="Calibri"/>
          <w:color w:val="000000"/>
          <w:sz w:val="22"/>
          <w:szCs w:val="22"/>
          <w:lang w:eastAsia="en-GB"/>
        </w:rPr>
        <w:t xml:space="preserve">; accessed 9 September 2016) reveals only 136 journal articles on the proteomic analysis of archaea, compared to 2122 journal articles for bacteria. To date, there are only 24 journal articles on the proteomic analysis of </w:t>
      </w:r>
      <w:r w:rsidRPr="00C44D8C">
        <w:rPr>
          <w:rFonts w:asciiTheme="minorHAnsi" w:eastAsia="Calibri" w:hAnsiTheme="minorHAnsi" w:cs="Calibri"/>
          <w:i/>
          <w:color w:val="000000"/>
          <w:sz w:val="22"/>
          <w:szCs w:val="22"/>
          <w:lang w:eastAsia="en-GB"/>
        </w:rPr>
        <w:t>Methanosarcina</w:t>
      </w:r>
      <w:r w:rsidRPr="00C44D8C">
        <w:rPr>
          <w:rFonts w:asciiTheme="minorHAnsi" w:eastAsia="Calibri" w:hAnsiTheme="minorHAnsi" w:cs="Calibri"/>
          <w:color w:val="000000"/>
          <w:sz w:val="22"/>
          <w:szCs w:val="22"/>
          <w:lang w:eastAsia="en-GB"/>
        </w:rPr>
        <w:t>, with no</w:t>
      </w:r>
      <w:r w:rsidR="0075771C">
        <w:rPr>
          <w:rFonts w:asciiTheme="minorHAnsi" w:eastAsia="Calibri" w:hAnsiTheme="minorHAnsi" w:cs="Calibri"/>
          <w:color w:val="000000"/>
          <w:sz w:val="22"/>
          <w:szCs w:val="22"/>
          <w:lang w:eastAsia="en-GB"/>
        </w:rPr>
        <w:t xml:space="preserve"> known</w:t>
      </w:r>
      <w:r w:rsidRPr="00C44D8C">
        <w:rPr>
          <w:rFonts w:asciiTheme="minorHAnsi" w:eastAsia="Calibri" w:hAnsiTheme="minorHAnsi" w:cs="Calibri"/>
          <w:color w:val="000000"/>
          <w:sz w:val="22"/>
          <w:szCs w:val="22"/>
          <w:lang w:eastAsia="en-GB"/>
        </w:rPr>
        <w:t xml:space="preserve"> recorded published papers on the </w:t>
      </w:r>
      <w:r w:rsidRPr="00C44D8C">
        <w:rPr>
          <w:rFonts w:asciiTheme="minorHAnsi" w:eastAsia="Calibri" w:hAnsiTheme="minorHAnsi" w:cs="Calibri"/>
          <w:color w:val="000000"/>
          <w:sz w:val="22"/>
          <w:szCs w:val="22"/>
          <w:lang w:eastAsia="en-GB"/>
        </w:rPr>
        <w:lastRenderedPageBreak/>
        <w:t xml:space="preserve">proteomic analysis of biofilm formation in </w:t>
      </w:r>
      <w:r w:rsidRPr="00C44D8C">
        <w:rPr>
          <w:rFonts w:asciiTheme="minorHAnsi" w:eastAsia="Calibri" w:hAnsiTheme="minorHAnsi" w:cs="Calibri"/>
          <w:i/>
          <w:color w:val="000000"/>
          <w:sz w:val="22"/>
          <w:szCs w:val="22"/>
          <w:lang w:eastAsia="en-GB"/>
        </w:rPr>
        <w:t xml:space="preserve">M. barkeri </w:t>
      </w:r>
      <w:r w:rsidRPr="00C44D8C">
        <w:rPr>
          <w:rFonts w:asciiTheme="minorHAnsi" w:eastAsia="Calibri" w:hAnsiTheme="minorHAnsi" w:cs="Calibri"/>
          <w:color w:val="000000"/>
          <w:sz w:val="22"/>
          <w:szCs w:val="22"/>
          <w:lang w:eastAsia="en-GB"/>
        </w:rPr>
        <w:t xml:space="preserve">(Web of Science, </w:t>
      </w:r>
      <w:r w:rsidRPr="00C44D8C">
        <w:rPr>
          <w:rFonts w:asciiTheme="minorHAnsi" w:eastAsia="Calibri" w:hAnsiTheme="minorHAnsi" w:cs="Calibri"/>
          <w:i/>
          <w:color w:val="000000"/>
          <w:sz w:val="22"/>
          <w:szCs w:val="22"/>
          <w:lang w:eastAsia="en-GB"/>
        </w:rPr>
        <w:t>www.webofknowledge.com</w:t>
      </w:r>
      <w:r w:rsidRPr="00C44D8C">
        <w:rPr>
          <w:rFonts w:asciiTheme="minorHAnsi" w:eastAsia="Calibri" w:hAnsiTheme="minorHAnsi" w:cs="Calibri"/>
          <w:color w:val="000000"/>
          <w:sz w:val="22"/>
          <w:szCs w:val="22"/>
          <w:lang w:eastAsia="en-GB"/>
        </w:rPr>
        <w:t>, accessed 9 September 2016).</w:t>
      </w:r>
    </w:p>
    <w:p w14:paraId="7ECF49CC" w14:textId="6ECC6E3B"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r w:rsidRPr="00C44D8C">
        <w:rPr>
          <w:rFonts w:asciiTheme="minorHAnsi" w:eastAsia="Calibri" w:hAnsiTheme="minorHAnsi" w:cs="Calibri"/>
          <w:color w:val="000000"/>
          <w:sz w:val="22"/>
          <w:szCs w:val="22"/>
          <w:lang w:eastAsia="en-GB"/>
        </w:rPr>
        <w:t xml:space="preserve">The limited proteomic work that has been carried out in studying the methanogen archaea has revealed various interesting biological functions in response to different growth conditions. Proteomics is an indispensable tool that has revealed the differential expression of proteins involved in methanogenesis for </w:t>
      </w:r>
      <w:r w:rsidRPr="00C44D8C">
        <w:rPr>
          <w:rFonts w:asciiTheme="minorHAnsi" w:eastAsia="Calibri" w:hAnsiTheme="minorHAnsi" w:cs="Calibri"/>
          <w:i/>
          <w:color w:val="000000"/>
          <w:sz w:val="22"/>
          <w:szCs w:val="22"/>
          <w:lang w:eastAsia="en-GB"/>
        </w:rPr>
        <w:t xml:space="preserve">Methanococcus maripaludis </w:t>
      </w:r>
      <w:r w:rsidRPr="00C44D8C">
        <w:rPr>
          <w:rFonts w:asciiTheme="minorHAnsi" w:eastAsia="Calibri" w:hAnsiTheme="minorHAnsi" w:cs="Calibri"/>
          <w:color w:val="000000"/>
          <w:sz w:val="22"/>
          <w:szCs w:val="22"/>
          <w:lang w:eastAsia="en-GB"/>
        </w:rPr>
        <w:t>when grown in limiting hydrogen conditions</w:t>
      </w:r>
      <w:r w:rsidR="007207B4">
        <w:rPr>
          <w:rFonts w:asciiTheme="minorHAnsi" w:eastAsia="Calibri" w:hAnsiTheme="minorHAnsi" w:cs="Calibri"/>
          <w:color w:val="000000"/>
          <w:sz w:val="22"/>
          <w:szCs w:val="22"/>
          <w:lang w:eastAsia="en-GB"/>
        </w:rPr>
        <w:t xml:space="preserve"> </w:t>
      </w:r>
      <w:r w:rsidR="007207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"10.1186/1471-2180-9-149", "ISBN" : "1471-2180", "ISSN" : "1471-2180", "PMID" : "19627604", "abstract" : "BACKGROUND: Methanogenic Archaea play key metabolic roles in anaerobic ecosystems, where they use H2 and other substrates to produce methane. Methanococcus maripaludis is a model for studies of the global response to nutrient limitations. RESULTS: We used high-coverage quantitative proteomics to determine the response of M. maripaludis to growth-limiting levels of H2, nitrogen, and phosphate. Six to ten percent of the proteome changed significantly with each nutrient limitation. H2 limitation increased the abundance of a wide variety of proteins involved in methanogenesis. However, one protein involved in methanogenesis decreased: a low-affinity [Fe] hydrogenase, which may dominate over a higher-affinity mechanism when H2 is abundant. Nitrogen limitation increased known nitrogen assimilation proteins. In addition, the increased abundance of molybdate transport proteins suggested they function for nitrogen fixation. An apparent regulon governed by the euryarchaeal nitrogen regulator NrpR is discussed. Phosphate limitation increased the abundance of three different sets of proteins, suggesting that all three function in phosphate transport. CONCLUSION: The global proteomic response of M. maripaludis to each nutrient limitation suggests a wider response than previously appreciated. The results give new insight into the function of several proteins, as well as providing information that should contribute to the formulation of a regulatory network model.", "author" : [ { "dropping-particle" : "", "family" : "Xia", "given" : "Qiangwei", "non-dropping-particle" : "", "parse-names" : false, "suffix" : "" }, { "dropping-particle" : "", "family" : "Wang", "given" : "Tiansong", "non-dropping-particle" : "", "parse-names" : false, "suffix" : "" }, { "dropping-particle" : "", "family" : "Hendrickson", "given" : "Erik L", "non-dropping-particle" : "", "parse-names" : false, "suffix" : "" }, { "dropping-particle" : "", "family" : "Lie", "given" : "Thomas J", "non-dropping-particle" : "", "parse-names" : false, "suffix" : "" }, { "dropping-particle" : "", "family" : "Hackett", "given" : "Murray", "non-dropping-particle" : "", "parse-names" : false, "suffix" : "" }, { "dropping-particle" : "", "family" : "Leigh", "given" : "John a", "non-dropping-particle" : "", "parse-names" : false, "suffix" : "" } ], "container-title" : "BMC microbiology", "id" : "ITEM-1", "issued" : { "date-parts" : [ [ "2009" ] ] }, "page" : "149", "title" : "Quantitative proteomics of nutrient limitation in the hydrogenotrophic methanogen Methanococcus maripaludis.", "type" : "article-journal", "volume" : "9" }, "uris" : [ "http://www.mendeley.com/documents/?uuid=36b95c6c-4cdd-4cef-a2ea-7755d8a18728" ] } ], "mendeley" : { "formattedCitation" : "[168]", "plainTextFormattedCitation" : "[168]", "previouslyFormattedCitation" : "[168]" }, "properties" : { "noteIndex" : 0 }, "schema" : "https://github.com/citation-style-language/schema/raw/master/csl-citation.json" }</w:instrText>
      </w:r>
      <w:r w:rsidR="007207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[168]</w:t>
      </w:r>
      <w:r w:rsidR="007207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overproduction of exopolysaccharide from </w:t>
      </w:r>
      <w:r w:rsidRPr="00C44D8C">
        <w:rPr>
          <w:rFonts w:asciiTheme="minorHAnsi" w:eastAsia="Calibri" w:hAnsiTheme="minorHAnsi" w:cs="Calibri"/>
          <w:i/>
          <w:color w:val="000000"/>
          <w:sz w:val="22"/>
          <w:szCs w:val="22"/>
          <w:lang w:eastAsia="en-GB"/>
        </w:rPr>
        <w:t xml:space="preserve">M. barkeri </w:t>
      </w:r>
      <w:r w:rsidRPr="00C44D8C">
        <w:rPr>
          <w:rFonts w:asciiTheme="minorHAnsi" w:eastAsia="Calibri" w:hAnsiTheme="minorHAnsi" w:cs="Calibri"/>
          <w:color w:val="000000"/>
          <w:sz w:val="22"/>
          <w:szCs w:val="22"/>
          <w:lang w:eastAsia="en-GB"/>
        </w:rPr>
        <w:t xml:space="preserve">when grown under conditions of desiccation </w:t>
      </w:r>
      <w:r w:rsidR="007207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"10.1128/AEM.06964-11", "ISSN" : "1098-5336", "PMID" : "22194299", "abstract" : "Viable methanogens have been detected in dry, aerobic environments such as dry reservoir sediment, dry rice paddies and aerobic desert soils, which suggests that methanogens have mechanisms for long-term survival in a desiccated state. In this study, we quantified the survival rates of the methanogenic archaeon Methanosarcina barkeri after desiccation under conditions equivalent to the driest environments on Earth and subsequent exposure to different stress factors. There was no significant loss of viability after desiccation for 28 days for cells grown with either hydrogen or the methylotrophic substrates, but recovery was affected by growth phase, with cells desiccated during the stationary phase of growth having a higher rate of recovery after desiccation. Synthesis of methanosarcinal extracellular polysaccharide (EPS) significantly increased the viability of desiccated cells under both anaerobic and aerobic conditions compared with that of non-EPS-synthesizing cells. Desiccated M. barkeri exposed to air at room temperature did not lose significant viability after 28 days, and exposure of M. barkeri to air after desiccation appeared to improve the recovery of viable cells compared with that of desiccated cells that were never exposed to air. Desiccated M. barkeri was more resistant to higher temperatures, and although resistance to oxidative conditions such as ozone and ionizing radiation was not as robust as in other desiccation-resistant microorganisms, the protection mechanisms are likely adequate to maintain cell viability during periodic exposure events. The results of this study demonstrate that after desiccation M. barkeri has the innate capability to survive extended periods of exposure to air and lethal temperatures.", "author" : [ { "dropping-particle" : "", "family" : "Anderson", "given" : "Kimberly L", "non-dropping-particle" : "", "parse-names" : false, "suffix" : "" }, { "dropping-particle" : "", "family" : "Apolinario", "given" : "Ethel E", "non-dropping-particle" : "", "parse-names" : false, "suffix" : "" }, { "dropping-particle" : "", "family" : "Sowers", "given" : "Kevin R", "non-dropping-particle" : "", "parse-names" : false, "suffix" : "" } ], "container-title" : "Applied and environmental microbiology", "id" : "ITEM-1", "issue" : "5", "issued" : { "date-parts" : [ [ "2012", "3" ] ] }, "page" : "1473-9", "title" : "Desiccation as a long-term survival mechanism for the archaeon Methanosarcina barkeri.", "type" : "article-journal", "volume" : "78" }, "uris" : [ "http://www.mendeley.com/documents/?uuid=38bc6bcf-6810-4a29-bb0d-cc4b28d4be5b" ] } ], "mendeley" : { "formattedCitation" : "[169]", "plainTextFormattedCitation" : "[169]", "previouslyFormattedCitation" : "[169]" }, "properties" : { "noteIndex" : 0 }, "schema" : "https://github.com/citation-style-language/schema/raw/master/csl-citation.json" }</w:instrText>
      </w:r>
      <w:r w:rsidR="007207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[169]</w:t>
      </w:r>
      <w:r w:rsidR="007207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differential expression of proteins involved in temperature adaptation in </w:t>
      </w:r>
      <w:r w:rsidRPr="00C44D8C">
        <w:rPr>
          <w:rFonts w:asciiTheme="minorHAnsi" w:eastAsia="Calibri" w:hAnsiTheme="minorHAnsi" w:cs="Calibri"/>
          <w:i/>
          <w:color w:val="000000"/>
          <w:sz w:val="22"/>
          <w:szCs w:val="22"/>
          <w:lang w:eastAsia="en-GB"/>
        </w:rPr>
        <w:t xml:space="preserve">M. barkeri </w:t>
      </w:r>
      <w:r w:rsidRPr="00C44D8C">
        <w:rPr>
          <w:rFonts w:asciiTheme="minorHAnsi" w:eastAsia="Calibri" w:hAnsiTheme="minorHAnsi" w:cs="Calibri"/>
          <w:color w:val="000000"/>
          <w:sz w:val="22"/>
          <w:szCs w:val="22"/>
          <w:lang w:eastAsia="en-GB"/>
        </w:rPr>
        <w:t xml:space="preserve">grown at 15°C compared to 37°C </w:t>
      </w:r>
      <w:r w:rsidR="007207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"10.1128/AEM.03787-12", "ISSN" : "1098-5336", "PMID" : "23645201", "abstract" : "Low-temperature anaerobic digestion (LTAD) technology is underpinned by a diverse microbial community. The methanogenic archaea represent a key functional group in these consortia, undertaking CO2 reduction as well as acetate and methylated C1 metabolism with subsequent biogas (40 to 60% CH4 and 30 to 50% CO2) formation. However, the cold adaptation strategies, which allow methanogens to function efficiently in LTAD, remain unclear. Here, a pure-culture proteomic approach was employed to study the functional characteristics of Methanosarcina barkeri (optimum growth temperature, 37\u00b0C), which has been detected in LTAD bioreactors. Two experimental approaches were undertaken. The first approach aimed to characterize a low-temperature shock response (LTSR) of M. barkeri DSMZ 800(T) grown at 37\u00b0C with a temperature drop to 15\u00b0C, while the second experimental approach aimed to examine the low-temperature adaptation strategies (LTAS) of the same strain when it was grown at 15\u00b0C. The latter experiment employed cell viability and growth measurements (optical density at 600 nm [OD600]), which directly compared M. barkeri cells grown at 15\u00b0C with those grown at 37\u00b0C. During the LTSR experiment, a total of 127 proteins were detected in 37\u00b0C and 15\u00b0C samples, with 20 proteins differentially expressed with respect to temperature, while in the LTAS experiment 39% of proteins identified were differentially expressed between phases of growth. Functional categories included methanogenesis, cellular information processing, and chaperones. By applying a polyphasic approach (proteomics and growth studies), insights into the low-temperature adaptation capacity of this mesophilically characterized methanogen were obtained which suggest that the metabolically diverse Methanosarcinaceae could be functionally relevant for LTAD systems.", "author" : [ { "dropping-particle" : "", "family" : "Gunnigle", "given" : "Eoin", "non-dropping-particle" : "", "parse-names" : false, "suffix" : "" }, { "dropping-particle" : "", "family" : "McCay", "given" : "Paul", "non-dropping-particle" : "", "parse-names" : false, "suffix" : "" }, { "dropping-particle" : "", "family" : "Fuszard", "given" : "Matthew", "non-dropping-particle" : "", "parse-names" : false, "suffix" : "" }, { "dropping-particle" : "", "family" : "Botting", "given" : "Catherine H", "non-dropping-particle" : "", "parse-names" : false, "suffix" : "" }, { "dropping-particle" : "", "family" : "Abram", "given" : "Florence", "non-dropping-particle" : "", "parse-names" : false, "suffix" : "" }, { "dropping-particle" : "", "family" : "O'Flaherty", "given" : "Vincent", "non-dropping-particle" : "", "parse-names" : false, "suffix" : "" } ], "container-title" : "Applied and environmental microbiology", "id" : "ITEM-1", "issue" : "14", "issued" : { "date-parts" : [ [ "2013", "7" ] ] }, "page" : "4210-9", "title" : "A functional approach to uncover the low-temperature adaptation strategies of the archaeon Methanosarcina barkeri.", "type" : "article-journal", "volume" : "79" }, "uris" : [ "http://www.mendeley.com/documents/?uuid=a1e78e2b-5465-45d9-947f-dd0983c6bf6b" ] } ], "mendeley" : { "formattedCitation" : "[161]", "plainTextFormattedCitation" : "[161]", "previouslyFormattedCitation" : "[161]" }, "properties" : { "noteIndex" : 0 }, "schema" : "https://github.com/citation-style-language/schema/raw/master/csl-citation.json" }</w:instrText>
      </w:r>
      <w:r w:rsidR="007207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[161]</w:t>
      </w:r>
      <w:r w:rsidR="007207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the</w:t>
      </w:r>
      <w:r w:rsidR="00BA6EB9">
        <w:rPr>
          <w:rFonts w:asciiTheme="minorHAnsi" w:eastAsia="Calibri" w:hAnsiTheme="minorHAnsi" w:cs="Calibri"/>
          <w:color w:val="000000"/>
          <w:sz w:val="22"/>
          <w:szCs w:val="22"/>
          <w:lang w:eastAsia="en-GB"/>
        </w:rPr>
        <w:t xml:space="preserve"> higher relative abundance</w:t>
      </w:r>
      <w:r w:rsidRPr="00C44D8C">
        <w:rPr>
          <w:rFonts w:asciiTheme="minorHAnsi" w:eastAsia="Calibri" w:hAnsiTheme="minorHAnsi" w:cs="Calibri"/>
          <w:color w:val="000000"/>
          <w:sz w:val="22"/>
          <w:szCs w:val="22"/>
          <w:lang w:eastAsia="en-GB"/>
        </w:rPr>
        <w:t xml:space="preserve"> of cell surface proteins when </w:t>
      </w:r>
      <w:r w:rsidRPr="00C44D8C">
        <w:rPr>
          <w:rFonts w:asciiTheme="minorHAnsi" w:eastAsia="Calibri" w:hAnsiTheme="minorHAnsi" w:cs="Calibri"/>
          <w:i/>
          <w:color w:val="000000"/>
          <w:sz w:val="22"/>
          <w:szCs w:val="22"/>
          <w:lang w:eastAsia="en-GB"/>
        </w:rPr>
        <w:t xml:space="preserve">Methanococcoides burtonii </w:t>
      </w:r>
      <w:r w:rsidRPr="00C44D8C">
        <w:rPr>
          <w:rFonts w:asciiTheme="minorHAnsi" w:eastAsia="Calibri" w:hAnsiTheme="minorHAnsi" w:cs="Calibri"/>
          <w:color w:val="000000"/>
          <w:sz w:val="22"/>
          <w:szCs w:val="22"/>
          <w:lang w:eastAsia="en-GB"/>
        </w:rPr>
        <w:t xml:space="preserve">was grown at 4°C compared to 23°C, the dominance of  differentially expressed oxidative stress proteins at 23°C </w:t>
      </w:r>
      <w:r w:rsidR="007207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"10.1021/pr9005102", "ISBN" : "1535-3893", "ISSN" : "15353893", "PMID" : "20039705", "abstract" : "The response of the cold-adapted (psychrophilic) methanogenic archaeon Methanococcoides burtonii to growth temperature was investigated using differential proteomics (postincorporation isobaric labeling) and tandem liquid chromatography-mass spectrometry (LC/LC-MS/MS). This is the first proteomic study of M. burtonii to include techniques that specifically enrich for both surface and membrane proteins and to assess the effects of growth temperature (4 vs 23 degrees C) and carbon source (trimethylamine vs methanol) on cellular protein levels. Numerous surface layer proteins were more abundant at 4 degrees C, indicating an extensive remodeling of the cell envelope in response to low temperature. Many of these surface proteins contain domains associated with cell adhesion. Within the cell, small proteins each composed of a single TRAM domain were recovered as important cold adaptation proteins and might serve as RNA chaperones, in an analogous manner to Csp proteins (absent from M. burtonii). Other proteins that had higher abundances at 4 degrees C can be similarly tied to relieving or resolving the adverse affects of cold growth temperature on translational capacity and correct protein folding. The proteome of M. burtonii grown at 23 degrees C was dominated by oxidative stress proteins, as well as a large number of integral membrane proteins of unknown function. This is the first truly global proteomic study of a psychrophilic archaeon and greatly expands knowledge of the cellular mechanisms underpinning cold adaptation in the Archaea.", "author" : [ { "dropping-particle" : "", "family" : "Williams", "given" : "Timothy J.", "non-dropping-particle" : "", "parse-names" : false, "suffix" : "" }, { "dropping-particle" : "", "family" : "Burg", "given" : "Dominic W.", "non-dropping-particle" : "", "parse-names" : false, "suffix" : "" }, { "dropping-particle" : "", "family" : "Ertan", "given" : "Haluk", "non-dropping-particle" : "", "parse-names" : false, "suffix" : "" }, { "dropping-particle" : "", "family" : "Raftery", "given" : "Mark J.", "non-dropping-particle" : "", "parse-names" : false, "suffix" : "" }, { "dropping-particle" : "", "family" : "Poljak", "given" : "Anne", "non-dropping-particle" : "", "parse-names" : false, "suffix" : "" }, { "dropping-particle" : "", "family" : "Guilhaus", "given" : "Michael", "non-dropping-particle" : "", "parse-names" : false, "suffix" : "" }, { "dropping-particle" : "", "family" : "Cavicchioli", "given" : "Ricardo", "non-dropping-particle" : "", "parse-names" : false, "suffix" : "" } ], "container-title" : "Journal of Proteome Research", "id" : "ITEM-1", "issue" : "2", "issued" : { "date-parts" : [ [ "2010" ] ] }, "page" : "653-663", "title" : "Global proteomic analysis of the insoluble, soluble, and supernatant fractions of the psychrophilic archaeon Methanococcoides burtonii part II: The effect of different methylated growth substrates", "type" : "article-journal", "volume" : "9" }, "uris" : [ "http://www.mendeley.com/documents/?uuid=532221f1-c31d-424f-8890-9e5290cbfd6e" ] } ], "mendeley" : { "formattedCitation" : "[162]", "plainTextFormattedCitation" : "[162]", "previouslyFormattedCitation" : "[162]" }, "properties" : { "noteIndex" : 0 }, "schema" : "https://github.com/citation-style-language/schema/raw/master/csl-citation.json" }</w:instrText>
      </w:r>
      <w:r w:rsidR="007207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[162]</w:t>
      </w:r>
      <w:r w:rsidR="007207B4">
        <w:rPr>
          <w:rFonts w:asciiTheme="minorHAnsi" w:eastAsia="Calibri" w:hAnsiTheme="minorHAnsi" w:cs="Calibri"/>
          <w:color w:val="000000"/>
          <w:sz w:val="22"/>
          <w:szCs w:val="22"/>
          <w:lang w:eastAsia="en-GB"/>
        </w:rPr>
        <w:fldChar w:fldCharType="end"/>
      </w:r>
      <w:r w:rsidR="007207B4">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and proteins involved in stress response in </w:t>
      </w:r>
      <w:r w:rsidRPr="00C44D8C">
        <w:rPr>
          <w:rFonts w:asciiTheme="minorHAnsi" w:eastAsia="Calibri" w:hAnsiTheme="minorHAnsi" w:cs="Calibri"/>
          <w:i/>
          <w:color w:val="000000"/>
          <w:sz w:val="22"/>
          <w:szCs w:val="22"/>
          <w:lang w:eastAsia="en-GB"/>
        </w:rPr>
        <w:t>Methanosarcina acetivorans</w:t>
      </w:r>
      <w:r w:rsidRPr="00C44D8C">
        <w:rPr>
          <w:rFonts w:asciiTheme="minorHAnsi" w:eastAsia="Calibri" w:hAnsiTheme="minorHAnsi" w:cs="Calibri"/>
          <w:color w:val="000000"/>
          <w:sz w:val="22"/>
          <w:szCs w:val="22"/>
          <w:lang w:eastAsia="en-GB"/>
        </w:rPr>
        <w:t xml:space="preserve"> strain C2A when grown in acetate compared to methanol </w:t>
      </w:r>
      <w:r w:rsidR="007207B4">
        <w:rPr>
          <w:rFonts w:asciiTheme="minorHAnsi" w:eastAsia="Calibri" w:hAnsiTheme="minorHAnsi" w:cs="Calibri"/>
          <w:color w:val="000000"/>
          <w:sz w:val="22"/>
          <w:szCs w:val="22"/>
          <w:lang w:eastAsia="en-GB"/>
        </w:rPr>
        <w:fldChar w:fldCharType="begin" w:fldLock="1"/>
      </w:r>
      <w:r w:rsidR="00AB0CFE">
        <w:rPr>
          <w:rFonts w:asciiTheme="minorHAnsi" w:eastAsia="Calibri" w:hAnsiTheme="minorHAnsi" w:cs="Calibri"/>
          <w:color w:val="000000"/>
          <w:sz w:val="22"/>
          <w:szCs w:val="22"/>
          <w:lang w:eastAsia="en-GB"/>
        </w:rPr>
        <w:instrText>ADDIN CSL_CITATION { "citationItems" : [ { "id" : "ITEM-1", "itemData" : { "DOI" : "10.1021/pr049832c", "ISBN" : "1535-3893", "ISSN" : "15353893", "PMID" : "15707366", "abstract" : "Methanosarcina acetivorans is representative of the genus that is distinguished from all other methane-producing genera by extensive metabolic diversity predicted from the large genome. In Part I of this study, two-dimensional gel electrophoresis and MALDI-TOF-TOF mass spectrometry was used to investigate the proteome of methanol- or acetate-grown M. acetivorans, with the goal of an initial characterization of the diversity of the proteins synthesized. A total of 412 proteins were identified, representing nearly 10% of the ORFs, with nearly 30% conserved hypothetical or hypothetical. Of the 412 proteins, 188 were found in both acetate- and methanol-grown cells, 122 were detected only in acetate-grown cells, and 102 only in methanol-grown cells. The results revealed the expression of a remarkable number of redundant genes which encode enzymes involved in the pathways for methanogenesis from methanol or acetate, suggesting an important role for the unusually high percentage of redundant genes in Methanosarcina species. Evidence was obtained for synthesis of a sodium-transporting oxidoreductase in acetate-grown cells, with the potential to function in energy conservation. Several transcriptional regulatory proteins were identified that also function in the Bacteria domain, raising questions regarding their interaction with the Archaea/Eucarya-type basal transcription apparatus. In addition, a significant number of proteins involved in protein folding were shown to be synthesized in methanol- and acetate-grown cells. These studies provide the first examination of the protein diversity of M. acetivorans.", "author" : [ { "dropping-particle" : "", "family" : "Li", "given" : "Qingbo", "non-dropping-particle" : "", "parse-names" : false, "suffix" : "" }, { "dropping-particle" : "", "family" : "Li", "given" : "Lingyun", "non-dropping-particle" : "", "parse-names" : false, "suffix" : "" }, { "dropping-particle" : "", "family" : "Rejtar", "given" : "Tomas", "non-dropping-particle" : "", "parse-names" : false, "suffix" : "" }, { "dropping-particle" : "", "family" : "Karger", "given" : "Barry L.", "non-dropping-particle" : "", "parse-names" : false, "suffix" : "" }, { "dropping-particle" : "", "family" : "Ferry", "given" : "James G.", "non-dropping-particle" : "", "parse-names" : false, "suffix" : "" } ], "container-title" : "Journal of Proteome Research", "id" : "ITEM-1", "issued" : { "date-parts" : [ [ "2005" ] ] }, "page" : "112-128", "title" : "Proteome of Methanosarcina acetivorans part I: An expanded view of the biology of the cell", "type" : "article-journal", "volume" : "4" }, "uris" : [ "http://www.mendeley.com/documents/?uuid=65fcecdd-f47f-4e4b-96cc-dd5537762dad" ] }, { "id" : "ITEM-2", "itemData" : { "DOI" : "10.1021/pr049831k", "ISBN" : "1535-3893", "ISSN" : "15353893", "PMID" : "15707367", "abstract" : "Methanosarcina acetivorans is an archaeon isolated from marine sediments which utilizes a diversity of substrates for growth and methanogenesis. Part I of a two-part investigation has profiled proteins of this microorganism cultured with both methanol and acetate as growth substrates, utilizing two-dimensional gel electrophoresis and MALDI-TOF-TOF mass spectrometry. In this report, Part II, the analyses were extended to identify 34 proteins found to be present in different amounts between methanol- and acetate-grown M. acetivorans. Among these proteins are enzymes which function in pathways for methanogenesis from either acetate or methanol. Several of the 34 proteins were determined to have redundant functions based on annotations of the genomic sequence. Enzymes which function in ATP synthesis and steps common to both methanogenic pathways were elevated in acetate- versus methanol-grown cells, whereas enzymes that have a more general function in protein synthesis were in greater amounts in methanol- compared to acetate-grown cells. Several group I chaperonins were present in greater amounts in methanol- versus acetate-grown cells, whereas lower amounts of several stress related proteins were found in methanol- versus acetate-grown cells. The potential physiological basis for these novel patterns of protein synthesis are discussed.", "author" : [ { "dropping-particle" : "", "family" : "Li", "given" : "Qingbo", "non-dropping-particle" : "", "parse-names" : false, "suffix" : "" }, { "dropping-particle" : "", "family" : "Li", "given" : "Lingyun", "non-dropping-particle" : "", "parse-names" : false, "suffix" : "" }, { "dropping-particle" : "", "family" : "Rejtar", "given" : "Tomas", "non-dropping-particle" : "", "parse-names" : false, "suffix" : "" }, { "dropping-particle" : "", "family" : "Karger", "given" : "Barry L.", "non-dropping-particle" : "", "parse-names" : false, "suffix" : "" }, { "dropping-particle" : "", "family" : "Ferry", "given" : "James G.", "non-dropping-particle" : "", "parse-names" : false, "suffix" : "" } ], "container-title" : "Journal of Proteome Research", "id" : "ITEM-2", "issue" : "1", "issued" : { "date-parts" : [ [ "2005" ] ] }, "page" : "129-135", "title" : "Proteome of Methanosarcina acetivorans part II: Comparison of protein levels in acetate- and methanol-grown cells", "type" : "article-journal", "volume" : "4" }, "uris" : [ "http://www.mendeley.com/documents/?uuid=f7f884d2-0040-4a25-8633-e619c096a434" ] } ], "mendeley" : { "formattedCitation" : "[170,171]", "plainTextFormattedCitation" : "[170,171]", "previouslyFormattedCitation" : "[170,171]" }, "properties" : { "noteIndex" : 0 }, "schema" : "https://github.com/citation-style-language/schema/raw/master/csl-citation.json" }</w:instrText>
      </w:r>
      <w:r w:rsidR="007207B4">
        <w:rPr>
          <w:rFonts w:asciiTheme="minorHAnsi" w:eastAsia="Calibri" w:hAnsiTheme="minorHAnsi" w:cs="Calibri"/>
          <w:color w:val="000000"/>
          <w:sz w:val="22"/>
          <w:szCs w:val="22"/>
          <w:lang w:eastAsia="en-GB"/>
        </w:rPr>
        <w:fldChar w:fldCharType="separate"/>
      </w:r>
      <w:r w:rsidR="00BB3D6F" w:rsidRPr="00BB3D6F">
        <w:rPr>
          <w:rFonts w:asciiTheme="minorHAnsi" w:eastAsia="Calibri" w:hAnsiTheme="minorHAnsi" w:cs="Calibri"/>
          <w:noProof/>
          <w:color w:val="000000"/>
          <w:sz w:val="22"/>
          <w:szCs w:val="22"/>
          <w:lang w:eastAsia="en-GB"/>
        </w:rPr>
        <w:t>[170,171]</w:t>
      </w:r>
      <w:r w:rsidR="007207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w:t>
      </w:r>
    </w:p>
    <w:p w14:paraId="7FB766FB" w14:textId="1DD49CF5" w:rsidR="00436CD0" w:rsidRPr="007207B4" w:rsidRDefault="00436CD0" w:rsidP="007207B4">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 xml:space="preserve">Proteomics has a wide-ranging applicability in microbiological research, and can give insights into the adaptive responses and biological mechanisms underlying various microbial behavioural responses to a changing environment. This holds great promise for analysing the biofilm formation of </w:t>
      </w:r>
      <w:r w:rsidRPr="00C44D8C">
        <w:rPr>
          <w:rFonts w:asciiTheme="minorHAnsi" w:eastAsia="Calibri" w:hAnsiTheme="minorHAnsi" w:cs="Calibri"/>
          <w:i/>
          <w:color w:val="000000"/>
          <w:sz w:val="22"/>
          <w:szCs w:val="22"/>
          <w:lang w:eastAsia="en-GB"/>
        </w:rPr>
        <w:t xml:space="preserve">M. barkeri </w:t>
      </w:r>
      <w:r w:rsidRPr="00C44D8C">
        <w:rPr>
          <w:rFonts w:asciiTheme="minorHAnsi" w:eastAsia="Calibri" w:hAnsiTheme="minorHAnsi" w:cs="Calibri"/>
          <w:color w:val="000000"/>
          <w:sz w:val="22"/>
          <w:szCs w:val="22"/>
          <w:lang w:eastAsia="en-GB"/>
        </w:rPr>
        <w:t>to different support materials, which is</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an area that has not yet been examined in great detail.</w:t>
      </w:r>
      <w:r w:rsidRPr="00C44D8C">
        <w:rPr>
          <w:rFonts w:asciiTheme="minorHAnsi" w:eastAsia="Calibri" w:hAnsiTheme="minorHAnsi" w:cs="Calibri"/>
          <w:i/>
          <w:color w:val="000000"/>
          <w:sz w:val="22"/>
          <w:szCs w:val="22"/>
          <w:lang w:eastAsia="en-GB"/>
        </w:rPr>
        <w:t xml:space="preserve"> </w:t>
      </w:r>
    </w:p>
    <w:p w14:paraId="39F6991B" w14:textId="5ECA9C8A" w:rsidR="00436CD0" w:rsidRPr="00831783" w:rsidRDefault="00831783" w:rsidP="00831783">
      <w:pPr>
        <w:pStyle w:val="Heading1"/>
      </w:pPr>
      <w:bookmarkStart w:id="68" w:name="_Toc462575285"/>
      <w:r w:rsidRPr="00831783">
        <w:t xml:space="preserve">2.5. </w:t>
      </w:r>
      <w:r w:rsidR="00436CD0" w:rsidRPr="00831783">
        <w:t>Conclusions</w:t>
      </w:r>
      <w:bookmarkEnd w:id="68"/>
    </w:p>
    <w:p w14:paraId="445C6644" w14:textId="46B2050C"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Biofilm formation is a complex developmental process that has garnered much scientific interest in the research community. In order to fully characterise biofilm formation, the physicochemical and biological factors that are key in the initial reversible and later irreversible steps of biofilm formation need to be considered</w:t>
      </w:r>
      <w:r w:rsidR="007207B4">
        <w:rPr>
          <w:rFonts w:asciiTheme="minorHAnsi" w:eastAsia="Calibri" w:hAnsiTheme="minorHAnsi" w:cs="Calibri"/>
          <w:color w:val="000000"/>
          <w:sz w:val="22"/>
          <w:szCs w:val="22"/>
          <w:lang w:eastAsia="en-GB"/>
        </w:rPr>
        <w:t xml:space="preserve"> </w:t>
      </w:r>
      <w:r w:rsidR="007207B4">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7207B4">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[63]</w:t>
      </w:r>
      <w:r w:rsidR="007207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This knowledge is generally lacking in archaea </w:t>
      </w:r>
      <w:r w:rsidR="007207B4">
        <w:rPr>
          <w:rFonts w:asciiTheme="minorHAnsi" w:eastAsia="Calibri" w:hAnsiTheme="minorHAnsi" w:cs="Calibri"/>
          <w:color w:val="000000"/>
          <w:sz w:val="22"/>
          <w:szCs w:val="22"/>
          <w:lang w:eastAsia="en-GB"/>
        </w:rPr>
        <w:fldChar w:fldCharType="begin" w:fldLock="1"/>
      </w:r>
      <w:r w:rsidR="0004604A">
        <w:rPr>
          <w:rFonts w:asciiTheme="minorHAnsi" w:eastAsia="Calibri" w:hAnsiTheme="minorHAnsi" w:cs="Calibri"/>
          <w:color w:val="000000"/>
          <w:sz w:val="22"/>
          <w:szCs w:val="22"/>
          <w:lang w:eastAsia="en-GB"/>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"mendeley" : { "formattedCitation" : "[20]", "plainTextFormattedCitation" : "[20]", "previouslyFormattedCitation" : "[20]" }, "properties" : { "noteIndex" : 0 }, "schema" : "https://github.com/citation-style-language/schema/raw/master/csl-citation.json" }</w:instrText>
      </w:r>
      <w:r w:rsidR="007207B4">
        <w:rPr>
          <w:rFonts w:asciiTheme="minorHAnsi" w:eastAsia="Calibri" w:hAnsiTheme="minorHAnsi" w:cs="Calibri"/>
          <w:color w:val="000000"/>
          <w:sz w:val="22"/>
          <w:szCs w:val="22"/>
          <w:lang w:eastAsia="en-GB"/>
        </w:rPr>
        <w:fldChar w:fldCharType="separate"/>
      </w:r>
      <w:r w:rsidR="007207B4" w:rsidRPr="007207B4">
        <w:rPr>
          <w:rFonts w:asciiTheme="minorHAnsi" w:eastAsia="Calibri" w:hAnsiTheme="minorHAnsi" w:cs="Calibri"/>
          <w:noProof/>
          <w:color w:val="000000"/>
          <w:sz w:val="22"/>
          <w:szCs w:val="22"/>
          <w:lang w:eastAsia="en-GB"/>
        </w:rPr>
        <w:t>[20]</w:t>
      </w:r>
      <w:r w:rsidR="007207B4">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and little is known of the processes involved during biofilm formation of </w:t>
      </w:r>
      <w:r w:rsidRPr="00C44D8C">
        <w:rPr>
          <w:rFonts w:asciiTheme="minorHAnsi" w:eastAsia="Calibri" w:hAnsiTheme="minorHAnsi" w:cs="Calibri"/>
          <w:i/>
          <w:color w:val="000000"/>
          <w:sz w:val="22"/>
          <w:szCs w:val="22"/>
          <w:lang w:eastAsia="en-GB"/>
        </w:rPr>
        <w:t>M. barkeri</w:t>
      </w:r>
      <w:r w:rsidRPr="00C44D8C">
        <w:rPr>
          <w:rFonts w:asciiTheme="minorHAnsi" w:eastAsia="Calibri" w:hAnsiTheme="minorHAnsi" w:cs="Calibri"/>
          <w:color w:val="000000"/>
          <w:sz w:val="22"/>
          <w:szCs w:val="22"/>
          <w:lang w:eastAsia="en-GB"/>
        </w:rPr>
        <w:t xml:space="preserve"> to different support materials.</w:t>
      </w:r>
    </w:p>
    <w:p w14:paraId="107DDBB3" w14:textId="2C2FC98D" w:rsidR="007E3308" w:rsidRPr="00C44D8C" w:rsidRDefault="00436CD0" w:rsidP="007E3308">
      <w:pPr>
        <w:spacing w:line="360" w:lineRule="auto"/>
        <w:ind w:firstLine="720"/>
        <w:rPr>
          <w:rFonts w:asciiTheme="minorHAnsi" w:eastAsia="Calibri" w:hAnsiTheme="minorHAnsi" w:cs="Calibri"/>
          <w:sz w:val="22"/>
          <w:szCs w:val="22"/>
        </w:rPr>
      </w:pPr>
      <w:r w:rsidRPr="00C44D8C">
        <w:rPr>
          <w:rFonts w:asciiTheme="minorHAnsi" w:eastAsia="Calibri" w:hAnsiTheme="minorHAnsi" w:cs="Calibri"/>
          <w:color w:val="000000"/>
          <w:sz w:val="22"/>
          <w:szCs w:val="22"/>
          <w:lang w:eastAsia="en-GB"/>
        </w:rPr>
        <w:tab/>
        <w:t xml:space="preserve">The overall objective of this thesis is to develop a microbial-based strategy for optimising the AD of high strength domestic wastewater, which is based on the selection of relevant support materials to selectively immobilise </w:t>
      </w:r>
      <w:r w:rsidRPr="00C44D8C">
        <w:rPr>
          <w:rFonts w:asciiTheme="minorHAnsi" w:eastAsia="Calibri" w:hAnsiTheme="minorHAnsi" w:cs="Calibri"/>
          <w:i/>
          <w:color w:val="000000"/>
          <w:sz w:val="22"/>
          <w:szCs w:val="22"/>
          <w:lang w:eastAsia="en-GB"/>
        </w:rPr>
        <w:t xml:space="preserve">M. barkeri. </w:t>
      </w:r>
      <w:r w:rsidRPr="00C44D8C">
        <w:rPr>
          <w:rFonts w:asciiTheme="minorHAnsi" w:eastAsia="Calibri" w:hAnsiTheme="minorHAnsi" w:cs="Calibri"/>
          <w:color w:val="000000"/>
          <w:sz w:val="22"/>
          <w:szCs w:val="22"/>
          <w:lang w:eastAsia="en-GB"/>
        </w:rPr>
        <w:t xml:space="preserve">Therefore, a mixed methods approach was used to examine some of the key physicochemical and biological factors affecting the initial adhesion and irreversible adhesion steps of biofilm formation in </w:t>
      </w:r>
      <w:r w:rsidRPr="00C44D8C">
        <w:rPr>
          <w:rFonts w:asciiTheme="minorHAnsi" w:eastAsia="Calibri" w:hAnsiTheme="minorHAnsi" w:cs="Calibri"/>
          <w:i/>
          <w:color w:val="000000"/>
          <w:sz w:val="22"/>
          <w:szCs w:val="22"/>
          <w:lang w:eastAsia="en-GB"/>
        </w:rPr>
        <w:t>M. barkeri</w:t>
      </w:r>
      <w:r w:rsidRPr="00C44D8C">
        <w:rPr>
          <w:rFonts w:asciiTheme="minorHAnsi" w:eastAsia="Calibri" w:hAnsiTheme="minorHAnsi" w:cs="Calibri"/>
          <w:color w:val="000000"/>
          <w:sz w:val="22"/>
          <w:szCs w:val="22"/>
          <w:lang w:eastAsia="en-GB"/>
        </w:rPr>
        <w:t xml:space="preserve"> to different support materials, chosen for their </w:t>
      </w:r>
      <w:r w:rsidR="007E3308">
        <w:rPr>
          <w:rFonts w:asciiTheme="minorHAnsi" w:eastAsia="Calibri" w:hAnsiTheme="minorHAnsi"/>
          <w:sz w:val="22"/>
          <w:szCs w:val="22"/>
        </w:rPr>
        <w:t xml:space="preserve">common usage in AD reactors </w:t>
      </w:r>
      <w:r w:rsidR="007E3308">
        <w:rPr>
          <w:rFonts w:asciiTheme="minorHAnsi" w:eastAsia="Calibri" w:hAnsiTheme="minorHAnsi"/>
          <w:sz w:val="22"/>
          <w:szCs w:val="22"/>
        </w:rPr>
        <w:fldChar w:fldCharType="begin" w:fldLock="1"/>
      </w:r>
      <w:r w:rsidR="007E3308">
        <w:rPr>
          <w:rFonts w:asciiTheme="minorHAnsi" w:eastAsia="Calibri" w:hAnsiTheme="minorHAnsi"/>
          <w:sz w:val="22"/>
          <w:szCs w:val="22"/>
        </w:rPr>
        <w:instrText>ADDIN CSL_CITATION { "citationItems" : [ { "id" : "ITEM-1", "itemData" : { "DOI" : "10.1016/j.biortech.2010.12.023", "ISSN" : "1873-2976", "PMID" : "21211965", "abstract" : "In anaerobic wastewater treatment systems, the complex microbial biomass including Archaea and Bacteria can be retained as a biofilm attached to solid supports. The aim of this study was to evaluate the impact of specific properties of support material on early microbial adhesion. Seven different substrata are described in terms of topography and surface energy. Adhesion of a methanogenic consortium to these substrata was tested, the adhesion was quantified as a percentage of the surface area covered and the bacterial and archaeal community structures was assessed by molecular fingerprinting profiles (CE-SSCP). As expected, the overall adhesion on the supports was influenced mainly by total surface energy. Moreover, the adhered communities were different from the parent inocula, including the Archaea/Bacteria ratio. This could have a significant impact on the start-up of anaerobic digesters for which supports favoring Archaea adhesion, responsible for the limiting reaction of the process, should be preferred.", "author" : [ { "dropping-particle" : "", "family" : "Habouzit", "given" : "Fr\u00e9d\u00e9ric", "non-dropping-particle" : "", "parse-names" : false, "suffix" : "" }, { "dropping-particle" : "", "family" : "G\u00e9vaudan", "given" : "Ga\u00eblle", "non-dropping-particle" : "", "parse-names" : false, "suffix" : "" }, { "dropping-particle" : "", "family" : "Hamelin", "given" : "J\u00e9r\u00f4me", "non-dropping-particle" : "", "parse-names" : false, "suffix" : "" }, { "dropping-particle" : "", "family" : "Steyer", "given" : "Jean-Philippe", "non-dropping-particle" : "", "parse-names" : false, "suffix" : "" }, { "dropping-particle" : "", "family" : "Bernet", "given" : "Nicolas", "non-dropping-particle" : "", "parse-names" : false, "suffix" : "" } ], "container-title" : "Bioresource technology", "id" : "ITEM-1", "issue" : "5", "issued" : { "date-parts" : [ [ "2011", "3" ] ] }, "page" : "4054-60", "title" : "Influence of support material properties on the potential selection of Archaea during initial adhesion of a methanogenic consortium.", "type" : "article-journal", "volume" : "102" }, "uris" : [ "http://www.mendeley.com/documents/?uuid=4bf566e3-042c-46b5-9d07-ed10ce554bbb" ] } ], "mendeley" : { "formattedCitation" : "[94]", "plainTextFormattedCitation" : "[94]", "previouslyFormattedCitation" : "[94]" }, "properties" : { "noteIndex" : 0 }, "schema" : "https://github.com/citation-style-language/schema/raw/master/csl-citation.json" }</w:instrText>
      </w:r>
      <w:r w:rsidR="007E3308">
        <w:rPr>
          <w:rFonts w:asciiTheme="minorHAnsi" w:eastAsia="Calibri" w:hAnsiTheme="minorHAnsi"/>
          <w:sz w:val="22"/>
          <w:szCs w:val="22"/>
        </w:rPr>
        <w:fldChar w:fldCharType="separate"/>
      </w:r>
      <w:r w:rsidR="007E3308" w:rsidRPr="007E3308">
        <w:rPr>
          <w:rFonts w:asciiTheme="minorHAnsi" w:eastAsia="Calibri" w:hAnsiTheme="minorHAnsi"/>
          <w:noProof/>
          <w:sz w:val="22"/>
          <w:szCs w:val="22"/>
        </w:rPr>
        <w:t>[94]</w:t>
      </w:r>
      <w:r w:rsidR="007E3308">
        <w:rPr>
          <w:rFonts w:asciiTheme="minorHAnsi" w:eastAsia="Calibri" w:hAnsiTheme="minorHAnsi"/>
          <w:sz w:val="22"/>
          <w:szCs w:val="22"/>
        </w:rPr>
        <w:fldChar w:fldCharType="end"/>
      </w:r>
      <w:r w:rsidR="007E3308">
        <w:rPr>
          <w:rFonts w:asciiTheme="minorHAnsi" w:eastAsia="Calibri" w:hAnsiTheme="minorHAnsi"/>
          <w:sz w:val="22"/>
          <w:szCs w:val="22"/>
        </w:rPr>
        <w:t xml:space="preserve"> and evaluated to be of </w:t>
      </w:r>
      <w:r w:rsidR="007E3308" w:rsidRPr="00C44D8C">
        <w:rPr>
          <w:rFonts w:asciiTheme="minorHAnsi" w:eastAsia="Calibri" w:hAnsiTheme="minorHAnsi"/>
          <w:sz w:val="22"/>
          <w:szCs w:val="22"/>
        </w:rPr>
        <w:t xml:space="preserve">low cost, </w:t>
      </w:r>
      <w:r w:rsidR="007E3308">
        <w:rPr>
          <w:rFonts w:asciiTheme="minorHAnsi" w:eastAsia="Calibri" w:hAnsiTheme="minorHAnsi"/>
          <w:sz w:val="22"/>
          <w:szCs w:val="22"/>
        </w:rPr>
        <w:t xml:space="preserve">available globally </w:t>
      </w:r>
      <w:r w:rsidR="007E3308">
        <w:rPr>
          <w:rFonts w:asciiTheme="minorHAnsi" w:eastAsia="Calibri" w:hAnsiTheme="minorHAnsi"/>
          <w:sz w:val="22"/>
          <w:szCs w:val="22"/>
        </w:rPr>
        <w:fldChar w:fldCharType="begin" w:fldLock="1"/>
      </w:r>
      <w:r w:rsidR="007E3308">
        <w:rPr>
          <w:rFonts w:asciiTheme="minorHAnsi" w:eastAsia="Calibri" w:hAnsiTheme="minorHAnsi"/>
          <w:sz w:val="22"/>
          <w:szCs w:val="22"/>
        </w:rPr>
        <w:instrText>ADDIN CSL_CITATION { "citationItems" : [ { "id" : "ITEM-1", "itemData" : { "DOI" : "10.1016/j.rser.2008.08.006", "ISSN" : "13640321", "author" : [ { "dropping-particle" : "", "family" : "Singh", "given" : "S.P.", "non-dropping-particle" : "", "parse-names" : false, "suffix" : "" }, { "dropping-particle" : "", "family" : "Prerna", "given" : "Pandey", "non-dropping-particle" : "", "parse-names" : false, "suffix" : "" } ], "container-title" : "Renewable and Sustainable Energy Reviews", "id" : "ITEM-1", "issue" : "6-7", "issued" : { "date-parts" : [ [ "2009", "8" ] ] }, "page" : "1569-1575", "title" : "Review of recent advances in anaerobic packed-bed biogas reactors", "type" : "article-journal", "volume" : "13" }, "uris" : [ "http://www.mendeley.com/documents/?uuid=59866e5b-8c07-4e8f-9111-d87af250ce4c" ] } ], "mendeley" : { "formattedCitation" : "[13]", "plainTextFormattedCitation" : "[13]", "previouslyFormattedCitation" : "[13]" }, "properties" : { "noteIndex" : 0 }, "schema" : "https://github.com/citation-style-language/schema/raw/master/csl-citation.json" }</w:instrText>
      </w:r>
      <w:r w:rsidR="007E3308">
        <w:rPr>
          <w:rFonts w:asciiTheme="minorHAnsi" w:eastAsia="Calibri" w:hAnsiTheme="minorHAnsi"/>
          <w:sz w:val="22"/>
          <w:szCs w:val="22"/>
        </w:rPr>
        <w:fldChar w:fldCharType="separate"/>
      </w:r>
      <w:r w:rsidR="007E3308" w:rsidRPr="007E3308">
        <w:rPr>
          <w:rFonts w:asciiTheme="minorHAnsi" w:eastAsia="Calibri" w:hAnsiTheme="minorHAnsi"/>
          <w:noProof/>
          <w:sz w:val="22"/>
          <w:szCs w:val="22"/>
        </w:rPr>
        <w:t>[13]</w:t>
      </w:r>
      <w:r w:rsidR="007E3308">
        <w:rPr>
          <w:rFonts w:asciiTheme="minorHAnsi" w:eastAsia="Calibri" w:hAnsiTheme="minorHAnsi"/>
          <w:sz w:val="22"/>
          <w:szCs w:val="22"/>
        </w:rPr>
        <w:fldChar w:fldCharType="end"/>
      </w:r>
      <w:r w:rsidR="007E3308" w:rsidRPr="00C44D8C">
        <w:rPr>
          <w:rFonts w:asciiTheme="minorHAnsi" w:eastAsia="Calibri" w:hAnsiTheme="minorHAnsi"/>
          <w:sz w:val="22"/>
          <w:szCs w:val="22"/>
        </w:rPr>
        <w:t xml:space="preserve"> and durab</w:t>
      </w:r>
      <w:r w:rsidR="007E3308">
        <w:rPr>
          <w:rFonts w:asciiTheme="minorHAnsi" w:eastAsia="Calibri" w:hAnsiTheme="minorHAnsi"/>
          <w:sz w:val="22"/>
          <w:szCs w:val="22"/>
        </w:rPr>
        <w:t xml:space="preserve">le </w:t>
      </w:r>
      <w:r w:rsidR="007E3308">
        <w:rPr>
          <w:rFonts w:asciiTheme="minorHAnsi" w:eastAsia="Calibri" w:hAnsiTheme="minorHAnsi"/>
          <w:sz w:val="22"/>
          <w:szCs w:val="22"/>
        </w:rPr>
        <w:fldChar w:fldCharType="begin" w:fldLock="1"/>
      </w:r>
      <w:r w:rsidR="007E3308">
        <w:rPr>
          <w:rFonts w:asciiTheme="minorHAnsi" w:eastAsia="Calibri" w:hAnsiTheme="minorHAnsi"/>
          <w:sz w:val="22"/>
          <w:szCs w:val="22"/>
        </w:rPr>
        <w:instrText>ADDIN CSL_CITATION { "citationItems" : [ { "id" : "ITEM-1", "itemData" : { "DOI" : "10.1016/j.energy.2011.03.068", "ISSN" : "03605442", "author" : [ { "dropping-particle" : "", "family" : "Gong", "given" : "Wei-jia", "non-dropping-particle" : "", "parse-names" : false, "suffix" : "" }, { "dropping-particle" : "", "family" : "Liang", "given" : "Heng", "non-dropping-particle" : "", "parse-names" : false, "suffix" : "" }, { "dropping-particle" : "", "family" : "Li", "given" : "Wen-zhe", "non-dropping-particle" : "", "parse-names" : false, "suffix" : "" }, { "dropping-particle" : "", "family" : "Wang", "given" : "Zhen-zhen", "non-dropping-particle" : "", "parse-names" : false, "suffix" : "" } ], "container-title" : "Energy", "id" : "ITEM-1", "issue" : "5", "issued" : { "date-parts" : [ [ "2011", "5" ] ] }, "page" : "3572-3578", "publisher" : "Elsevier Ltd", "title" : "Selection and evaluation of biofilm carrier in anaerobic digestion treatment of cattle manure", "type" : "article-journal", "volume" : "36" }, "uris" : [ "http://www.mendeley.com/documents/?uuid=b9fcefda-449d-47c6-b11b-37a0d0560b03" ] } ], "mendeley" : { "formattedCitation" : "[42]", "plainTextFormattedCitation" : "[42]", "previouslyFormattedCitation" : "[42]" }, "properties" : { "noteIndex" : 0 }, "schema" : "https://github.com/citation-style-language/schema/raw/master/csl-citation.json" }</w:instrText>
      </w:r>
      <w:r w:rsidR="007E3308">
        <w:rPr>
          <w:rFonts w:asciiTheme="minorHAnsi" w:eastAsia="Calibri" w:hAnsiTheme="minorHAnsi"/>
          <w:sz w:val="22"/>
          <w:szCs w:val="22"/>
        </w:rPr>
        <w:fldChar w:fldCharType="separate"/>
      </w:r>
      <w:r w:rsidR="007E3308" w:rsidRPr="007E3308">
        <w:rPr>
          <w:rFonts w:asciiTheme="minorHAnsi" w:eastAsia="Calibri" w:hAnsiTheme="minorHAnsi"/>
          <w:noProof/>
          <w:sz w:val="22"/>
          <w:szCs w:val="22"/>
        </w:rPr>
        <w:t>[42]</w:t>
      </w:r>
      <w:r w:rsidR="007E3308">
        <w:rPr>
          <w:rFonts w:asciiTheme="minorHAnsi" w:eastAsia="Calibri" w:hAnsiTheme="minorHAnsi"/>
          <w:sz w:val="22"/>
          <w:szCs w:val="22"/>
        </w:rPr>
        <w:fldChar w:fldCharType="end"/>
      </w:r>
      <w:r w:rsidR="007E3308" w:rsidRPr="00C44D8C">
        <w:rPr>
          <w:rFonts w:asciiTheme="minorHAnsi" w:eastAsia="Calibri" w:hAnsiTheme="minorHAnsi"/>
          <w:sz w:val="22"/>
          <w:szCs w:val="22"/>
        </w:rPr>
        <w:t xml:space="preserve"> for applicability in peri-urban areas</w:t>
      </w:r>
      <w:r w:rsidR="007E3308">
        <w:rPr>
          <w:rFonts w:asciiTheme="minorHAnsi" w:eastAsia="Calibri" w:hAnsiTheme="minorHAnsi"/>
          <w:sz w:val="22"/>
          <w:szCs w:val="22"/>
        </w:rPr>
        <w:t xml:space="preserve">. Alternative materials that had strong potential for use as a </w:t>
      </w:r>
      <w:r w:rsidR="007E3308">
        <w:rPr>
          <w:rFonts w:asciiTheme="minorHAnsi" w:eastAsia="Calibri" w:hAnsiTheme="minorHAnsi"/>
          <w:sz w:val="22"/>
          <w:szCs w:val="22"/>
        </w:rPr>
        <w:lastRenderedPageBreak/>
        <w:t xml:space="preserve">support material in AD reactors included those that were more fibrous or porous, such as straw, woodchip </w:t>
      </w:r>
      <w:r w:rsidR="007E3308">
        <w:rPr>
          <w:rFonts w:asciiTheme="minorHAnsi" w:eastAsia="Calibri" w:hAnsiTheme="minorHAnsi"/>
          <w:sz w:val="22"/>
          <w:szCs w:val="22"/>
        </w:rPr>
        <w:fldChar w:fldCharType="begin" w:fldLock="1"/>
      </w:r>
      <w:r w:rsidR="007E3308">
        <w:rPr>
          <w:rFonts w:asciiTheme="minorHAnsi" w:eastAsia="Calibri" w:hAnsiTheme="minorHAnsi"/>
          <w:sz w:val="22"/>
          <w:szCs w:val="22"/>
        </w:rPr>
        <w:instrText>ADDIN CSL_CITATION { "citationItems" : [ { "id" : "ITEM-1", "itemData" : { "DOI" : "10.1016/j.rser.2008.08.006", "ISSN" : "13640321", "author" : [ { "dropping-particle" : "", "family" : "Singh", "given" : "S.P.", "non-dropping-particle" : "", "parse-names" : false, "suffix" : "" }, { "dropping-particle" : "", "family" : "Prerna", "given" : "Pandey", "non-dropping-particle" : "", "parse-names" : false, "suffix" : "" } ], "container-title" : "Renewable and Sustainable Energy Reviews", "id" : "ITEM-1", "issue" : "6-7", "issued" : { "date-parts" : [ [ "2009", "8" ] ] }, "page" : "1569-1575", "title" : "Review of recent advances in anaerobic packed-bed biogas reactors", "type" : "article-journal", "volume" : "13" }, "uris" : [ "http://www.mendeley.com/documents/?uuid=59866e5b-8c07-4e8f-9111-d87af250ce4c" ] } ], "mendeley" : { "formattedCitation" : "[13]", "plainTextFormattedCitation" : "[13]", "previouslyFormattedCitation" : "[13]" }, "properties" : { "noteIndex" : 0 }, "schema" : "https://github.com/citation-style-language/schema/raw/master/csl-citation.json" }</w:instrText>
      </w:r>
      <w:r w:rsidR="007E3308">
        <w:rPr>
          <w:rFonts w:asciiTheme="minorHAnsi" w:eastAsia="Calibri" w:hAnsiTheme="minorHAnsi"/>
          <w:sz w:val="22"/>
          <w:szCs w:val="22"/>
        </w:rPr>
        <w:fldChar w:fldCharType="separate"/>
      </w:r>
      <w:r w:rsidR="007E3308" w:rsidRPr="007E3308">
        <w:rPr>
          <w:rFonts w:asciiTheme="minorHAnsi" w:eastAsia="Calibri" w:hAnsiTheme="minorHAnsi"/>
          <w:noProof/>
          <w:sz w:val="22"/>
          <w:szCs w:val="22"/>
        </w:rPr>
        <w:t>[13]</w:t>
      </w:r>
      <w:r w:rsidR="007E3308">
        <w:rPr>
          <w:rFonts w:asciiTheme="minorHAnsi" w:eastAsia="Calibri" w:hAnsiTheme="minorHAnsi"/>
          <w:sz w:val="22"/>
          <w:szCs w:val="22"/>
        </w:rPr>
        <w:fldChar w:fldCharType="end"/>
      </w:r>
      <w:r w:rsidR="007E3308">
        <w:rPr>
          <w:rFonts w:asciiTheme="minorHAnsi" w:eastAsia="Calibri" w:hAnsiTheme="minorHAnsi"/>
          <w:sz w:val="22"/>
          <w:szCs w:val="22"/>
        </w:rPr>
        <w:t xml:space="preserve"> and sisal leaf </w:t>
      </w:r>
      <w:r w:rsidR="007E3308">
        <w:rPr>
          <w:rFonts w:asciiTheme="minorHAnsi" w:eastAsia="Calibri" w:hAnsiTheme="minorHAnsi"/>
          <w:sz w:val="22"/>
          <w:szCs w:val="22"/>
        </w:rPr>
        <w:fldChar w:fldCharType="begin" w:fldLock="1"/>
      </w:r>
      <w:r w:rsidR="007E3308">
        <w:rPr>
          <w:rFonts w:asciiTheme="minorHAnsi" w:eastAsia="Calibri" w:hAnsiTheme="minorHAnsi"/>
          <w:sz w:val="22"/>
          <w:szCs w:val="22"/>
        </w:rPr>
        <w:instrText>ADDIN CSL_CITATION { "citationItems" : [ { "id" : "ITEM-1", "itemData" : { "DOI" : "10.2225/vol10-issue4-fulltext-7", "ISSN" : "07173458", "author" : [ { "dropping-particle" : "", "family" : "Mshandete, A.M., Bjornsson, L., Kivaisi, A.K., Rubindamayugi, M.S.T., Mattiasson", "given" : "B.", "non-dropping-particle" : "", "parse-names" : false, "suffix" : "" } ], "container-title" : "Electronic Journal of Biotechnology", "id" : "ITEM-1", "issue" : "1", "issued" : { "date-parts" : [ [ "2008", "10", "15" ] ] }, "page" : "1-8", "title" : "Performance of biofilm carriers in anaerobic digestion of sisal leaf waste leachate", "type" : "article-journal", "volume" : "11" }, "uris" : [ "http://www.mendeley.com/documents/?uuid=ebb38031-d7d2-4f4b-ad08-1ebceb5721a6" ] } ], "mendeley" : { "formattedCitation" : "[172]", "plainTextFormattedCitation" : "[172]" }, "properties" : { "noteIndex" : 0 }, "schema" : "https://github.com/citation-style-language/schema/raw/master/csl-citation.json" }</w:instrText>
      </w:r>
      <w:r w:rsidR="007E3308">
        <w:rPr>
          <w:rFonts w:asciiTheme="minorHAnsi" w:eastAsia="Calibri" w:hAnsiTheme="minorHAnsi"/>
          <w:sz w:val="22"/>
          <w:szCs w:val="22"/>
        </w:rPr>
        <w:fldChar w:fldCharType="separate"/>
      </w:r>
      <w:r w:rsidR="007E3308" w:rsidRPr="007E3308">
        <w:rPr>
          <w:rFonts w:asciiTheme="minorHAnsi" w:eastAsia="Calibri" w:hAnsiTheme="minorHAnsi"/>
          <w:noProof/>
          <w:sz w:val="22"/>
          <w:szCs w:val="22"/>
        </w:rPr>
        <w:t>[172]</w:t>
      </w:r>
      <w:r w:rsidR="007E3308">
        <w:rPr>
          <w:rFonts w:asciiTheme="minorHAnsi" w:eastAsia="Calibri" w:hAnsiTheme="minorHAnsi"/>
          <w:sz w:val="22"/>
          <w:szCs w:val="22"/>
        </w:rPr>
        <w:fldChar w:fldCharType="end"/>
      </w:r>
      <w:r w:rsidR="007E3308">
        <w:rPr>
          <w:rFonts w:asciiTheme="minorHAnsi" w:eastAsia="Calibri" w:hAnsiTheme="minorHAnsi"/>
          <w:sz w:val="22"/>
          <w:szCs w:val="22"/>
        </w:rPr>
        <w:t xml:space="preserve">. However, the biodegradability </w:t>
      </w:r>
      <w:r w:rsidR="007E3308">
        <w:rPr>
          <w:rFonts w:asciiTheme="minorHAnsi" w:eastAsia="Calibri" w:hAnsiTheme="minorHAnsi"/>
          <w:sz w:val="22"/>
          <w:szCs w:val="22"/>
        </w:rPr>
        <w:fldChar w:fldCharType="begin" w:fldLock="1"/>
      </w:r>
      <w:r w:rsidR="007E3308">
        <w:rPr>
          <w:rFonts w:asciiTheme="minorHAnsi" w:eastAsia="Calibri" w:hAnsiTheme="minorHAnsi"/>
          <w:sz w:val="22"/>
          <w:szCs w:val="22"/>
        </w:rPr>
        <w:instrText>ADDIN CSL_CITATION { "citationItems" : [ { "id" : "ITEM-1", "itemData" : { "author" : [ { "dropping-particle" : "", "family" : "Andersson", "given" : "Sofia", "non-dropping-particle" : "", "parse-names" : false, "suffix" : "" }, { "dropping-particle" : "", "family" : "Nilsson", "given" : "Mirja", "non-dropping-particle" : "", "parse-names" : false, "suffix" : "" }, { "dropping-particle" : "", "family" : "Dalhammar", "given" : "Gunnel", "non-dropping-particle" : "", "parse-names" : false, "suffix" : "" }, { "dropping-particle" : "", "family" : "Rajarao", "given" : "Gunaratna Kuttuva", "non-dropping-particle" : "", "parse-names" : false, "suffix" : "" } ], "container-title" : "Vatten", "id" : "ITEM-1", "issued" : { "date-parts" : [ [ "2008" ] ] }, "page" : "201-207", "title" : "Assessment of carrier materials for biofilm formation and denitrification", "type" : "article-journal", "volume" : "64" }, "uris" : [ "http://www.mendeley.com/documents/?uuid=d08c6498-d197-4c1a-bbcb-7ff70d68923c" ] } ], "mendeley" : { "formattedCitation" : "[173]", "plainTextFormattedCitation" : "[173]", "previouslyFormattedCitation" : "[173]" }, "properties" : { "noteIndex" : 0 }, "schema" : "https://github.com/citation-style-language/schema/raw/master/csl-citation.json" }</w:instrText>
      </w:r>
      <w:r w:rsidR="007E3308">
        <w:rPr>
          <w:rFonts w:asciiTheme="minorHAnsi" w:eastAsia="Calibri" w:hAnsiTheme="minorHAnsi"/>
          <w:sz w:val="22"/>
          <w:szCs w:val="22"/>
        </w:rPr>
        <w:fldChar w:fldCharType="separate"/>
      </w:r>
      <w:r w:rsidR="007E3308" w:rsidRPr="007E3308">
        <w:rPr>
          <w:rFonts w:asciiTheme="minorHAnsi" w:eastAsia="Calibri" w:hAnsiTheme="minorHAnsi"/>
          <w:noProof/>
          <w:sz w:val="22"/>
          <w:szCs w:val="22"/>
        </w:rPr>
        <w:t>[173]</w:t>
      </w:r>
      <w:r w:rsidR="007E3308">
        <w:rPr>
          <w:rFonts w:asciiTheme="minorHAnsi" w:eastAsia="Calibri" w:hAnsiTheme="minorHAnsi"/>
          <w:sz w:val="22"/>
          <w:szCs w:val="22"/>
        </w:rPr>
        <w:fldChar w:fldCharType="end"/>
      </w:r>
      <w:r w:rsidR="007E3308">
        <w:rPr>
          <w:rFonts w:asciiTheme="minorHAnsi" w:eastAsia="Calibri" w:hAnsiTheme="minorHAnsi"/>
          <w:sz w:val="22"/>
          <w:szCs w:val="22"/>
        </w:rPr>
        <w:t xml:space="preserve"> of such materials ruled these out in the final evaluation.</w:t>
      </w:r>
    </w:p>
    <w:p w14:paraId="27CC2728" w14:textId="77777777" w:rsidR="00436CD0" w:rsidRPr="00C44D8C" w:rsidRDefault="00436CD0" w:rsidP="00224A2D">
      <w:pPr>
        <w:spacing w:line="360" w:lineRule="auto"/>
        <w:ind w:firstLine="720"/>
        <w:rPr>
          <w:rFonts w:asciiTheme="minorHAnsi" w:eastAsia="Calibri" w:hAnsiTheme="minorHAnsi" w:cs="Calibri"/>
          <w:color w:val="000000"/>
          <w:sz w:val="22"/>
          <w:szCs w:val="22"/>
          <w:lang w:eastAsia="en-GB"/>
        </w:rPr>
      </w:pPr>
      <w:r w:rsidRPr="00C44D8C">
        <w:rPr>
          <w:rFonts w:asciiTheme="minorHAnsi" w:eastAsia="Calibri" w:hAnsiTheme="minorHAnsi" w:cs="Calibri"/>
          <w:color w:val="000000"/>
          <w:sz w:val="22"/>
          <w:szCs w:val="22"/>
          <w:lang w:eastAsia="en-GB"/>
        </w:rPr>
        <w:t>A summary of the research activities carried out in this thesis is shown in Fig. 2.11.</w:t>
      </w:r>
    </w:p>
    <w:p w14:paraId="5E06E4F3" w14:textId="77777777" w:rsidR="00436CD0" w:rsidRPr="00C44D8C" w:rsidRDefault="00436CD0" w:rsidP="00436CD0">
      <w:pPr>
        <w:spacing w:line="360" w:lineRule="auto"/>
        <w:rPr>
          <w:rFonts w:asciiTheme="minorHAnsi" w:eastAsia="Calibri" w:hAnsiTheme="minorHAnsi" w:cs="Calibri"/>
          <w:color w:val="000000"/>
          <w:sz w:val="22"/>
          <w:szCs w:val="22"/>
          <w:lang w:eastAsia="en-GB"/>
        </w:rPr>
      </w:pPr>
    </w:p>
    <w:p w14:paraId="498A19B1" w14:textId="77777777" w:rsidR="00436CD0" w:rsidRPr="00C44D8C" w:rsidRDefault="00436CD0" w:rsidP="00436CD0">
      <w:pPr>
        <w:spacing w:line="360" w:lineRule="auto"/>
        <w:rPr>
          <w:rFonts w:asciiTheme="minorHAnsi" w:eastAsia="Calibri" w:hAnsiTheme="minorHAnsi" w:cs="Calibri"/>
          <w:color w:val="000000"/>
          <w:sz w:val="22"/>
          <w:szCs w:val="22"/>
          <w:lang w:eastAsia="en-GB"/>
        </w:rPr>
      </w:pPr>
    </w:p>
    <w:p w14:paraId="520865DB" w14:textId="77777777" w:rsidR="00436CD0" w:rsidRPr="00C44D8C" w:rsidRDefault="00436CD0" w:rsidP="00436CD0">
      <w:pPr>
        <w:spacing w:line="360" w:lineRule="auto"/>
        <w:rPr>
          <w:rFonts w:asciiTheme="minorHAnsi" w:eastAsia="Calibri" w:hAnsiTheme="minorHAnsi" w:cs="Calibri"/>
          <w:color w:val="000000"/>
          <w:sz w:val="22"/>
          <w:szCs w:val="22"/>
          <w:lang w:eastAsia="en-GB"/>
        </w:rPr>
      </w:pPr>
      <w:r w:rsidRPr="00C44D8C">
        <w:rPr>
          <w:rFonts w:asciiTheme="minorHAnsi" w:eastAsia="Calibri" w:hAnsiTheme="minorHAnsi" w:cs="Calibri"/>
          <w:noProof/>
          <w:color w:val="000000"/>
          <w:sz w:val="22"/>
          <w:szCs w:val="22"/>
          <w:lang w:eastAsia="en-GB"/>
        </w:rPr>
        <w:drawing>
          <wp:inline distT="0" distB="0" distL="0" distR="0" wp14:anchorId="161B90CC" wp14:editId="3A8EA552">
            <wp:extent cx="5401945" cy="2413000"/>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mmary of research.jpg"/>
                    <pic:cNvPicPr/>
                  </pic:nvPicPr>
                  <pic:blipFill>
                    <a:blip r:embed="rId23">
                      <a:extLst>
                        <a:ext uri="{28A0092B-C50C-407E-A947-70E740481C1C}">
                          <a14:useLocalDpi xmlns:a14="http://schemas.microsoft.com/office/drawing/2010/main" val="0"/>
                        </a:ext>
                      </a:extLst>
                    </a:blip>
                    <a:stretch>
                      <a:fillRect/>
                    </a:stretch>
                  </pic:blipFill>
                  <pic:spPr>
                    <a:xfrm>
                      <a:off x="0" y="0"/>
                      <a:ext cx="5401945" cy="2413000"/>
                    </a:xfrm>
                    <a:prstGeom prst="rect">
                      <a:avLst/>
                    </a:prstGeom>
                  </pic:spPr>
                </pic:pic>
              </a:graphicData>
            </a:graphic>
          </wp:inline>
        </w:drawing>
      </w:r>
    </w:p>
    <w:p w14:paraId="27385222" w14:textId="77777777" w:rsidR="00436CD0" w:rsidRPr="00C44D8C" w:rsidRDefault="00436CD0" w:rsidP="00436CD0">
      <w:pPr>
        <w:spacing w:line="360" w:lineRule="auto"/>
        <w:rPr>
          <w:rFonts w:asciiTheme="minorHAnsi" w:eastAsia="Calibri" w:hAnsiTheme="minorHAnsi" w:cs="Calibri"/>
          <w:b/>
          <w:color w:val="000000"/>
          <w:sz w:val="22"/>
          <w:szCs w:val="22"/>
          <w:lang w:eastAsia="en-GB"/>
        </w:rPr>
      </w:pPr>
    </w:p>
    <w:p w14:paraId="36B3B872" w14:textId="77777777" w:rsidR="00436CD0" w:rsidRPr="00C44D8C" w:rsidRDefault="00436CD0" w:rsidP="00436CD0">
      <w:pPr>
        <w:spacing w:line="360" w:lineRule="auto"/>
        <w:rPr>
          <w:rFonts w:asciiTheme="minorHAnsi" w:eastAsia="Calibri" w:hAnsiTheme="minorHAnsi" w:cs="Calibri"/>
          <w:b/>
          <w:color w:val="000000"/>
          <w:sz w:val="22"/>
          <w:szCs w:val="22"/>
          <w:lang w:eastAsia="en-GB"/>
        </w:rPr>
      </w:pPr>
      <w:r w:rsidRPr="00C44D8C">
        <w:rPr>
          <w:rFonts w:asciiTheme="minorHAnsi" w:eastAsia="Calibri" w:hAnsiTheme="minorHAnsi" w:cs="Calibri"/>
          <w:b/>
          <w:color w:val="000000"/>
          <w:sz w:val="22"/>
          <w:szCs w:val="22"/>
          <w:lang w:eastAsia="en-GB"/>
        </w:rPr>
        <w:t xml:space="preserve">Fig. 2.11 </w:t>
      </w:r>
      <w:r w:rsidRPr="00C44D8C">
        <w:rPr>
          <w:rFonts w:asciiTheme="minorHAnsi" w:eastAsia="Calibri" w:hAnsiTheme="minorHAnsi" w:cs="Calibri"/>
          <w:color w:val="000000"/>
          <w:sz w:val="22"/>
          <w:szCs w:val="22"/>
          <w:lang w:eastAsia="en-GB"/>
        </w:rPr>
        <w:t>A summary of the main research areas examined in this thesis.</w:t>
      </w:r>
    </w:p>
    <w:p w14:paraId="27B7BBF1"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4EB1CDD0"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1631866C"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04FE9942"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364A190C"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53AFB14F"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1631F646"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15C1955A"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en-GB"/>
        </w:rPr>
      </w:pPr>
    </w:p>
    <w:p w14:paraId="3E8B60D5" w14:textId="77777777" w:rsidR="00436CD0" w:rsidRDefault="00436CD0" w:rsidP="00436CD0">
      <w:pPr>
        <w:spacing w:line="360" w:lineRule="auto"/>
        <w:rPr>
          <w:rFonts w:asciiTheme="minorHAnsi" w:eastAsia="Arial" w:hAnsiTheme="minorHAnsi" w:cs="Arial"/>
          <w:color w:val="000000"/>
          <w:sz w:val="22"/>
          <w:szCs w:val="22"/>
          <w:lang w:eastAsia="en-GB"/>
        </w:rPr>
      </w:pPr>
    </w:p>
    <w:p w14:paraId="7DA75AE7" w14:textId="77777777" w:rsidR="00407878" w:rsidRDefault="00407878" w:rsidP="00436CD0">
      <w:pPr>
        <w:spacing w:line="360" w:lineRule="auto"/>
        <w:rPr>
          <w:rFonts w:asciiTheme="minorHAnsi" w:eastAsia="Arial" w:hAnsiTheme="minorHAnsi" w:cs="Arial"/>
          <w:color w:val="000000"/>
          <w:sz w:val="22"/>
          <w:szCs w:val="22"/>
          <w:lang w:eastAsia="en-GB"/>
        </w:rPr>
        <w:sectPr w:rsidR="00407878" w:rsidSect="00DF337D">
          <w:pgSz w:w="11906" w:h="16838"/>
          <w:pgMar w:top="1418" w:right="1418" w:bottom="1418" w:left="2268" w:header="708" w:footer="708" w:gutter="0"/>
          <w:cols w:space="708"/>
          <w:docGrid w:linePitch="360"/>
        </w:sectPr>
      </w:pPr>
    </w:p>
    <w:p w14:paraId="3F753792" w14:textId="05472E1E" w:rsidR="00436CD0" w:rsidRPr="00C44D8C" w:rsidRDefault="00436CD0" w:rsidP="002E046A">
      <w:pPr>
        <w:pStyle w:val="Heading2"/>
        <w:jc w:val="right"/>
        <w:rPr>
          <w:rFonts w:eastAsia="Cambria" w:cs="Cambria"/>
          <w:lang w:eastAsia="zh-CN"/>
        </w:rPr>
      </w:pPr>
      <w:bookmarkStart w:id="69" w:name="_Toc462575286"/>
      <w:r w:rsidRPr="00C44D8C">
        <w:rPr>
          <w:lang w:eastAsia="zh-CN"/>
        </w:rPr>
        <w:lastRenderedPageBreak/>
        <w:t>Chapter 3</w:t>
      </w:r>
      <w:bookmarkEnd w:id="69"/>
    </w:p>
    <w:p w14:paraId="0EE1ABD7" w14:textId="580A4E60"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b/>
          <w:color w:val="000000"/>
          <w:sz w:val="22"/>
          <w:szCs w:val="22"/>
          <w:lang w:eastAsia="zh-CN"/>
        </w:rPr>
        <w:t>__________________________________________________________</w:t>
      </w:r>
      <w:r w:rsidR="00FE1A56" w:rsidRPr="00C44D8C">
        <w:rPr>
          <w:rFonts w:asciiTheme="minorHAnsi" w:eastAsia="Calibri" w:hAnsiTheme="minorHAnsi" w:cs="Calibri"/>
          <w:b/>
          <w:color w:val="000000"/>
          <w:sz w:val="22"/>
          <w:szCs w:val="22"/>
          <w:lang w:eastAsia="zh-CN"/>
        </w:rPr>
        <w:t>__________</w:t>
      </w:r>
      <w:r w:rsidR="002E046A">
        <w:rPr>
          <w:rFonts w:asciiTheme="minorHAnsi" w:eastAsia="Calibri" w:hAnsiTheme="minorHAnsi" w:cs="Calibri"/>
          <w:b/>
          <w:color w:val="000000"/>
          <w:sz w:val="22"/>
          <w:szCs w:val="22"/>
          <w:lang w:eastAsia="zh-CN"/>
        </w:rPr>
        <w:t>_______</w:t>
      </w:r>
    </w:p>
    <w:p w14:paraId="028A1BBE" w14:textId="5BCA6FDA" w:rsidR="00436CD0" w:rsidRPr="00C44D8C" w:rsidRDefault="00436CD0" w:rsidP="002E046A">
      <w:pPr>
        <w:pStyle w:val="Heading5"/>
        <w:rPr>
          <w:rFonts w:eastAsia="Cambria" w:cs="Cambria"/>
          <w:lang w:eastAsia="zh-CN"/>
        </w:rPr>
      </w:pPr>
      <w:bookmarkStart w:id="70" w:name="_Toc462574735"/>
      <w:bookmarkStart w:id="71" w:name="_Toc462575287"/>
      <w:r w:rsidRPr="00C44D8C">
        <w:rPr>
          <w:rFonts w:eastAsia="Calibri"/>
          <w:lang w:eastAsia="zh-CN"/>
        </w:rPr>
        <w:t xml:space="preserve">Physicochemical analysis of initial adhesion and biofilm formation of </w:t>
      </w:r>
      <w:r w:rsidRPr="00C44D8C">
        <w:rPr>
          <w:rFonts w:eastAsia="Calibri"/>
          <w:i/>
          <w:lang w:eastAsia="zh-CN"/>
        </w:rPr>
        <w:t xml:space="preserve">Methanosarcina barkeri </w:t>
      </w:r>
      <w:r w:rsidRPr="00C44D8C">
        <w:rPr>
          <w:rFonts w:eastAsia="Calibri"/>
          <w:lang w:eastAsia="zh-CN"/>
        </w:rPr>
        <w:t>on polymer support material</w:t>
      </w:r>
      <w:bookmarkEnd w:id="70"/>
      <w:bookmarkEnd w:id="71"/>
      <w:r w:rsidRPr="00C44D8C">
        <w:rPr>
          <w:rFonts w:eastAsia="Calibri"/>
          <w:lang w:eastAsia="zh-CN"/>
        </w:rPr>
        <w:t xml:space="preserve"> </w:t>
      </w:r>
    </w:p>
    <w:p w14:paraId="07570A30"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312E95D4" w14:textId="51022605" w:rsidR="00436CD0" w:rsidRPr="00C44D8C" w:rsidRDefault="00436CD0" w:rsidP="002E046A">
      <w:pPr>
        <w:pStyle w:val="Heading1"/>
        <w:rPr>
          <w:lang w:eastAsia="zh-CN"/>
        </w:rPr>
      </w:pPr>
      <w:bookmarkStart w:id="72" w:name="_Toc462575288"/>
      <w:r w:rsidRPr="00C44D8C">
        <w:rPr>
          <w:lang w:eastAsia="zh-CN"/>
        </w:rPr>
        <w:t>3.1. Introduction</w:t>
      </w:r>
      <w:bookmarkEnd w:id="72"/>
      <w:r w:rsidRPr="00C44D8C">
        <w:rPr>
          <w:lang w:eastAsia="zh-CN"/>
        </w:rPr>
        <w:t xml:space="preserve"> </w:t>
      </w:r>
    </w:p>
    <w:p w14:paraId="6336ADF0" w14:textId="39E8206F"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The initial accumulation of cells at a surface highlights the important role that the abiotic surface plays in the first stages of biofilm</w:t>
      </w:r>
      <w:r w:rsidR="00D96E63">
        <w:rPr>
          <w:rFonts w:asciiTheme="minorHAnsi" w:eastAsia="Calibri" w:hAnsiTheme="minorHAnsi" w:cs="Calibri"/>
          <w:color w:val="000000"/>
          <w:sz w:val="22"/>
          <w:szCs w:val="22"/>
          <w:lang w:eastAsia="zh-CN"/>
        </w:rPr>
        <w:t xml:space="preserve"> formation</w:t>
      </w:r>
      <w:r w:rsidRPr="00C44D8C">
        <w:rPr>
          <w:rFonts w:asciiTheme="minorHAnsi" w:eastAsia="Calibri" w:hAnsiTheme="minorHAnsi" w:cs="Calibri"/>
          <w:color w:val="000000"/>
          <w:sz w:val="22"/>
          <w:szCs w:val="22"/>
          <w:lang w:eastAsia="zh-CN"/>
        </w:rPr>
        <w:t xml:space="preserve"> </w:t>
      </w:r>
      <w:r w:rsidR="0004604A">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"10.1128/CMR.15.2.155", "author" : [ { "dropping-particle" : "", "family" : "Dunne", "given" : "W Michael", "non-dropping-particle" : "", "parse-names" : false, "suffix" : "" } ], "container-title" : "Clinical Microbiology Reviews", "id" : "ITEM-1", "issue" : "2", "issued" : { "date-parts" : [ [ "2002" ] ] }, "page" : "155-166", "title" : "Bacterial Adhesion : Seen Any Good Biofilms Lately ?", "type" : "article-journal", "volume" : "15" }, "uris" : [ "http://www.mendeley.com/documents/?uuid=ece23a4d-2182-4690-b9d9-594a4923f661" ] } ], "mendeley" : { "formattedCitation" : "[65]", "plainTextFormattedCitation" : "[65]", "previouslyFormattedCitation" : "[65]" }, "properties" : { "noteIndex" : 0 }, "schema" : "https://github.com/citation-style-language/schema/raw/master/csl-citation.json" }</w:instrText>
      </w:r>
      <w:r w:rsidR="0004604A">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[65]</w:t>
      </w:r>
      <w:r w:rsidR="0004604A">
        <w:rPr>
          <w:rFonts w:asciiTheme="minorHAnsi" w:eastAsia="Calibri" w:hAnsiTheme="minorHAnsi" w:cs="Calibri"/>
          <w:color w:val="000000"/>
          <w:sz w:val="22"/>
          <w:szCs w:val="22"/>
          <w:lang w:eastAsia="zh-CN"/>
        </w:rPr>
        <w:fldChar w:fldCharType="end"/>
      </w:r>
      <w:r w:rsidR="0004604A">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lang w:eastAsia="zh-CN"/>
        </w:rPr>
        <w:t xml:space="preserve"> The initial microbial adhesion to an abiotic surface is mediated by short and long-range physicochemical interactions at the microbe-abiotic interface, resulting from the surface components of both interacting bodies. The requirement of a substrate for biofilm formation has been a significant source of scientific interest, with many researchers examining the contribution of the surface properties of both the abiotic and microbial cell surface on initial adhesion and biofilm formation </w:t>
      </w:r>
      <w:r w:rsidR="0004604A">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"id" : "ITEM-2", "itemData" : { "abstract" : "The aim of this paper was to determine the adhesion of two physico-chemically characterized bacterial strains to a surface hydrophilic (CL A, water contact angle 571) and hydrophobic (CL B, water contact angle 1061) hydrogel contact lens (CL) with and without an adsorbed tear film in a parallel plate flow chamber. Hydrophobicity (by water contact angles), charge (by particulate microelectrophoresis) and elemental composition (by XPS) of the surfaces of seven bacterial strains were characterized, after which two strains were selected for further studies. On CL surfaces, hydrophobicity, elemental composition, and mean surface roughness (by AFM) were determined, as well as the protein composition of tear films adsorbed on these lenses (by sodium dodecylsulphate-polyacrylamide gel electrophoresis (SDS-PAGE)). Bacterial cell surfaces were relatively uncharged and water contact angles on lawns of different strains ranged from hydrophobic to hydrophilic. After adsorption of tear film components, N=C elemental surface concentrations increased on CL A and CL B and differences in water contact angles between both lenses reduced to range from 571 (CL A) to 691 (CL B). However, different protein compositions were inferred. The surface roughness of CL A increased from 4 to 13 nm, while it remained 16 nm for CL B. Adhesion of hydrophobic Pseudomonas aeruginosa #3 was more extensive than of hydrophilic Staphylococcus aureus 799, with no differences between both lenses. The hydrophobicity of P. aeruginosa #3 after cell surface damage decreased and its adhesion was reduced on CL A and strongly on CL B. In addition, passage of an air\u2013liquid interface yielded more detachment of S. aureus 799 than of P. aeruginosa #3 from the CL surfaces. In conclusion, the hydrophobicity of CL surfaces dictates the composition of the adsorbed tear film and therewith plays an important role in bacterial adhesion to lenses. Adhesion of hydrophobic P. aeruginosa #3 was more tenacious than of hydrophilic S. aureus 799. r", "author" : [ { "dropping-particle" : "", "family" : "Bruinsma", "given" : "G M", "non-dropping-particle" : "", "parse-names" : false, "suffix" : "" }, { "dropping-particle" : "", "family" : "Mei", "given" : "H C", "non-dropping-particle" : "Van Der", "parse-names" : false, "suffix" : "" }, { "dropping-particle" : "", "family" : "Busscher", "given" : "H J", "non-dropping-particle" : "", "parse-names" : false, "suffix" : "" } ], "container-title" : "Biomaterials", "id" : "ITEM-2", "issued" : { "date-parts" : [ [ "2001" ] ] }, "page" : "3217-3224", "title" : "Bacterial adhesion to surface hydrophilic and hydrophobic contact lenses", "type" : "article-journal", "volume" : "22" }, "uris" : [ "http://www.mendeley.com/documents/?uuid=7e7bfee2-c824-35df-a9bb-572998c8e224" ] }, { "id" : "ITEM-3", "itemData" : { "DOI" : "10.1099/mic.0.29005-0", "ISSN" : "1350-0872", "PMID" : "16946262", "abstract" : "Most bacterial strains adhere poorly to poly(ethylene oxide) (PEO)-brush coatings, with the exception of a Pseudomonas aeruginosa strain. The aim of this study was to find factors determining whether P. aeruginosa strains do or do not adhere to a PEO-brush coating in a parallel plate flow chamber. On the basis of their adhesion, a distinction could be made between three adhesive and three non-adhesive strains of P. aeruginosa, while bacterial motilities and zeta potentials were comparable for all six strains. However, water contact angles indicated that the adhesive strains were much more hydrophobic than the non-adhesive strains. Furthermore, only adhesive strains released surfactive extracellular substances, which may be engaged in attractive interactions with the PEO chains. Atomic force microscopy showed that the adhesion energy, measured from the retract curves of a bacterial-coated cantilever from a brush coating, was significantly more negative for adhesive strains than for non-adhesive strains (P&lt;0.001). Through surface thermodynamic and extended-DLVO (Derjaguin, Landau, Verwey, Overbeek) analyses, these stronger adhesion energies could be attributed to acid-base interactions. However, the energies of adhesion of all strains to a brush coating were small when compared with their energies of adhesion to a glass surface. Accordingly, even the adhesive P. aeruginosa strains could be easily removed from a PEO-brush coating by the passage of a liquid-air interface. In conclusion, cell surface hydrophobicity and surfactant release are the main factors involved in adhesion of P. aeruginosa strains to PEO-brush coatings.", "author" : [ { "dropping-particle" : "", "family" : "Roosjen", "given" : "Astrid", "non-dropping-particle" : "", "parse-names" : false, "suffix" : "" }, { "dropping-particle" : "", "family" : "Busscher", "given" : "Henk J", "non-dropping-particle" : "", "parse-names" : false, "suffix" : "" }, { "dropping-particle" : "", "family" : "Norde", "given" : "Willem", "non-dropping-particle" : "", "parse-names" : false, "suffix" : "" }, { "dropping-particle" : "", "family" : "Mei", "given" : "Henny C", "non-dropping-particle" : "van der", "parse-names" : false, "suffix" : "" } ], "container-title" : "Microbiology (Reading, England)", "id" : "ITEM-3", "issue" : "Pt 9", "issued" : { "date-parts" : [ [ "2006", "9" ] ] }, "page" : "2673-82", "title" : "Bacterial factors influencing adhesion of Pseudomonas aeruginosa strains to a poly(ethylene oxide) brush.", "type" : "article-journal", "volume" : "152" }, "uris" : [ "http://www.mendeley.com/documents/?uuid=0591c941-3d0e-4f27-a395-032bcca79aaa" ] }, { "id" : "ITEM-4", "itemData" : { "author" : [ { "dropping-particle" : "", "family" : "Rodr\u00edguez", "given" : "Virginia Vadillo", "non-dropping-particle" : "", "parse-names" : false, "suffix" : "" }, { "dropping-particle" : "", "family" : "Busscher", "given" : "Henk J", "non-dropping-particle" : "", "parse-names" : false, "suffix" : "" }, { "dropping-particle" : "Van Der", "family" : "Mei", "given" : "Henny C", "non-dropping-particle" : "", "parse-names" : false, "suffix" : "" }, { "dropping-particle" : "", "family" : "Vadillo Rodriguez", "given" : "V", "non-dropping-particle" : "", "parse-names" : false, "suffix" : "" }, { "dropping-particle" : "", "family" : "Busscher", "given" : "Henk J", "non-dropping-particle" : "", "parse-names" : false, "suffix" : "" }, { "dropping-particle" : "", "family" : "Mei", "given" : "H C", "non-dropping-particle" : "van der", "parse-names" : false, "suffix" : "" } ], "container-title" : "Biofilms in medicine, industry and environmental biotechnology", "id" : "ITEM-4", "issued" : { "date-parts" : [ [ "2003" ] ] }, "page" : "1-10", "title" : "Macroscopic and microscopic adhesive properties of microbial cell surfaces", "type" : "article-journal" }, "uris" : [ "http://www.mendeley.com/documents/?uuid=79700396-c3f4-4dc8-b7b9-5c74fee4f145" ] } ], "mendeley" : { "formattedCitation" : "[69,75,120,174]", "plainTextFormattedCitation" : "[69,75,120,174]", "previouslyFormattedCitation" : "[69,75,120,174]" }, "properties" : { "noteIndex" : 0 }, "schema" : "https://github.com/citation-style-language/schema/raw/master/csl-citation.json" }</w:instrText>
      </w:r>
      <w:r w:rsidR="0004604A">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[69,75,120,174]</w:t>
      </w:r>
      <w:r w:rsidR="0004604A">
        <w:rPr>
          <w:rFonts w:asciiTheme="minorHAnsi" w:eastAsia="Calibri" w:hAnsiTheme="minorHAnsi" w:cs="Calibri"/>
          <w:color w:val="000000"/>
          <w:sz w:val="22"/>
          <w:szCs w:val="22"/>
          <w:lang w:eastAsia="zh-CN"/>
        </w:rPr>
        <w:fldChar w:fldCharType="end"/>
      </w:r>
      <w:r w:rsidR="0004604A">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Therefore, various methods from colloidal cohesion studies have been further developed for biological systems to measure the physicochemical properties of microbial surfaces to provide valuable insight into the physicochemical determinants of initial adhesion and later stage biofilm formation. </w:t>
      </w:r>
    </w:p>
    <w:p w14:paraId="43BBA92A" w14:textId="5E48CC9B"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Microbial initial adhesion has been described in past studies using the extended Derjaguin-Landau-Verwey-Overbeek theory (</w:t>
      </w:r>
      <w:r w:rsidR="0004604A">
        <w:rPr>
          <w:rFonts w:asciiTheme="minorHAnsi" w:eastAsia="Calibri" w:hAnsiTheme="minorHAnsi" w:cs="Calibri"/>
          <w:color w:val="000000"/>
          <w:sz w:val="22"/>
          <w:szCs w:val="22"/>
          <w:lang w:eastAsia="zh-CN"/>
        </w:rPr>
        <w:t xml:space="preserve">xDLVO) </w:t>
      </w:r>
      <w:r w:rsidR="0004604A">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"mendeley" : { "formattedCitation" : "[79]", "plainTextFormattedCitation" : "[79]", "previouslyFormattedCitation" : "[79]" }, "properties" : { "noteIndex" : 0 }, "schema" : "https://github.com/citation-style-language/schema/raw/master/csl-citation.json" }</w:instrText>
      </w:r>
      <w:r w:rsidR="0004604A">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[79]</w:t>
      </w:r>
      <w:r w:rsidR="0004604A">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where particle adhesion is described in terms of the interfacial Lifshitz-van der Waals, electrostatic double layer and Lewis acid-base interactions as a function of separation distance, and are calculated from experimental surface p</w:t>
      </w:r>
      <w:r w:rsidR="002E046A">
        <w:rPr>
          <w:rFonts w:asciiTheme="minorHAnsi" w:eastAsia="Calibri" w:hAnsiTheme="minorHAnsi" w:cs="Calibri"/>
          <w:color w:val="000000"/>
          <w:sz w:val="22"/>
          <w:szCs w:val="22"/>
          <w:lang w:eastAsia="zh-CN"/>
        </w:rPr>
        <w:t>arameter measurements</w:t>
      </w:r>
      <w:r w:rsidR="0004604A">
        <w:rPr>
          <w:rFonts w:asciiTheme="minorHAnsi" w:eastAsia="Calibri" w:hAnsiTheme="minorHAnsi" w:cs="Calibri"/>
          <w:color w:val="000000"/>
          <w:sz w:val="22"/>
          <w:szCs w:val="22"/>
          <w:lang w:eastAsia="zh-CN"/>
        </w:rPr>
        <w:t xml:space="preserve"> </w:t>
      </w:r>
      <w:r w:rsidR="0004604A">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04604A">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[63]</w:t>
      </w:r>
      <w:r w:rsidR="0004604A">
        <w:rPr>
          <w:rFonts w:asciiTheme="minorHAnsi" w:eastAsia="Calibri" w:hAnsiTheme="minorHAnsi" w:cs="Calibri"/>
          <w:color w:val="000000"/>
          <w:sz w:val="22"/>
          <w:szCs w:val="22"/>
          <w:lang w:eastAsia="zh-CN"/>
        </w:rPr>
        <w:fldChar w:fldCharType="end"/>
      </w:r>
      <w:r w:rsidR="002E046A">
        <w:rPr>
          <w:rFonts w:asciiTheme="minorHAnsi" w:eastAsia="Calibri" w:hAnsiTheme="minorHAnsi" w:cs="Calibri"/>
          <w:color w:val="000000"/>
          <w:sz w:val="22"/>
          <w:szCs w:val="22"/>
          <w:lang w:eastAsia="zh-CN"/>
        </w:rPr>
        <w:t xml:space="preserve">. To our </w:t>
      </w:r>
      <w:r w:rsidRPr="00C44D8C">
        <w:rPr>
          <w:rFonts w:asciiTheme="minorHAnsi" w:eastAsia="Calibri" w:hAnsiTheme="minorHAnsi" w:cs="Calibri"/>
          <w:color w:val="000000"/>
          <w:sz w:val="22"/>
          <w:szCs w:val="22"/>
          <w:lang w:eastAsia="zh-CN"/>
        </w:rPr>
        <w:t xml:space="preserve">knowledge, this has not been applied for understanding the adhesion behaviour of key methanogenic species, such as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in AD reactors. </w:t>
      </w:r>
    </w:p>
    <w:p w14:paraId="1AC205B2" w14:textId="37AEB251" w:rsidR="00436CD0" w:rsidRDefault="00436CD0" w:rsidP="0004604A">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 objective of the present study was to therefore examine the effect of the surface characteristics of six common polymer support materials on the initial adhesion of the model methanogen,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and to assess the potential of these support materials as selective biofilm carriers. Specifically, the focus was on the effect of high ionic strength and</w:t>
      </w:r>
      <w:r w:rsidR="00C63855">
        <w:rPr>
          <w:rFonts w:asciiTheme="minorHAnsi" w:eastAsia="Calibri" w:hAnsiTheme="minorHAnsi" w:cs="Calibri"/>
          <w:color w:val="000000"/>
          <w:sz w:val="22"/>
          <w:szCs w:val="22"/>
          <w:lang w:eastAsia="zh-CN"/>
        </w:rPr>
        <w:t xml:space="preserve"> neutral pH environments on initial adhesion. These</w:t>
      </w:r>
      <w:r w:rsidRPr="00C44D8C">
        <w:rPr>
          <w:rFonts w:asciiTheme="minorHAnsi" w:eastAsia="Calibri" w:hAnsiTheme="minorHAnsi" w:cs="Calibri"/>
          <w:color w:val="000000"/>
          <w:sz w:val="22"/>
          <w:szCs w:val="22"/>
          <w:lang w:eastAsia="zh-CN"/>
        </w:rPr>
        <w:t xml:space="preserve"> characteristics </w:t>
      </w:r>
      <w:r w:rsidR="00C63855">
        <w:rPr>
          <w:rFonts w:asciiTheme="minorHAnsi" w:eastAsia="Calibri" w:hAnsiTheme="minorHAnsi" w:cs="Calibri"/>
          <w:color w:val="000000"/>
          <w:sz w:val="22"/>
          <w:szCs w:val="22"/>
          <w:lang w:eastAsia="zh-CN"/>
        </w:rPr>
        <w:t>are</w:t>
      </w:r>
      <w:r w:rsidRPr="00C44D8C">
        <w:rPr>
          <w:rFonts w:asciiTheme="minorHAnsi" w:eastAsia="Calibri" w:hAnsiTheme="minorHAnsi" w:cs="Calibri"/>
          <w:color w:val="000000"/>
          <w:sz w:val="22"/>
          <w:szCs w:val="22"/>
          <w:lang w:eastAsia="zh-CN"/>
        </w:rPr>
        <w:t xml:space="preserve"> typical of domestic wastewater found in arid regions with low household water consumption</w:t>
      </w:r>
      <w:r w:rsidR="0004604A">
        <w:rPr>
          <w:rFonts w:asciiTheme="minorHAnsi" w:eastAsia="Calibri" w:hAnsiTheme="minorHAnsi" w:cs="Calibri"/>
          <w:color w:val="000000"/>
          <w:sz w:val="22"/>
          <w:szCs w:val="22"/>
          <w:lang w:eastAsia="zh-CN"/>
        </w:rPr>
        <w:t xml:space="preserve"> </w:t>
      </w:r>
      <w:r w:rsidR="0004604A">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"ISBN" : "9781843391883", "author" : [ { "dropping-particle" : "", "family" : "Henze", "given" : "Mogens", "non-dropping-particle" : "", "parse-names" : false, "suffix" : "" }, { "dropping-particle" : "", "family" : "Comeau", "given" : "Yves", "non-dropping-particle" : "", "parse-names" : false, "suffix" : "" } ], "chapter-number" : "Wastewater", "container-title" : "Biological Wastewater Treatment: Principles Modelling and Design.", "editor" : [ { "dropping-particle" : "", "family" : "Henze", "given" : "M.", "non-dropping-particle" : "", "parse-names" : false, "suffix" : "" }, { "dropping-particle" : "", "family" : "Loosdrecht", "given" : "M.C.M.", "non-dropping-particle" : "van", "parse-names" : false, "suffix" : "" }, { "dropping-particle" : "", "family" : "Ekama", "given" : "G.A.", "non-dropping-particle" : "", "parse-names" : false, "suffix" : "" }, { "dropping-particle" : "", "family" : "Brdjanovic", "given" : "D.", "non-dropping-particle" : "", "parse-names" : false, "suffix" : "" } ], "id" : "ITEM-1", "issued" : { "date-parts" : [ [ "2008" ] ] }, "page" : "33-52", "publisher" : "IWA Publishing, London, UK", "publisher-place" : "London", "title" : "Wastewater Characterization", "type" : "chapter" }, "uris" : [ "http://www.mendeley.com/documents/?uuid=21234665-9e46-4407-8292-5380aa8849a3" ] }, { "id" : "ITEM-2", "itemData" : { "DOI" : "10.1016/j.biortech.2005.05.015", "ISBN" : "0960-8524", "ISSN" : "09608524", "PMID" : "16055328", "abstract" : "This study presents a literature review on the treatment of domestic sewage in controlled environments having the anaerobic process and specifically the upflow anaerobic sludge blanket (UASB) concept as the core, under natural hot conditions. The UASB process application is however beset by the preponderance of suspended solids, and the paper looks at its optimization via pre- and post-treatments to curb the prevailing problems, in the light of possible discharge and re-use/recycling/resource recovery, leading to efficient environmental protection. Pre-treatment clarification could be done with ferric chloride/polyelectrolyte, so that phosphate precipitates during the process. The pre-treated liquid phase can be submitted to a high rate anaerobic process, using the simple and robust UASB technology. In a subsequent post-treatment step, ammonium can be removed by ion exchange using a zeolite column through which the wastewater percolates after leaving the anaerobic digester. The various stages can also eliminate a large fraction of the pathogens present in the raw wastewater, mainly through the pre-treatment sedimentation and the ion exchange filtration. The sludge produced in the precipitation stage can be stabilized in a conventional anaerobic digester. Integration of the different treatment steps provides a sustainable technology to treat domestic sewage under hot climate conditions. ?? 2005 Elsevier Ltd. All rights reserved.", "author" : [ { "dropping-particle" : "", "family" : "Aiyuk", "given" : "Sunny", "non-dropping-particle" : "", "parse-names" : false, "suffix" : "" }, { "dropping-particle" : "", "family" : "Forrez", "given" : "Ilse", "non-dropping-particle" : "", "parse-names" : false, "suffix" : "" }, { "dropping-particle" : "", "family" : "Lieven", "given" : "De Kempeneer", "non-dropping-particle" : "", "parse-names" : false, "suffix" : "" }, { "dropping-particle" : "", "family" : "Haandel", "given" : "Adrianus", "non-dropping-particle" : "van", "parse-names" : false, "suffix" : "" }, { "dropping-particle" : "", "family" : "Verstraete", "given" : "Willy", "non-dropping-particle" : "", "parse-names" : false, "suffix" : "" } ], "container-title" : "Bioresource Technology", "id" : "ITEM-2", "issue" : "17", "issued" : { "date-parts" : [ [ "2006" ] ] }, "page" : "2225-2241", "title" : "Anaerobic and complementary treatment of domestic sewage in regions with hot climates-A review", "type" : "article-journal", "volume" : "97" }, "uris" : [ "http://www.mendeley.com/documents/?uuid=3690e4ae-984a-4a5c-a82b-0abcbb4d09e6" ] } ], "mendeley" : { "formattedCitation" : "[2,175]", "plainTextFormattedCitation" : "[2,175]", "previouslyFormattedCitation" : "[2,175]" }, "properties" : { "noteIndex" : 0 }, "schema" : "https://github.com/citation-style-language/schema/raw/master/csl-citation.json" }</w:instrText>
      </w:r>
      <w:r w:rsidR="0004604A">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[2,175]</w:t>
      </w:r>
      <w:r w:rsidR="0004604A">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such as in peri-urban areas of the Global South. The quantitative characterisation of initial </w:t>
      </w:r>
      <w:r w:rsidRPr="00C44D8C">
        <w:rPr>
          <w:rFonts w:asciiTheme="minorHAnsi" w:eastAsia="Calibri" w:hAnsiTheme="minorHAnsi" w:cs="Calibri"/>
          <w:color w:val="000000"/>
          <w:sz w:val="22"/>
          <w:szCs w:val="22"/>
          <w:lang w:eastAsia="zh-CN"/>
        </w:rPr>
        <w:lastRenderedPageBreak/>
        <w:t xml:space="preserve">adhesion obtained from both a theoretical model (xDLVO) and a static </w:t>
      </w:r>
      <w:r w:rsidR="00C63855">
        <w:rPr>
          <w:rFonts w:asciiTheme="minorHAnsi" w:eastAsia="Calibri" w:hAnsiTheme="minorHAnsi" w:cs="Calibri"/>
          <w:color w:val="000000"/>
          <w:sz w:val="22"/>
          <w:szCs w:val="22"/>
          <w:lang w:eastAsia="zh-CN"/>
        </w:rPr>
        <w:t xml:space="preserve">adhesion </w:t>
      </w:r>
      <w:r w:rsidRPr="00C44D8C">
        <w:rPr>
          <w:rFonts w:asciiTheme="minorHAnsi" w:eastAsia="Calibri" w:hAnsiTheme="minorHAnsi" w:cs="Calibri"/>
          <w:color w:val="000000"/>
          <w:sz w:val="22"/>
          <w:szCs w:val="22"/>
          <w:lang w:eastAsia="zh-CN"/>
        </w:rPr>
        <w:t xml:space="preserve">assay are compared within this experiment. Additionally, biofilm formation was examined over a longer time period to examine whether the process of initial adhesion was a critical factor for biofilm formation in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to the six support materials. </w:t>
      </w:r>
    </w:p>
    <w:p w14:paraId="1B8D0D30" w14:textId="77777777" w:rsidR="00C63855" w:rsidRPr="00C44D8C" w:rsidRDefault="00C63855" w:rsidP="0004604A">
      <w:pPr>
        <w:spacing w:line="360" w:lineRule="auto"/>
        <w:ind w:firstLine="720"/>
        <w:rPr>
          <w:rFonts w:asciiTheme="minorHAnsi" w:eastAsia="Cambria" w:hAnsiTheme="minorHAnsi" w:cs="Cambria"/>
          <w:color w:val="000000"/>
          <w:sz w:val="22"/>
          <w:szCs w:val="22"/>
          <w:lang w:eastAsia="zh-CN"/>
        </w:rPr>
      </w:pPr>
    </w:p>
    <w:p w14:paraId="20613676" w14:textId="4BF5FBCE" w:rsidR="00436CD0" w:rsidRPr="00C44D8C" w:rsidRDefault="00436CD0" w:rsidP="002E046A">
      <w:pPr>
        <w:pStyle w:val="Heading1"/>
        <w:rPr>
          <w:rFonts w:eastAsia="Cambria" w:cs="Cambria"/>
          <w:lang w:eastAsia="zh-CN"/>
        </w:rPr>
      </w:pPr>
      <w:bookmarkStart w:id="73" w:name="_Toc462575289"/>
      <w:r w:rsidRPr="00C44D8C">
        <w:rPr>
          <w:lang w:eastAsia="zh-CN"/>
        </w:rPr>
        <w:t>3.2. Materials and Methods</w:t>
      </w:r>
      <w:bookmarkEnd w:id="73"/>
      <w:r w:rsidRPr="00C44D8C">
        <w:rPr>
          <w:lang w:eastAsia="zh-CN"/>
        </w:rPr>
        <w:t xml:space="preserve"> </w:t>
      </w:r>
    </w:p>
    <w:p w14:paraId="4C731A91" w14:textId="77777777" w:rsidR="00436CD0" w:rsidRPr="00C44D8C" w:rsidRDefault="00436CD0" w:rsidP="002E046A">
      <w:pPr>
        <w:pStyle w:val="Heading6"/>
        <w:rPr>
          <w:rFonts w:eastAsia="Cambria" w:cs="Cambria"/>
          <w:lang w:eastAsia="zh-CN"/>
        </w:rPr>
      </w:pPr>
      <w:bookmarkStart w:id="74" w:name="_Toc462575290"/>
      <w:r w:rsidRPr="00C44D8C">
        <w:rPr>
          <w:rFonts w:eastAsia="Calibri"/>
          <w:lang w:eastAsia="zh-CN"/>
        </w:rPr>
        <w:t>3.2.1. Preparation of anaerobic media and stock solutions</w:t>
      </w:r>
      <w:bookmarkEnd w:id="74"/>
    </w:p>
    <w:p w14:paraId="76CF1460" w14:textId="7E287F85"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Cultures of the archaeal strain </w:t>
      </w:r>
      <w:r w:rsidRPr="00C44D8C">
        <w:rPr>
          <w:rFonts w:asciiTheme="minorHAnsi" w:eastAsia="Calibri" w:hAnsiTheme="minorHAnsi" w:cs="Calibri"/>
          <w:i/>
          <w:color w:val="000000"/>
          <w:sz w:val="22"/>
          <w:szCs w:val="22"/>
          <w:lang w:eastAsia="zh-CN"/>
        </w:rPr>
        <w:t>M</w:t>
      </w:r>
      <w:r w:rsidR="00C63855">
        <w:rPr>
          <w:rFonts w:asciiTheme="minorHAnsi" w:eastAsia="Calibri" w:hAnsiTheme="minorHAnsi" w:cs="Calibri"/>
          <w:i/>
          <w:color w:val="000000"/>
          <w:sz w:val="22"/>
          <w:szCs w:val="22"/>
          <w:lang w:eastAsia="zh-CN"/>
        </w:rPr>
        <w:t>.</w:t>
      </w:r>
      <w:r w:rsidRPr="00C44D8C">
        <w:rPr>
          <w:rFonts w:asciiTheme="minorHAnsi" w:eastAsia="Calibri" w:hAnsiTheme="minorHAnsi" w:cs="Calibri"/>
          <w:i/>
          <w:color w:val="000000"/>
          <w:sz w:val="22"/>
          <w:szCs w:val="22"/>
          <w:lang w:eastAsia="zh-CN"/>
        </w:rPr>
        <w:t xml:space="preserve"> barkeri </w:t>
      </w:r>
      <w:r w:rsidRPr="00C44D8C">
        <w:rPr>
          <w:rFonts w:asciiTheme="minorHAnsi" w:eastAsia="Calibri" w:hAnsiTheme="minorHAnsi" w:cs="Calibri"/>
          <w:color w:val="000000"/>
          <w:sz w:val="22"/>
          <w:szCs w:val="22"/>
          <w:lang w:eastAsia="zh-CN"/>
        </w:rPr>
        <w:t>DSM 800 were obtained from DSMZ (DSMZ, Braunschweig, Germany)</w:t>
      </w:r>
      <w:r w:rsidR="00F741BF">
        <w:rPr>
          <w:rFonts w:asciiTheme="minorHAnsi" w:eastAsia="Calibri" w:hAnsiTheme="minorHAnsi" w:cs="Calibri"/>
          <w:color w:val="000000"/>
          <w:sz w:val="22"/>
          <w:szCs w:val="22"/>
          <w:lang w:eastAsia="zh-CN"/>
        </w:rPr>
        <w:t xml:space="preserve"> and cultivated in a methanol-based anaerobic medium (DSM 120 medium)</w:t>
      </w:r>
      <w:r w:rsidRPr="00C44D8C">
        <w:rPr>
          <w:rFonts w:asciiTheme="minorHAnsi" w:eastAsia="Calibri" w:hAnsiTheme="minorHAnsi" w:cs="Calibri"/>
          <w:color w:val="000000"/>
          <w:sz w:val="22"/>
          <w:szCs w:val="22"/>
          <w:lang w:eastAsia="zh-CN"/>
        </w:rPr>
        <w:t xml:space="preserve">. Frozen glycerol stocks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were prepared anaerobically, and stored at -80</w:t>
      </w:r>
      <w:r w:rsidRPr="00C44D8C">
        <w:rPr>
          <w:rFonts w:asciiTheme="minorHAnsi" w:eastAsia="Calibri" w:hAnsiTheme="minorHAnsi" w:cs="Calibri"/>
          <w:color w:val="000000"/>
          <w:sz w:val="22"/>
          <w:szCs w:val="22"/>
          <w:vertAlign w:val="superscript"/>
          <w:lang w:eastAsia="zh-CN"/>
        </w:rPr>
        <w:t>°</w:t>
      </w:r>
      <w:r w:rsidRPr="00C44D8C">
        <w:rPr>
          <w:rFonts w:asciiTheme="minorHAnsi" w:eastAsia="Calibri" w:hAnsiTheme="minorHAnsi" w:cs="Calibri"/>
          <w:color w:val="000000"/>
          <w:sz w:val="22"/>
          <w:szCs w:val="22"/>
          <w:lang w:eastAsia="zh-CN"/>
        </w:rPr>
        <w:t xml:space="preserve">C. Anaerobically prepared DSM 120 medium (pH 6.8) </w:t>
      </w:r>
      <w:r w:rsidR="0004604A">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"10.1163/156855207782146599", "ISSN" : "09218831", "author" : [ { "dropping-particle" : "", "family" : "Nomura", "given" : "Toshiyuki", "non-dropping-particle" : "", "parse-names" : false, "suffix" : "" }, { "dropping-particle" : "", "family" : "Yoshihara", "given" : "Akinori", "non-dropping-particle" : "", "parse-names" : false, "suffix" : "" }, { "dropping-particle" : "", "family" : "Nagao", "given" : "Takanori", "non-dropping-particle" : "", "parse-names" : false, "suffix" : "" }, { "dropping-particle" : "", "family" : "Tokumoto", "given" : "Hayato", "non-dropping-particle" : "", "parse-names" : false, "suffix" : "" }, { "dropping-particle" : "", "family" : "Konishi", "given" : "Yasuhiro", "non-dropping-particle" : "", "parse-names" : false, "suffix" : "" } ], "container-title" : "Advanced Powder Technology", "id" : "ITEM-1", "issue" : "5", "issued" : { "date-parts" : [ [ "2007", "9", "1" ] ] }, "page" : "489-501", "publisher" : "Society of Powder Technology Japan", "title" : "Effect of the surface characteristics of Methanosarcina barkeri on immobilization to support materials", "type" : "article-journal", "volume" : "18" }, "uris" : [ "http://www.mendeley.com/documents/?uuid=99c15eee-8c69-4e81-a7a2-611d8aba899b" ] } ], "mendeley" : { "formattedCitation" : "[176]", "plainTextFormattedCitation" : "[176]", "previouslyFormattedCitation" : "[176]" }, "properties" : { "noteIndex" : 0 }, "schema" : "https://github.com/citation-style-language/schema/raw/master/csl-citation.json" }</w:instrText>
      </w:r>
      <w:r w:rsidR="0004604A">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[176]</w:t>
      </w:r>
      <w:r w:rsidR="0004604A">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was prepared within a 1 litre Duran bottle (Sigma Aldrich, UK) on the bench top, and aliquoted into 50 ml volumes within borosilicate glass serum bottles (Sigma Aldrich, UK). The media consisted of dibasic potassium phosphate (0.35 g), potassium dihydrogen phosphate (0.23 g), ammonium chloride (0.5 g), magnesium sulphide heptahydrate (0.5 g), calcium chloride dihydrate (0.25 g), sodium chloride (2.25 g), iron(II) sulphate heptahydrate (2 mg), trace element solution (1 ml), yeast extract (2 g) and casitone (2 g). All chemical components were purchased from Sigma Aldrich, UK.</w:t>
      </w:r>
    </w:p>
    <w:p w14:paraId="014D8FB4" w14:textId="01E97AB2"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Resazurin was used in the media as an oxidation-reduction indicator. In order to exclude oxygen from media, serum bottles were placed on a heat plate at maximum high heat for 10 minutes, whilst simultaneously sparging with 100% nitrogen</w:t>
      </w:r>
      <w:r w:rsidRPr="00C44D8C">
        <w:rPr>
          <w:rFonts w:asciiTheme="minorHAnsi" w:eastAsia="Calibri" w:hAnsiTheme="minorHAnsi" w:cs="Calibri"/>
          <w:color w:val="000000"/>
          <w:sz w:val="22"/>
          <w:szCs w:val="22"/>
          <w:vertAlign w:val="subscript"/>
          <w:lang w:eastAsia="zh-CN"/>
        </w:rPr>
        <w:t xml:space="preserve"> </w:t>
      </w:r>
      <w:r w:rsidRPr="00C44D8C">
        <w:rPr>
          <w:rFonts w:asciiTheme="minorHAnsi" w:eastAsia="Calibri" w:hAnsiTheme="minorHAnsi" w:cs="Calibri"/>
          <w:color w:val="000000"/>
          <w:sz w:val="22"/>
          <w:szCs w:val="22"/>
          <w:lang w:eastAsia="zh-CN"/>
        </w:rPr>
        <w:t>gas (N</w:t>
      </w:r>
      <w:r w:rsidRPr="00C44D8C">
        <w:rPr>
          <w:rFonts w:asciiTheme="minorHAnsi" w:eastAsia="Calibri" w:hAnsiTheme="minorHAnsi" w:cs="Calibri"/>
          <w:color w:val="000000"/>
          <w:sz w:val="22"/>
          <w:szCs w:val="22"/>
          <w:vertAlign w:val="subscript"/>
          <w:lang w:eastAsia="zh-CN"/>
        </w:rPr>
        <w:t>2</w:t>
      </w:r>
      <w:r w:rsidRPr="00C44D8C">
        <w:rPr>
          <w:rFonts w:asciiTheme="minorHAnsi" w:eastAsia="Calibri" w:hAnsiTheme="minorHAnsi" w:cs="Calibri"/>
          <w:color w:val="000000"/>
          <w:sz w:val="22"/>
          <w:szCs w:val="22"/>
          <w:lang w:eastAsia="zh-CN"/>
        </w:rPr>
        <w:t xml:space="preserve">). After this duration of heating, the resazurin changed colour from blue to pink to signify oxidation </w:t>
      </w:r>
      <w:r w:rsidR="0004604A">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"10.1016/B978-0-12-385112-3.00001-9", "ISBN" : "9780123851123", "ISSN" : "1557-7988", "PMID" : "21402207", "abstract" : "Basic techniques for the cultivation of methanogenic archaea in anoxic media, where the O/R potential is maintained below (-) 330 mV under a pressurized atmosphere of 20% carbon dioxide, are described.", "author" : [ { "dropping-particle" : "", "family" : "Wolfe", "given" : "Ralph S", "non-dropping-particle" : "", "parse-names" : false, "suffix" : "" } ], "container-title" : "Methods in enzymology", "edition" : "1", "id" : "ITEM-1", "issued" : { "date-parts" : [ [ "2011", "1" ] ] }, "number-of-pages" : "1-22", "publisher" : "Elsevier Inc.", "title" : "Techniques for cultivating methanogens.", "type" : "book", "volume" : "494" }, "uris" : [ "http://www.mendeley.com/documents/?uuid=94f273ee-95b5-4689-8afb-614892aa5db2" ] } ], "mendeley" : { "formattedCitation" : "[177]", "plainTextFormattedCitation" : "[177]", "previouslyFormattedCitation" : "[177]" }, "properties" : { "noteIndex" : 0 }, "schema" : "https://github.com/citation-style-language/schema/raw/master/csl-citation.json" }</w:instrText>
      </w:r>
      <w:r w:rsidR="0004604A">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[177]</w:t>
      </w:r>
      <w:r w:rsidR="0004604A">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after which the serum bottles were taken off the heat plate to cool, whilst still sparging</w:t>
      </w:r>
      <w:r w:rsidR="00C63855">
        <w:rPr>
          <w:rFonts w:asciiTheme="minorHAnsi" w:eastAsia="Calibri" w:hAnsiTheme="minorHAnsi" w:cs="Calibri"/>
          <w:color w:val="000000"/>
          <w:sz w:val="22"/>
          <w:szCs w:val="22"/>
          <w:lang w:eastAsia="zh-CN"/>
        </w:rPr>
        <w:t xml:space="preserve"> with </w:t>
      </w:r>
      <w:r w:rsidR="00C63855" w:rsidRPr="00C44D8C">
        <w:rPr>
          <w:rFonts w:asciiTheme="minorHAnsi" w:eastAsia="Calibri" w:hAnsiTheme="minorHAnsi" w:cs="Calibri"/>
          <w:color w:val="000000"/>
          <w:sz w:val="22"/>
          <w:szCs w:val="22"/>
          <w:lang w:eastAsia="zh-CN"/>
        </w:rPr>
        <w:t>N</w:t>
      </w:r>
      <w:r w:rsidR="00C63855" w:rsidRPr="00C44D8C">
        <w:rPr>
          <w:rFonts w:asciiTheme="minorHAnsi" w:eastAsia="Calibri" w:hAnsiTheme="minorHAnsi" w:cs="Calibri"/>
          <w:color w:val="000000"/>
          <w:sz w:val="22"/>
          <w:szCs w:val="22"/>
          <w:vertAlign w:val="subscript"/>
          <w:lang w:eastAsia="zh-CN"/>
        </w:rPr>
        <w:t>2</w:t>
      </w:r>
      <w:r w:rsidRPr="00C44D8C">
        <w:rPr>
          <w:rFonts w:asciiTheme="minorHAnsi" w:eastAsia="Calibri" w:hAnsiTheme="minorHAnsi" w:cs="Calibri"/>
          <w:color w:val="000000"/>
          <w:sz w:val="22"/>
          <w:szCs w:val="22"/>
          <w:lang w:eastAsia="zh-CN"/>
        </w:rPr>
        <w:t xml:space="preserve"> for a further 10 minutes. </w:t>
      </w:r>
    </w:p>
    <w:p w14:paraId="178EA45D" w14:textId="42F96E10"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Thereafter, serum bottles were sealed with butyl rubber seals (Sigma Aldrich, UK) and aluminium caps (Sigma Aldrich, UK) in a swift movement to minimise the entry of oxygen into </w:t>
      </w:r>
      <w:r w:rsidR="00C63855" w:rsidRPr="00C44D8C">
        <w:rPr>
          <w:rFonts w:asciiTheme="minorHAnsi" w:eastAsia="Calibri" w:hAnsiTheme="minorHAnsi" w:cs="Calibri"/>
          <w:color w:val="000000"/>
          <w:sz w:val="22"/>
          <w:szCs w:val="22"/>
          <w:lang w:eastAsia="zh-CN"/>
        </w:rPr>
        <w:t>N</w:t>
      </w:r>
      <w:r w:rsidR="00C63855" w:rsidRPr="00C44D8C">
        <w:rPr>
          <w:rFonts w:asciiTheme="minorHAnsi" w:eastAsia="Calibri" w:hAnsiTheme="minorHAnsi" w:cs="Calibri"/>
          <w:color w:val="000000"/>
          <w:sz w:val="22"/>
          <w:szCs w:val="22"/>
          <w:vertAlign w:val="subscript"/>
          <w:lang w:eastAsia="zh-CN"/>
        </w:rPr>
        <w:t>2</w:t>
      </w:r>
      <w:r w:rsidRPr="00C44D8C">
        <w:rPr>
          <w:rFonts w:asciiTheme="minorHAnsi" w:eastAsia="Calibri" w:hAnsiTheme="minorHAnsi" w:cs="Calibri"/>
          <w:color w:val="000000"/>
          <w:sz w:val="22"/>
          <w:szCs w:val="22"/>
          <w:lang w:eastAsia="zh-CN"/>
        </w:rPr>
        <w:t>-sparged media. Media bottles were autoclaved at 121˚C for 15 minutes to sterilise media before use.</w:t>
      </w:r>
    </w:p>
    <w:p w14:paraId="56445190" w14:textId="53B4A739"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Before inoculation, the strong reducing agents, cysteine-hydrochloride (0.3 g/L) and sodium sulphide nonahydrate (0.3 g/L), were added to sterilised media to produce a redox potential of less than -330 mV, which is a requirement for the cultivation of strict anaerobes </w:t>
      </w:r>
      <w:r w:rsidR="0004604A">
        <w:rPr>
          <w:rFonts w:asciiTheme="minorHAnsi" w:eastAsia="Calibri" w:hAnsiTheme="minorHAnsi" w:cs="Calibri"/>
          <w:color w:val="000000"/>
          <w:sz w:val="22"/>
          <w:szCs w:val="22"/>
          <w:lang w:eastAsia="zh-CN"/>
        </w:rPr>
        <w:t>[171]</w:t>
      </w:r>
      <w:r w:rsidRPr="00C44D8C">
        <w:rPr>
          <w:rFonts w:asciiTheme="minorHAnsi" w:eastAsia="Calibri" w:hAnsiTheme="minorHAnsi" w:cs="Calibri"/>
          <w:color w:val="000000"/>
          <w:sz w:val="22"/>
          <w:szCs w:val="22"/>
          <w:lang w:eastAsia="zh-CN"/>
        </w:rPr>
        <w:t xml:space="preserve">. Additional media components were also added at this point, such as the main carbon source, methanol (10 ml/L), a vitamin solution (10 ml/L) and sodium </w:t>
      </w:r>
      <w:r w:rsidRPr="00C44D8C">
        <w:rPr>
          <w:rFonts w:asciiTheme="minorHAnsi" w:eastAsia="Calibri" w:hAnsiTheme="minorHAnsi" w:cs="Calibri"/>
          <w:color w:val="000000"/>
          <w:sz w:val="22"/>
          <w:szCs w:val="22"/>
          <w:lang w:eastAsia="zh-CN"/>
        </w:rPr>
        <w:lastRenderedPageBreak/>
        <w:t>bicarbonate (2 g/L) to maintain a neutral pH for growth</w:t>
      </w:r>
      <w:r w:rsidR="0004604A">
        <w:rPr>
          <w:rFonts w:asciiTheme="minorHAnsi" w:eastAsia="Calibri" w:hAnsiTheme="minorHAnsi" w:cs="Calibri"/>
          <w:color w:val="000000"/>
          <w:sz w:val="22"/>
          <w:szCs w:val="22"/>
          <w:lang w:eastAsia="zh-CN"/>
        </w:rPr>
        <w:t xml:space="preserve"> [171]</w:t>
      </w:r>
      <w:r w:rsidRPr="00C44D8C">
        <w:rPr>
          <w:rFonts w:asciiTheme="minorHAnsi" w:eastAsia="Calibri" w:hAnsiTheme="minorHAnsi" w:cs="Calibri"/>
          <w:color w:val="000000"/>
          <w:sz w:val="22"/>
          <w:szCs w:val="22"/>
          <w:lang w:eastAsia="zh-CN"/>
        </w:rPr>
        <w:t xml:space="preserve"> using an aseptic syringe method. All inoculations and subculturing were performed in an anaerobic chamber (PLAS-LAB Simplicity 888, PLAS-LABS, U.S.A.).</w:t>
      </w:r>
    </w:p>
    <w:p w14:paraId="2C71D34A" w14:textId="64236CCB" w:rsidR="00436CD0" w:rsidRDefault="00436CD0" w:rsidP="002E046A">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These media components were prepared anaerobically as stock solutions as described earlier, by heating and sparging with 100% N</w:t>
      </w:r>
      <w:r w:rsidRPr="00C44D8C">
        <w:rPr>
          <w:rFonts w:asciiTheme="minorHAnsi" w:eastAsia="Calibri" w:hAnsiTheme="minorHAnsi" w:cs="Calibri"/>
          <w:color w:val="000000"/>
          <w:sz w:val="22"/>
          <w:szCs w:val="22"/>
          <w:vertAlign w:val="subscript"/>
          <w:lang w:eastAsia="zh-CN"/>
        </w:rPr>
        <w:t xml:space="preserve">2 </w:t>
      </w:r>
      <w:r w:rsidRPr="00C44D8C">
        <w:rPr>
          <w:rFonts w:asciiTheme="minorHAnsi" w:eastAsia="Calibri" w:hAnsiTheme="minorHAnsi" w:cs="Calibri"/>
          <w:color w:val="000000"/>
          <w:sz w:val="22"/>
          <w:szCs w:val="22"/>
          <w:lang w:eastAsia="zh-CN"/>
        </w:rPr>
        <w:t>gas before being sealed and autoclaved. Once the media had become reduced at -330 mV, the resazurin became colourless, indicating that media were ready for inoculation.</w:t>
      </w:r>
    </w:p>
    <w:p w14:paraId="3E1186C1" w14:textId="77777777" w:rsidR="002E046A" w:rsidRPr="00C44D8C" w:rsidRDefault="002E046A" w:rsidP="002E046A">
      <w:pPr>
        <w:spacing w:line="360" w:lineRule="auto"/>
        <w:ind w:firstLine="720"/>
        <w:rPr>
          <w:rFonts w:asciiTheme="minorHAnsi" w:eastAsia="Cambria" w:hAnsiTheme="minorHAnsi" w:cs="Cambria"/>
          <w:color w:val="000000"/>
          <w:sz w:val="22"/>
          <w:szCs w:val="22"/>
          <w:lang w:eastAsia="zh-CN"/>
        </w:rPr>
      </w:pPr>
    </w:p>
    <w:p w14:paraId="25C38D3C" w14:textId="77777777" w:rsidR="00436CD0" w:rsidRPr="00C44D8C" w:rsidRDefault="00436CD0" w:rsidP="002E046A">
      <w:pPr>
        <w:pStyle w:val="Heading6"/>
        <w:rPr>
          <w:rFonts w:eastAsia="Cambria" w:cs="Cambria"/>
          <w:lang w:eastAsia="zh-CN"/>
        </w:rPr>
      </w:pPr>
      <w:bookmarkStart w:id="75" w:name="_Toc462575291"/>
      <w:r w:rsidRPr="00C44D8C">
        <w:rPr>
          <w:rFonts w:eastAsia="Calibri"/>
          <w:lang w:eastAsia="zh-CN"/>
        </w:rPr>
        <w:t>3.2.2. Development of a sparging station for anaerobic cultivation</w:t>
      </w:r>
      <w:bookmarkEnd w:id="75"/>
    </w:p>
    <w:p w14:paraId="5A0DF7FC"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The cultivation of anaerobes is dependent upon an oxygen-free pre-reduced media, which requires an efficient gas sparging method to exclude oxygen from bottles of media on the bench-top. At the starting phase of this project, the current setup in the laboratory was deemed inefficient and time-consuming for the preparation of multiple bottles of media for anaerobic cultivation, consisting of a single gassing probe to sparge individual media bottles with N</w:t>
      </w:r>
      <w:r w:rsidRPr="00C44D8C">
        <w:rPr>
          <w:rFonts w:asciiTheme="minorHAnsi" w:eastAsia="Calibri" w:hAnsiTheme="minorHAnsi" w:cs="Calibri"/>
          <w:color w:val="000000"/>
          <w:sz w:val="22"/>
          <w:szCs w:val="22"/>
          <w:vertAlign w:val="subscript"/>
          <w:lang w:eastAsia="zh-CN"/>
        </w:rPr>
        <w:t xml:space="preserve">2 </w:t>
      </w:r>
      <w:r w:rsidRPr="00C44D8C">
        <w:rPr>
          <w:rFonts w:asciiTheme="minorHAnsi" w:eastAsia="Calibri" w:hAnsiTheme="minorHAnsi" w:cs="Calibri"/>
          <w:color w:val="000000"/>
          <w:sz w:val="22"/>
          <w:szCs w:val="22"/>
          <w:lang w:eastAsia="zh-CN"/>
        </w:rPr>
        <w:t xml:space="preserve">gas. </w:t>
      </w:r>
    </w:p>
    <w:p w14:paraId="64EF596F" w14:textId="76FA48D0"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Therefore, a bespoke design of a new gas sparging setup was designed and adapted </w:t>
      </w:r>
      <w:r w:rsidRPr="0004604A">
        <w:rPr>
          <w:rFonts w:asciiTheme="minorHAnsi" w:eastAsia="Calibri" w:hAnsiTheme="minorHAnsi" w:cs="Calibri"/>
          <w:color w:val="000000"/>
          <w:sz w:val="22"/>
          <w:szCs w:val="22"/>
          <w:lang w:eastAsia="zh-CN"/>
        </w:rPr>
        <w:t>from Balch &amp; Wolfe (1976)</w:t>
      </w:r>
      <w:r w:rsidR="0004604A">
        <w:rPr>
          <w:rFonts w:asciiTheme="minorHAnsi" w:eastAsia="Calibri" w:hAnsiTheme="minorHAnsi" w:cs="Calibri"/>
          <w:color w:val="000000"/>
          <w:sz w:val="22"/>
          <w:szCs w:val="22"/>
          <w:lang w:eastAsia="zh-CN"/>
        </w:rPr>
        <w:t xml:space="preserve"> </w:t>
      </w:r>
      <w:r w:rsidR="0004604A">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"author" : [ { "dropping-particle" : "", "family" : "Balch", "given" : "William E", "non-dropping-particle" : "", "parse-names" : false, "suffix" : "" }, { "dropping-particle" : "", "family" : "Wolfe", "given" : "R S", "non-dropping-particle" : "", "parse-names" : false, "suffix" : "" } ], "container-title" : "Applied and environmental microbiology", "id" : "ITEM-1", "issue" : "6", "issued" : { "date-parts" : [ [ "1976" ] ] }, "page" : "781-791", "title" : "New Approach to the Cultivation of Methanogenic Bacteria : Growth of Methanobacterium ruminantium in a Pressurized Atmosphere", "type" : "article-journal", "volume" : "32" }, "uris" : [ "http://www.mendeley.com/documents/?uuid=d06aab43-16e2-4b16-86b9-1ba5054af9d1" ] } ], "mendeley" : { "formattedCitation" : "[178]", "plainTextFormattedCitation" : "[178]", "previouslyFormattedCitation" : "[178]" }, "properties" : { "noteIndex" : 0 }, "schema" : "https://github.com/citation-style-language/schema/raw/master/csl-citation.json" }</w:instrText>
      </w:r>
      <w:r w:rsidR="0004604A">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[178]</w:t>
      </w:r>
      <w:r w:rsidR="0004604A">
        <w:rPr>
          <w:rFonts w:asciiTheme="minorHAnsi" w:eastAsia="Calibri" w:hAnsiTheme="minorHAnsi" w:cs="Calibri"/>
          <w:color w:val="000000"/>
          <w:sz w:val="22"/>
          <w:szCs w:val="22"/>
          <w:lang w:eastAsia="zh-CN"/>
        </w:rPr>
        <w:fldChar w:fldCharType="end"/>
      </w:r>
      <w:r w:rsidRPr="0004604A">
        <w:rPr>
          <w:rFonts w:asciiTheme="minorHAnsi" w:eastAsia="Calibri" w:hAnsiTheme="minorHAnsi" w:cs="Calibri"/>
          <w:color w:val="000000"/>
          <w:sz w:val="22"/>
          <w:szCs w:val="22"/>
          <w:lang w:eastAsia="zh-CN"/>
        </w:rPr>
        <w:t>, consisting</w:t>
      </w:r>
      <w:r w:rsidRPr="00C44D8C">
        <w:rPr>
          <w:rFonts w:asciiTheme="minorHAnsi" w:eastAsia="Calibri" w:hAnsiTheme="minorHAnsi" w:cs="Calibri"/>
          <w:color w:val="000000"/>
          <w:sz w:val="22"/>
          <w:szCs w:val="22"/>
          <w:lang w:eastAsia="zh-CN"/>
        </w:rPr>
        <w:t xml:space="preserve"> of four sparging probes attached to a N</w:t>
      </w:r>
      <w:r w:rsidRPr="00C44D8C">
        <w:rPr>
          <w:rFonts w:asciiTheme="minorHAnsi" w:eastAsia="Calibri" w:hAnsiTheme="minorHAnsi" w:cs="Calibri"/>
          <w:color w:val="000000"/>
          <w:sz w:val="22"/>
          <w:szCs w:val="22"/>
          <w:vertAlign w:val="subscript"/>
          <w:lang w:eastAsia="zh-CN"/>
        </w:rPr>
        <w:t xml:space="preserve">2  </w:t>
      </w:r>
      <w:r w:rsidRPr="00C44D8C">
        <w:rPr>
          <w:rFonts w:asciiTheme="minorHAnsi" w:eastAsia="Calibri" w:hAnsiTheme="minorHAnsi" w:cs="Calibri"/>
          <w:color w:val="000000"/>
          <w:sz w:val="22"/>
          <w:szCs w:val="22"/>
          <w:lang w:eastAsia="zh-CN"/>
        </w:rPr>
        <w:t>gas supply by gas-impermeable butyl rubber tubing (Cole Parmer, UK) and fitted with a gas pressure regulator (Cole Parmer, UK) (Fig. 3.1). The final production of the gas sparging setup was implemented by the University of Sheffield’s Chemical and Biological Engineering workshop.</w:t>
      </w:r>
    </w:p>
    <w:p w14:paraId="68A3C744" w14:textId="77777777" w:rsidR="00407878" w:rsidRDefault="00407878" w:rsidP="00436CD0">
      <w:pPr>
        <w:spacing w:line="360" w:lineRule="auto"/>
        <w:ind w:firstLine="720"/>
        <w:rPr>
          <w:rFonts w:asciiTheme="minorHAnsi" w:eastAsia="Calibri" w:hAnsiTheme="minorHAnsi" w:cs="Calibri"/>
          <w:color w:val="000000"/>
          <w:sz w:val="22"/>
          <w:szCs w:val="22"/>
          <w:lang w:eastAsia="zh-CN"/>
        </w:rPr>
        <w:sectPr w:rsidR="00407878" w:rsidSect="00DF337D">
          <w:pgSz w:w="11906" w:h="16838"/>
          <w:pgMar w:top="1418" w:right="1418" w:bottom="1418" w:left="2268" w:header="708" w:footer="708" w:gutter="0"/>
          <w:cols w:space="708"/>
          <w:docGrid w:linePitch="360"/>
        </w:sectPr>
      </w:pPr>
    </w:p>
    <w:p w14:paraId="32B8D413"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mbria" w:hAnsiTheme="minorHAnsi" w:cs="Cambria"/>
          <w:noProof/>
          <w:color w:val="000000"/>
          <w:sz w:val="22"/>
          <w:szCs w:val="22"/>
          <w:lang w:eastAsia="en-GB"/>
        </w:rPr>
        <w:lastRenderedPageBreak/>
        <w:drawing>
          <wp:inline distT="0" distB="0" distL="0" distR="0" wp14:anchorId="0D691202" wp14:editId="12E49AB1">
            <wp:extent cx="5372100" cy="3971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ging station.jpg"/>
                    <pic:cNvPicPr/>
                  </pic:nvPicPr>
                  <pic:blipFill>
                    <a:blip r:embed="rId24">
                      <a:extLst>
                        <a:ext uri="{28A0092B-C50C-407E-A947-70E740481C1C}">
                          <a14:useLocalDpi xmlns:a14="http://schemas.microsoft.com/office/drawing/2010/main" val="0"/>
                        </a:ext>
                      </a:extLst>
                    </a:blip>
                    <a:stretch>
                      <a:fillRect/>
                    </a:stretch>
                  </pic:blipFill>
                  <pic:spPr>
                    <a:xfrm>
                      <a:off x="0" y="0"/>
                      <a:ext cx="5372100" cy="3971925"/>
                    </a:xfrm>
                    <a:prstGeom prst="rect">
                      <a:avLst/>
                    </a:prstGeom>
                  </pic:spPr>
                </pic:pic>
              </a:graphicData>
            </a:graphic>
          </wp:inline>
        </w:drawing>
      </w:r>
    </w:p>
    <w:p w14:paraId="77ACB05F" w14:textId="5D0A0952"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b/>
          <w:bCs/>
          <w:color w:val="000000"/>
          <w:sz w:val="22"/>
          <w:szCs w:val="22"/>
          <w:lang w:eastAsia="zh-CN"/>
        </w:rPr>
        <w:t>Fig. 3.1</w:t>
      </w:r>
      <w:r w:rsidRPr="00C44D8C">
        <w:rPr>
          <w:rFonts w:asciiTheme="minorHAnsi" w:eastAsia="Calibri" w:hAnsiTheme="minorHAnsi" w:cs="Calibri"/>
          <w:color w:val="000000"/>
          <w:sz w:val="22"/>
          <w:szCs w:val="22"/>
          <w:lang w:eastAsia="zh-CN"/>
        </w:rPr>
        <w:t xml:space="preserve"> Photo of (a) the gas sparging setup as adapted from </w:t>
      </w:r>
      <w:r w:rsidR="0004604A">
        <w:rPr>
          <w:rFonts w:asciiTheme="minorHAnsi" w:eastAsia="Calibri" w:hAnsiTheme="minorHAnsi" w:cs="Calibri"/>
          <w:color w:val="000000"/>
          <w:sz w:val="22"/>
          <w:szCs w:val="22"/>
          <w:lang w:eastAsia="zh-CN"/>
        </w:rPr>
        <w:t>[172]</w:t>
      </w:r>
      <w:r w:rsidRPr="00C44D8C">
        <w:rPr>
          <w:rFonts w:asciiTheme="minorHAnsi" w:eastAsia="Calibri" w:hAnsiTheme="minorHAnsi" w:cs="Calibri"/>
          <w:color w:val="000000"/>
          <w:sz w:val="22"/>
          <w:szCs w:val="22"/>
          <w:lang w:eastAsia="zh-CN"/>
        </w:rPr>
        <w:t xml:space="preserve">, with details of (b) the personalised cooling platform. </w:t>
      </w:r>
    </w:p>
    <w:p w14:paraId="36F713B0"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p>
    <w:p w14:paraId="3FBB256C"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The gas sparging setup was dependent on the use of gas-impermeable materials, such as butyl rubber tubing and borosilicate glass syringes to maintain anaerobic conditions throughout the whole system. Having multiple sparging probes allowed the simultaneous flushing of several media bottles with N</w:t>
      </w:r>
      <w:r w:rsidRPr="00C44D8C">
        <w:rPr>
          <w:rFonts w:asciiTheme="minorHAnsi" w:eastAsia="Calibri" w:hAnsiTheme="minorHAnsi" w:cs="Calibri"/>
          <w:color w:val="000000"/>
          <w:sz w:val="22"/>
          <w:szCs w:val="22"/>
          <w:vertAlign w:val="subscript"/>
          <w:lang w:eastAsia="zh-CN"/>
        </w:rPr>
        <w:t xml:space="preserve">2 </w:t>
      </w:r>
      <w:r w:rsidRPr="00C44D8C">
        <w:rPr>
          <w:rFonts w:asciiTheme="minorHAnsi" w:eastAsia="Calibri" w:hAnsiTheme="minorHAnsi" w:cs="Calibri"/>
          <w:color w:val="000000"/>
          <w:sz w:val="22"/>
          <w:szCs w:val="22"/>
          <w:lang w:eastAsia="zh-CN"/>
        </w:rPr>
        <w:t>gas, thus reducing the time needed to prepare anaerobic media and anoxic stock solutions.</w:t>
      </w:r>
    </w:p>
    <w:p w14:paraId="09977BF3"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The setup consisted of a tube connector (Cole Parmer, UK) connected to a 100% N</w:t>
      </w:r>
      <w:r w:rsidRPr="00C44D8C">
        <w:rPr>
          <w:rFonts w:asciiTheme="minorHAnsi" w:eastAsia="Calibri" w:hAnsiTheme="minorHAnsi" w:cs="Calibri"/>
          <w:color w:val="000000"/>
          <w:sz w:val="22"/>
          <w:szCs w:val="22"/>
          <w:vertAlign w:val="subscript"/>
          <w:lang w:eastAsia="zh-CN"/>
        </w:rPr>
        <w:t xml:space="preserve">2 </w:t>
      </w:r>
      <w:r w:rsidRPr="00C44D8C">
        <w:rPr>
          <w:rFonts w:asciiTheme="minorHAnsi" w:eastAsia="Calibri" w:hAnsiTheme="minorHAnsi" w:cs="Calibri"/>
          <w:color w:val="000000"/>
          <w:sz w:val="22"/>
          <w:szCs w:val="22"/>
          <w:lang w:eastAsia="zh-CN"/>
        </w:rPr>
        <w:t>gas tap to divide the gas flow to four sparging probes, with the flow of gas to each probe controlled by individual gas valves (Cole Parmer, UK). The sparging probes consisted of 2 ml borosilicate glass syringes with a metal Luer lock tip (SAMCO, UK) connected to 21G blunt steel syringe needles (Sigma Aldrich, UK). Butyl rubber tubing was inserted and secured within the opening of the glass syringes in order to deliver N</w:t>
      </w:r>
      <w:r w:rsidRPr="00C44D8C">
        <w:rPr>
          <w:rFonts w:asciiTheme="minorHAnsi" w:eastAsia="Calibri" w:hAnsiTheme="minorHAnsi" w:cs="Calibri"/>
          <w:color w:val="000000"/>
          <w:sz w:val="22"/>
          <w:szCs w:val="22"/>
          <w:vertAlign w:val="subscript"/>
          <w:lang w:eastAsia="zh-CN"/>
        </w:rPr>
        <w:t xml:space="preserve">2  </w:t>
      </w:r>
      <w:r w:rsidRPr="00C44D8C">
        <w:rPr>
          <w:rFonts w:asciiTheme="minorHAnsi" w:eastAsia="Calibri" w:hAnsiTheme="minorHAnsi" w:cs="Calibri"/>
          <w:color w:val="000000"/>
          <w:sz w:val="22"/>
          <w:szCs w:val="22"/>
          <w:lang w:eastAsia="zh-CN"/>
        </w:rPr>
        <w:t xml:space="preserve">gas. </w:t>
      </w:r>
    </w:p>
    <w:p w14:paraId="137AD958"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sparging probes and butyl rubber tubing were supported by a thermoplastic standing structure with a stainless steel base. The stainless steel base was used to withstand the heat from the heat plate, and consisted of a platform with four holes cut into it to allow the insertion of four serum bottles. The holes in the steel platform had the same diameter as the serum bottles used for anaerobic cultivation. The steel platform was fixed </w:t>
      </w:r>
      <w:r w:rsidRPr="00C44D8C">
        <w:rPr>
          <w:rFonts w:asciiTheme="minorHAnsi" w:eastAsia="Calibri" w:hAnsiTheme="minorHAnsi" w:cs="Calibri"/>
          <w:color w:val="000000"/>
          <w:sz w:val="22"/>
          <w:szCs w:val="22"/>
          <w:lang w:eastAsia="zh-CN"/>
        </w:rPr>
        <w:lastRenderedPageBreak/>
        <w:t xml:space="preserve">to a height that would allow a heat plate to fit underneath it, to optimise the simultaneous heating and sparging of serum bottles that was required for the preparation of anoxic media and stock solutions. </w:t>
      </w:r>
    </w:p>
    <w:p w14:paraId="6AF0C40E"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In order to facilitate the cooling of heated media, the transfer of serum bottles away from the heat plate was necessary. In this new sparging setup, after serum bottles had been on the heat plate for 10 minutes, the whole structural support was carefully pushed backwards off the heat plate and onto a custom-made wooden base structure for serum bottles to cool whilst still sparging. </w:t>
      </w:r>
    </w:p>
    <w:p w14:paraId="319E4B0B" w14:textId="77777777" w:rsidR="00436CD0" w:rsidRPr="00C44D8C" w:rsidRDefault="00436CD0" w:rsidP="00436CD0">
      <w:pPr>
        <w:spacing w:line="360" w:lineRule="auto"/>
        <w:rPr>
          <w:rFonts w:asciiTheme="minorHAnsi" w:eastAsia="Calibri" w:hAnsiTheme="minorHAnsi" w:cs="Calibri"/>
          <w:b/>
          <w:color w:val="000000"/>
          <w:sz w:val="22"/>
          <w:szCs w:val="22"/>
          <w:lang w:eastAsia="zh-CN"/>
        </w:rPr>
      </w:pPr>
    </w:p>
    <w:p w14:paraId="20B1A583" w14:textId="77777777" w:rsidR="00436CD0" w:rsidRPr="00C44D8C" w:rsidRDefault="00436CD0" w:rsidP="002E046A">
      <w:pPr>
        <w:pStyle w:val="Heading6"/>
        <w:rPr>
          <w:rFonts w:eastAsia="Cambria" w:cs="Cambria"/>
          <w:lang w:eastAsia="zh-CN"/>
        </w:rPr>
      </w:pPr>
      <w:bookmarkStart w:id="76" w:name="_Toc462575292"/>
      <w:r w:rsidRPr="00C44D8C">
        <w:rPr>
          <w:rFonts w:eastAsia="Calibri"/>
          <w:lang w:eastAsia="zh-CN"/>
        </w:rPr>
        <w:t>3.2.3. Growth conditions</w:t>
      </w:r>
      <w:bookmarkEnd w:id="76"/>
      <w:r w:rsidRPr="00C44D8C">
        <w:rPr>
          <w:rFonts w:eastAsia="Calibri"/>
          <w:lang w:eastAsia="zh-CN"/>
        </w:rPr>
        <w:t xml:space="preserve"> </w:t>
      </w:r>
    </w:p>
    <w:p w14:paraId="6A9CDAB0" w14:textId="6496B46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Growth curves were established for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upon receipt.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was subcultured from frozen glycerol stocks or live cultures into 50 ml of freshly reduced media to establish growth and statically incubated at 37˚C. Growth was monitored by optical density readings over 8 days at 600 nm (OD</w:t>
      </w:r>
      <w:r w:rsidRPr="00C44D8C">
        <w:rPr>
          <w:rFonts w:asciiTheme="minorHAnsi" w:eastAsia="Calibri" w:hAnsiTheme="minorHAnsi" w:cs="Calibri"/>
          <w:color w:val="000000"/>
          <w:sz w:val="22"/>
          <w:szCs w:val="22"/>
          <w:vertAlign w:val="subscript"/>
          <w:lang w:eastAsia="zh-CN"/>
        </w:rPr>
        <w:t>600</w:t>
      </w:r>
      <w:r w:rsidRPr="00C44D8C">
        <w:rPr>
          <w:rFonts w:asciiTheme="minorHAnsi" w:eastAsia="Calibri" w:hAnsiTheme="minorHAnsi" w:cs="Calibri"/>
          <w:color w:val="000000"/>
          <w:sz w:val="22"/>
          <w:szCs w:val="22"/>
          <w:lang w:eastAsia="zh-CN"/>
        </w:rPr>
        <w:t>) on a spectrophotometer (Ultrospec 2100 Pro, Fisher Scientific, UK), and by internal gas pressure readings using a personalised and tailored gas pressure transducer with a syringe needle adapter, courtesy of Dr. Gavin Collins from the National University of Galway. This can be seen in Fig. 3.2. The starting OD</w:t>
      </w:r>
      <w:r w:rsidRPr="00C44D8C">
        <w:rPr>
          <w:rFonts w:asciiTheme="minorHAnsi" w:eastAsia="Calibri" w:hAnsiTheme="minorHAnsi" w:cs="Calibri"/>
          <w:color w:val="000000"/>
          <w:sz w:val="22"/>
          <w:szCs w:val="22"/>
          <w:vertAlign w:val="subscript"/>
          <w:lang w:eastAsia="zh-CN"/>
        </w:rPr>
        <w:t xml:space="preserve">600 </w:t>
      </w:r>
      <w:r w:rsidRPr="00C44D8C">
        <w:rPr>
          <w:rFonts w:asciiTheme="minorHAnsi" w:eastAsia="Calibri" w:hAnsiTheme="minorHAnsi" w:cs="Calibri"/>
          <w:color w:val="000000"/>
          <w:sz w:val="22"/>
          <w:szCs w:val="22"/>
          <w:lang w:eastAsia="zh-CN"/>
        </w:rPr>
        <w:t>of growth curves was 0.05. Samples for OD</w:t>
      </w:r>
      <w:r w:rsidRPr="00C44D8C">
        <w:rPr>
          <w:rFonts w:asciiTheme="minorHAnsi" w:eastAsia="Calibri" w:hAnsiTheme="minorHAnsi" w:cs="Calibri"/>
          <w:color w:val="000000"/>
          <w:sz w:val="22"/>
          <w:szCs w:val="22"/>
          <w:vertAlign w:val="subscript"/>
          <w:lang w:eastAsia="zh-CN"/>
        </w:rPr>
        <w:t xml:space="preserve">600 </w:t>
      </w:r>
      <w:r w:rsidRPr="00C44D8C">
        <w:rPr>
          <w:rFonts w:asciiTheme="minorHAnsi" w:eastAsia="Calibri" w:hAnsiTheme="minorHAnsi" w:cs="Calibri"/>
          <w:color w:val="000000"/>
          <w:sz w:val="22"/>
          <w:szCs w:val="22"/>
          <w:lang w:eastAsia="zh-CN"/>
        </w:rPr>
        <w:t>measurements were extract</w:t>
      </w:r>
      <w:r w:rsidR="002E046A">
        <w:rPr>
          <w:rFonts w:asciiTheme="minorHAnsi" w:eastAsia="Calibri" w:hAnsiTheme="minorHAnsi" w:cs="Calibri"/>
          <w:color w:val="000000"/>
          <w:sz w:val="22"/>
          <w:szCs w:val="22"/>
          <w:lang w:eastAsia="zh-CN"/>
        </w:rPr>
        <w:t>ed within an anaerobic chamber.</w:t>
      </w:r>
    </w:p>
    <w:p w14:paraId="1E7E72BF"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p>
    <w:p w14:paraId="7404D6EF"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mbria" w:hAnsiTheme="minorHAnsi" w:cs="Cambria"/>
          <w:noProof/>
          <w:color w:val="000000"/>
          <w:sz w:val="22"/>
          <w:szCs w:val="22"/>
          <w:lang w:eastAsia="en-GB"/>
        </w:rPr>
        <w:drawing>
          <wp:inline distT="0" distB="0" distL="0" distR="0" wp14:anchorId="670F221C" wp14:editId="4A9C73A6">
            <wp:extent cx="5396230" cy="23507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ducer2.jpg"/>
                    <pic:cNvPicPr/>
                  </pic:nvPicPr>
                  <pic:blipFill>
                    <a:blip r:embed="rId25">
                      <a:extLst>
                        <a:ext uri="{28A0092B-C50C-407E-A947-70E740481C1C}">
                          <a14:useLocalDpi xmlns:a14="http://schemas.microsoft.com/office/drawing/2010/main" val="0"/>
                        </a:ext>
                      </a:extLst>
                    </a:blip>
                    <a:stretch>
                      <a:fillRect/>
                    </a:stretch>
                  </pic:blipFill>
                  <pic:spPr>
                    <a:xfrm>
                      <a:off x="0" y="0"/>
                      <a:ext cx="5396230" cy="2350770"/>
                    </a:xfrm>
                    <a:prstGeom prst="rect">
                      <a:avLst/>
                    </a:prstGeom>
                  </pic:spPr>
                </pic:pic>
              </a:graphicData>
            </a:graphic>
          </wp:inline>
        </w:drawing>
      </w:r>
    </w:p>
    <w:p w14:paraId="78B68EF3"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b/>
          <w:bCs/>
          <w:color w:val="000000"/>
          <w:sz w:val="22"/>
          <w:szCs w:val="22"/>
          <w:lang w:eastAsia="zh-CN"/>
        </w:rPr>
        <w:t xml:space="preserve">Fig. 3.2 </w:t>
      </w:r>
      <w:r w:rsidRPr="00C44D8C">
        <w:rPr>
          <w:rFonts w:asciiTheme="minorHAnsi" w:eastAsia="Calibri" w:hAnsiTheme="minorHAnsi" w:cs="Calibri"/>
          <w:color w:val="000000"/>
          <w:sz w:val="22"/>
          <w:szCs w:val="22"/>
          <w:lang w:eastAsia="zh-CN"/>
        </w:rPr>
        <w:t>Modified pressure transducer used to measure the gas pressure in the headspace of cultures.</w:t>
      </w:r>
    </w:p>
    <w:p w14:paraId="6BB4CDB0" w14:textId="77777777" w:rsidR="00407878" w:rsidRDefault="00407878" w:rsidP="00436CD0">
      <w:pPr>
        <w:spacing w:line="360" w:lineRule="auto"/>
        <w:rPr>
          <w:rFonts w:asciiTheme="minorHAnsi" w:eastAsia="Calibri" w:hAnsiTheme="minorHAnsi" w:cs="Calibri"/>
          <w:color w:val="000000"/>
          <w:sz w:val="22"/>
          <w:szCs w:val="22"/>
          <w:lang w:eastAsia="zh-CN"/>
        </w:rPr>
        <w:sectPr w:rsidR="00407878" w:rsidSect="00DF337D">
          <w:pgSz w:w="11906" w:h="16838"/>
          <w:pgMar w:top="1418" w:right="1418" w:bottom="1418" w:left="2268" w:header="708" w:footer="708" w:gutter="0"/>
          <w:cols w:space="708"/>
          <w:docGrid w:linePitch="360"/>
        </w:sectPr>
      </w:pPr>
    </w:p>
    <w:p w14:paraId="4FBB5A4B"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lastRenderedPageBreak/>
        <w:t>To maintain reproducibility of results and to avoid phenotypic drift from repetitive culturing, experiments were started from maintained fridge stock cultures and were subcultured no more than 3 times. Fridge stock cultures were maintained monthly at 4˚C, with new stock cultures grown from frozen glycerol stocks every 3 months.</w:t>
      </w:r>
    </w:p>
    <w:p w14:paraId="6183E22F"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1B891758" w14:textId="77777777" w:rsidR="00436CD0" w:rsidRPr="00C44D8C" w:rsidRDefault="00436CD0" w:rsidP="002E046A">
      <w:pPr>
        <w:pStyle w:val="Heading6"/>
        <w:rPr>
          <w:rFonts w:eastAsia="Cambria" w:cs="Cambria"/>
          <w:lang w:eastAsia="zh-CN"/>
        </w:rPr>
      </w:pPr>
      <w:bookmarkStart w:id="77" w:name="_Toc462575293"/>
      <w:r w:rsidRPr="00C44D8C">
        <w:rPr>
          <w:rFonts w:eastAsia="Calibri"/>
          <w:lang w:eastAsia="zh-CN"/>
        </w:rPr>
        <w:t>3.2.4. Support material preparation</w:t>
      </w:r>
      <w:bookmarkEnd w:id="77"/>
    </w:p>
    <w:p w14:paraId="75513E84" w14:textId="556E2AC9"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Six different support materials were used, consisting of common engineering plastics chosen for their low cost, durability and a</w:t>
      </w:r>
      <w:r w:rsidR="00C63855">
        <w:rPr>
          <w:rFonts w:asciiTheme="minorHAnsi" w:eastAsia="Calibri" w:hAnsiTheme="minorHAnsi" w:cs="Calibri"/>
          <w:color w:val="000000"/>
          <w:sz w:val="22"/>
          <w:szCs w:val="22"/>
          <w:lang w:eastAsia="zh-CN"/>
        </w:rPr>
        <w:t>ccessibility</w:t>
      </w:r>
      <w:r w:rsidRPr="00C44D8C">
        <w:rPr>
          <w:rFonts w:asciiTheme="minorHAnsi" w:eastAsia="Calibri" w:hAnsiTheme="minorHAnsi" w:cs="Calibri"/>
          <w:color w:val="000000"/>
          <w:sz w:val="22"/>
          <w:szCs w:val="22"/>
          <w:lang w:eastAsia="zh-CN"/>
        </w:rPr>
        <w:t>: polyethylene (PE), polypropylene (PP), polyvinyl chloride (PVC), polyvinylidene fluoride (PVDF), polyethylene terephthalate glycol (PETG) and polytetrafluoroethylene (PTFE) (Engineering &amp; Design Plastics Ltd., Cambridge, UK). Each plast</w:t>
      </w:r>
      <w:r w:rsidR="008A3BA1">
        <w:rPr>
          <w:rFonts w:asciiTheme="minorHAnsi" w:eastAsia="Calibri" w:hAnsiTheme="minorHAnsi" w:cs="Calibri"/>
          <w:color w:val="000000"/>
          <w:sz w:val="22"/>
          <w:szCs w:val="22"/>
          <w:lang w:eastAsia="zh-CN"/>
        </w:rPr>
        <w:t xml:space="preserve">ic was cut into 1 x 1 cm </w:t>
      </w:r>
      <w:r w:rsidRPr="00C44D8C">
        <w:rPr>
          <w:rFonts w:asciiTheme="minorHAnsi" w:eastAsia="Calibri" w:hAnsiTheme="minorHAnsi" w:cs="Calibri"/>
          <w:color w:val="000000"/>
          <w:sz w:val="22"/>
          <w:szCs w:val="22"/>
          <w:lang w:eastAsia="zh-CN"/>
        </w:rPr>
        <w:t xml:space="preserve">coupons for the static initial adhesion and biofilm formation experiments, and into 1.5 cm x 6 cm coupons for streaming potential and contact angle measurements. </w:t>
      </w:r>
    </w:p>
    <w:p w14:paraId="48D84CF5"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The plastic coupons were cleaned with 70 % ethanol (Sigma, UK) to remove grease on the surface before being submerged into a 2% v/v PCC-54 detergent solution (Fisher Scientific, U.K.), and subjected to a water sonication bath (Fisherbrand, UK) within a container for 5 minutes. The coupons were then rinsed several times with Milli-Q ultrapure water (Merck Millipore, Germany) until they stopped foaming. They were dried inside a laminar flow cabinet and further UV-sterilised for 3 hours, before being stored in sterile Falcon tubes (Sigma, UK) for future use.</w:t>
      </w:r>
    </w:p>
    <w:p w14:paraId="2D0D2859"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6CD1B3E6" w14:textId="77777777" w:rsidR="00436CD0" w:rsidRPr="00C44D8C" w:rsidRDefault="00436CD0" w:rsidP="002E046A">
      <w:pPr>
        <w:pStyle w:val="Heading6"/>
        <w:rPr>
          <w:rFonts w:eastAsia="Cambria" w:cs="Cambria"/>
          <w:lang w:eastAsia="zh-CN"/>
        </w:rPr>
      </w:pPr>
      <w:bookmarkStart w:id="78" w:name="_Toc462575294"/>
      <w:r w:rsidRPr="00C44D8C">
        <w:rPr>
          <w:rFonts w:eastAsia="Calibri"/>
          <w:lang w:eastAsia="zh-CN"/>
        </w:rPr>
        <w:t>3.2.5. Surface characterisation analysis</w:t>
      </w:r>
      <w:bookmarkEnd w:id="78"/>
    </w:p>
    <w:p w14:paraId="43EF6907" w14:textId="77777777" w:rsidR="00436CD0" w:rsidRPr="00C44D8C" w:rsidRDefault="00436CD0" w:rsidP="002E046A">
      <w:pPr>
        <w:pStyle w:val="Heading7"/>
        <w:rPr>
          <w:rFonts w:eastAsia="Cambria" w:cs="Cambria"/>
          <w:lang w:eastAsia="zh-CN"/>
        </w:rPr>
      </w:pPr>
      <w:bookmarkStart w:id="79" w:name="_Toc462575295"/>
      <w:r w:rsidRPr="00C44D8C">
        <w:rPr>
          <w:lang w:eastAsia="zh-CN"/>
        </w:rPr>
        <w:t>3.2.5.1. Contact angle measurement</w:t>
      </w:r>
      <w:bookmarkEnd w:id="79"/>
    </w:p>
    <w:p w14:paraId="529D0FBA" w14:textId="18D5DEB3"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Contact angles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and the support materials were measured using the sessile drop technique using a tensiometer (Attension Theta Lite, Biolin Scientific, Sweden) and 3 probe liquids of different polarity and with</w:t>
      </w:r>
      <w:r w:rsidR="00C63855">
        <w:rPr>
          <w:rFonts w:asciiTheme="minorHAnsi" w:eastAsia="Calibri" w:hAnsiTheme="minorHAnsi" w:cs="Calibri"/>
          <w:color w:val="000000"/>
          <w:sz w:val="22"/>
          <w:szCs w:val="22"/>
          <w:lang w:eastAsia="zh-CN"/>
        </w:rPr>
        <w:t xml:space="preserve"> known surface energy (please refer to section 2.5.1.4)</w:t>
      </w:r>
      <w:r w:rsidRPr="00C44D8C">
        <w:rPr>
          <w:rFonts w:asciiTheme="minorHAnsi" w:eastAsia="Calibri" w:hAnsiTheme="minorHAnsi" w:cs="Calibri"/>
          <w:color w:val="000000"/>
          <w:sz w:val="22"/>
          <w:szCs w:val="22"/>
          <w:lang w:eastAsia="zh-CN"/>
        </w:rPr>
        <w:t xml:space="preserve">. These liquids were Milli-Q water, diiodomethane (Sigma-Aldrich, UK) and formamide (Sigma-Aldrich, UK). Contact angle measurements were carried out at room temperature (22˚C). </w:t>
      </w:r>
    </w:p>
    <w:p w14:paraId="6E7138C5"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Coupons with dimensions of 1.5 cm x 6 cm were prepared for each of the support materials.  The reported contact angle results are based on 3 replicate coupons and a droplet of each probe liquid deposited onto a randomly selected location on the surface of each support material coupon.</w:t>
      </w:r>
    </w:p>
    <w:p w14:paraId="21290933" w14:textId="2F28E366" w:rsidR="00FE1A56" w:rsidRDefault="00436CD0" w:rsidP="00D604D8">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i/>
          <w:color w:val="000000"/>
          <w:sz w:val="22"/>
          <w:szCs w:val="22"/>
          <w:lang w:eastAsia="zh-CN"/>
        </w:rPr>
        <w:lastRenderedPageBreak/>
        <w:t xml:space="preserve">M. barkeri </w:t>
      </w:r>
      <w:r w:rsidRPr="00C44D8C">
        <w:rPr>
          <w:rFonts w:asciiTheme="minorHAnsi" w:eastAsia="Calibri" w:hAnsiTheme="minorHAnsi" w:cs="Calibri"/>
          <w:color w:val="000000"/>
          <w:sz w:val="22"/>
          <w:szCs w:val="22"/>
          <w:lang w:eastAsia="zh-CN"/>
        </w:rPr>
        <w:t>cells were harvested at mid-exponential phase</w:t>
      </w:r>
      <w:r w:rsidR="00651235">
        <w:rPr>
          <w:rFonts w:asciiTheme="minorHAnsi" w:eastAsia="Calibri" w:hAnsiTheme="minorHAnsi" w:cs="Calibri"/>
          <w:color w:val="000000"/>
          <w:sz w:val="22"/>
          <w:szCs w:val="22"/>
          <w:lang w:eastAsia="zh-CN"/>
        </w:rPr>
        <w:t xml:space="preserve"> (96 h growth)</w:t>
      </w:r>
      <w:r w:rsidRPr="00C44D8C">
        <w:rPr>
          <w:rFonts w:asciiTheme="minorHAnsi" w:eastAsia="Calibri" w:hAnsiTheme="minorHAnsi" w:cs="Calibri"/>
          <w:color w:val="000000"/>
          <w:sz w:val="22"/>
          <w:szCs w:val="22"/>
          <w:lang w:eastAsia="zh-CN"/>
        </w:rPr>
        <w:t>, as monitored by OD</w:t>
      </w:r>
      <w:r w:rsidRPr="00C44D8C">
        <w:rPr>
          <w:rFonts w:asciiTheme="minorHAnsi" w:eastAsia="Calibri" w:hAnsiTheme="minorHAnsi" w:cs="Calibri"/>
          <w:color w:val="000000"/>
          <w:sz w:val="22"/>
          <w:szCs w:val="22"/>
          <w:vertAlign w:val="subscript"/>
          <w:lang w:eastAsia="zh-CN"/>
        </w:rPr>
        <w:t>600</w:t>
      </w:r>
      <w:r w:rsidRPr="00C44D8C">
        <w:rPr>
          <w:rFonts w:asciiTheme="minorHAnsi" w:eastAsia="Calibri" w:hAnsiTheme="minorHAnsi" w:cs="Calibri"/>
          <w:color w:val="000000"/>
          <w:sz w:val="22"/>
          <w:szCs w:val="22"/>
          <w:lang w:eastAsia="zh-CN"/>
        </w:rPr>
        <w:t xml:space="preserve"> measurements, and centrifuged (Heraeus Megafuge 16, Thermo Scientific, USA) at 6000 x g for 5 minutes and rinsed twice with 100 mM potassium chloride solution (KCl) (Sigma-Aldrich, UK) at pH 7. Using a vacuum pump to provide a negative pressure, washed cells were filtered onto a 0.45 µM pore nitrocellulose filter membrane (MilliPore, USA) to obtain an even lawn of microbial cells, which was assessed by visual inspection. A drying time of 20 minutes was used for all contact angle measurements after preliminary experiments using water contact angles were carried out to establish the ‘plateau phase’ over time, or when the contact angle was stable</w:t>
      </w:r>
      <w:r w:rsidR="0004604A">
        <w:rPr>
          <w:rFonts w:asciiTheme="minorHAnsi" w:eastAsia="Calibri" w:hAnsiTheme="minorHAnsi" w:cs="Calibri"/>
          <w:color w:val="000000"/>
          <w:sz w:val="22"/>
          <w:szCs w:val="22"/>
          <w:lang w:eastAsia="zh-CN"/>
        </w:rPr>
        <w:t xml:space="preserve"> </w:t>
      </w:r>
      <w:r w:rsidR="0004604A">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04604A">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[78]</w:t>
      </w:r>
      <w:r w:rsidR="0004604A">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Results reported are contact angles measured for 3 biological replicates and a droplet of each liquid deposited onto a randomly selected location on the microbial lawn.</w:t>
      </w:r>
    </w:p>
    <w:p w14:paraId="3B9A49BD" w14:textId="77777777" w:rsidR="00D604D8" w:rsidRPr="00D604D8" w:rsidRDefault="00D604D8" w:rsidP="00D604D8">
      <w:pPr>
        <w:spacing w:line="360" w:lineRule="auto"/>
        <w:ind w:firstLine="720"/>
        <w:rPr>
          <w:rFonts w:asciiTheme="minorHAnsi" w:eastAsia="Cambria" w:hAnsiTheme="minorHAnsi" w:cs="Cambria"/>
          <w:color w:val="000000"/>
          <w:sz w:val="22"/>
          <w:szCs w:val="22"/>
          <w:lang w:eastAsia="zh-CN"/>
        </w:rPr>
      </w:pPr>
    </w:p>
    <w:p w14:paraId="3E529DFA" w14:textId="77777777" w:rsidR="00436CD0" w:rsidRPr="00C44D8C" w:rsidRDefault="00436CD0" w:rsidP="00D604D8">
      <w:pPr>
        <w:pStyle w:val="Heading7"/>
        <w:rPr>
          <w:rFonts w:eastAsia="Cambria" w:cs="Cambria"/>
          <w:lang w:eastAsia="zh-CN"/>
        </w:rPr>
      </w:pPr>
      <w:bookmarkStart w:id="80" w:name="_Toc462575296"/>
      <w:r w:rsidRPr="00C44D8C">
        <w:rPr>
          <w:lang w:eastAsia="zh-CN"/>
        </w:rPr>
        <w:t>3.2.5.2. Calculation of surface free energy components</w:t>
      </w:r>
      <w:bookmarkEnd w:id="80"/>
      <w:r w:rsidRPr="00C44D8C">
        <w:rPr>
          <w:lang w:eastAsia="zh-CN"/>
        </w:rPr>
        <w:t xml:space="preserve"> </w:t>
      </w:r>
    </w:p>
    <w:p w14:paraId="02835F5C" w14:textId="7BC0FBEB"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w:t>
      </w:r>
      <w:r w:rsidRPr="0004604A">
        <w:rPr>
          <w:rFonts w:asciiTheme="minorHAnsi" w:eastAsia="Calibri" w:hAnsiTheme="minorHAnsi" w:cs="Calibri"/>
          <w:color w:val="000000"/>
          <w:sz w:val="22"/>
          <w:szCs w:val="22"/>
          <w:lang w:eastAsia="zh-CN"/>
        </w:rPr>
        <w:t>van</w:t>
      </w:r>
      <w:r w:rsidR="00E269BC">
        <w:rPr>
          <w:rFonts w:asciiTheme="minorHAnsi" w:eastAsia="Calibri" w:hAnsiTheme="minorHAnsi" w:cs="Calibri"/>
          <w:color w:val="000000"/>
          <w:sz w:val="22"/>
          <w:szCs w:val="22"/>
          <w:lang w:eastAsia="zh-CN"/>
        </w:rPr>
        <w:t xml:space="preserve"> Oss, Chaudhury, and Good</w:t>
      </w:r>
      <w:r w:rsidRPr="0004604A">
        <w:rPr>
          <w:rFonts w:asciiTheme="minorHAnsi" w:eastAsia="Calibri" w:hAnsiTheme="minorHAnsi" w:cs="Calibri"/>
          <w:color w:val="000000"/>
          <w:sz w:val="22"/>
          <w:szCs w:val="22"/>
          <w:lang w:eastAsia="zh-CN"/>
        </w:rPr>
        <w:t xml:space="preserve">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"10.1021/cr00088a006", "ISSN" : "0009-2665", "author" : [ { "dropping-particle" : "", "family" : "Oss", "given" : "Carel J.", "non-dropping-particle" : "Van", "parse-names" : false, "suffix" : "" }, { "dropping-particle" : "", "family" : "Chaudhury", "given" : "Manoj K.", "non-dropping-particle" : "", "parse-names" : false, "suffix" : "" }, { "dropping-particle" : "", "family" : "Good", "given" : "Robert J.", "non-dropping-particle" : "", "parse-names" : false, "suffix" : "" } ], "container-title" : "Chemical Reviews", "id" : "ITEM-1", "issue" : "6", "issued" : { "date-parts" : [ [ "1988", "9" ] ] }, "page" : "927-941", "title" : "Interfacial Lifshitz-van der Waals and polar interactions in macroscopic systems", "type" : "article-journal", "volume" : "88" }, "uris" : [ "http://www.mendeley.com/documents/?uuid=fa5f49bc-e129-4817-9d97-1b55b85315c6" ] } ], "mendeley" : { "formattedCitation" : "[76]", "plainTextFormattedCitation" : "[76]", "previouslyFormattedCitation" : "[76]"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[76]</w:t>
      </w:r>
      <w:r w:rsidR="00E87761">
        <w:rPr>
          <w:rFonts w:asciiTheme="minorHAnsi" w:eastAsia="Calibri" w:hAnsiTheme="minorHAnsi" w:cs="Calibri"/>
          <w:color w:val="000000"/>
          <w:sz w:val="22"/>
          <w:szCs w:val="22"/>
          <w:lang w:eastAsia="zh-CN"/>
        </w:rPr>
        <w:fldChar w:fldCharType="end"/>
      </w:r>
      <w:r w:rsidR="00E87761">
        <w:rPr>
          <w:rFonts w:asciiTheme="minorHAnsi" w:eastAsia="Calibri" w:hAnsiTheme="minorHAnsi" w:cs="Calibri"/>
          <w:color w:val="000000"/>
          <w:sz w:val="22"/>
          <w:szCs w:val="22"/>
          <w:lang w:eastAsia="zh-CN"/>
        </w:rPr>
        <w:t xml:space="preserve"> </w:t>
      </w:r>
      <w:r w:rsidR="00E269BC">
        <w:rPr>
          <w:rFonts w:asciiTheme="minorHAnsi" w:eastAsia="Calibri" w:hAnsiTheme="minorHAnsi" w:cs="Calibri"/>
          <w:color w:val="000000"/>
          <w:sz w:val="22"/>
          <w:szCs w:val="22"/>
          <w:lang w:eastAsia="zh-CN"/>
        </w:rPr>
        <w:t xml:space="preserve">approach for measuring SFE was used in this study </w:t>
      </w:r>
      <w:r w:rsidRPr="0004604A">
        <w:rPr>
          <w:rFonts w:asciiTheme="minorHAnsi" w:eastAsia="Calibri" w:hAnsiTheme="minorHAnsi" w:cs="Calibri"/>
          <w:color w:val="000000"/>
          <w:sz w:val="22"/>
          <w:szCs w:val="22"/>
          <w:lang w:eastAsia="zh-CN"/>
        </w:rPr>
        <w:t>to</w:t>
      </w:r>
      <w:r w:rsidRPr="00C44D8C">
        <w:rPr>
          <w:rFonts w:asciiTheme="minorHAnsi" w:eastAsia="Calibri" w:hAnsiTheme="minorHAnsi" w:cs="Calibri"/>
          <w:color w:val="000000"/>
          <w:sz w:val="22"/>
          <w:szCs w:val="22"/>
          <w:lang w:eastAsia="zh-CN"/>
        </w:rPr>
        <w:t xml:space="preserve"> take into account not only t</w:t>
      </w:r>
      <w:r w:rsidR="00FE1A56" w:rsidRPr="00C44D8C">
        <w:rPr>
          <w:rFonts w:asciiTheme="minorHAnsi" w:eastAsia="Calibri" w:hAnsiTheme="minorHAnsi" w:cs="Calibri"/>
          <w:color w:val="000000"/>
          <w:sz w:val="22"/>
          <w:szCs w:val="22"/>
          <w:lang w:eastAsia="zh-CN"/>
        </w:rPr>
        <w:t xml:space="preserve">he surface tension of a liquid </w:t>
      </w:r>
      <w:r w:rsidRPr="00C44D8C">
        <w:rPr>
          <w:rFonts w:asciiTheme="minorHAnsi" w:eastAsia="Calibri" w:hAnsiTheme="minorHAnsi" w:cs="Calibri"/>
          <w:color w:val="000000"/>
          <w:sz w:val="22"/>
          <w:szCs w:val="22"/>
          <w:lang w:eastAsia="zh-CN"/>
        </w:rPr>
        <w:t>and solid, but also the acid</w:t>
      </w:r>
      <w:r w:rsidR="00E269BC">
        <w:rPr>
          <w:rFonts w:asciiTheme="minorHAnsi" w:eastAsia="Calibri" w:hAnsiTheme="minorHAnsi" w:cs="Calibri"/>
          <w:color w:val="000000"/>
          <w:sz w:val="22"/>
          <w:szCs w:val="22"/>
          <w:lang w:eastAsia="zh-CN"/>
        </w:rPr>
        <w:t xml:space="preserve">-base contributions to the SFE of a solid surface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p>
    <w:p w14:paraId="04EDF03E"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37262742" w14:textId="77777777" w:rsidR="00436CD0" w:rsidRPr="00C44D8C" w:rsidRDefault="00A36734" w:rsidP="00436CD0">
      <w:pPr>
        <w:spacing w:line="360" w:lineRule="auto"/>
        <w:jc w:val="center"/>
        <w:rPr>
          <w:rFonts w:asciiTheme="minorHAnsi" w:eastAsia="Cambria" w:hAnsiTheme="minorHAnsi" w:cs="Cambria"/>
          <w:color w:val="000000"/>
          <w:sz w:val="22"/>
          <w:szCs w:val="22"/>
          <w:lang w:eastAsia="zh-CN"/>
        </w:rPr>
      </w:pPr>
      <m:oMath>
        <m:d>
          <m:dPr>
            <m:ctrlPr>
              <w:rPr>
                <w:rFonts w:ascii="Cambria Math" w:eastAsia="Cambria" w:hAnsi="Cambria Math" w:cs="Cambria"/>
                <w:bCs/>
                <w:i/>
                <w:color w:val="000000"/>
                <w:sz w:val="22"/>
                <w:szCs w:val="22"/>
                <w:lang w:eastAsia="zh-CN"/>
              </w:rPr>
            </m:ctrlPr>
          </m:dPr>
          <m:e>
            <m:r>
              <w:rPr>
                <w:rFonts w:ascii="Cambria Math" w:eastAsia="Cambria" w:hAnsi="Cambria Math" w:cs="Cambria"/>
                <w:color w:val="000000"/>
                <w:sz w:val="22"/>
                <w:szCs w:val="22"/>
                <w:lang w:eastAsia="zh-CN"/>
              </w:rPr>
              <m:t>1+</m:t>
            </m:r>
            <m:func>
              <m:funcPr>
                <m:ctrlPr>
                  <w:rPr>
                    <w:rFonts w:ascii="Cambria Math" w:eastAsia="Cambria" w:hAnsi="Cambria Math" w:cs="Cambria"/>
                    <w:bCs/>
                    <w:i/>
                    <w:color w:val="000000"/>
                    <w:sz w:val="22"/>
                    <w:szCs w:val="22"/>
                    <w:lang w:eastAsia="zh-CN"/>
                  </w:rPr>
                </m:ctrlPr>
              </m:funcPr>
              <m:fName>
                <m:r>
                  <m:rPr>
                    <m:sty m:val="p"/>
                  </m:rPr>
                  <w:rPr>
                    <w:rFonts w:ascii="Cambria Math" w:eastAsia="Cambria" w:hAnsi="Cambria Math" w:cs="Cambria"/>
                    <w:color w:val="000000"/>
                    <w:sz w:val="22"/>
                    <w:szCs w:val="22"/>
                    <w:lang w:eastAsia="zh-CN"/>
                  </w:rPr>
                  <m:t>cos</m:t>
                </m:r>
              </m:fName>
              <m:e>
                <m:r>
                  <w:rPr>
                    <w:rFonts w:ascii="Cambria Math" w:eastAsia="Cambria" w:hAnsi="Cambria Math" w:cs="Cambria"/>
                    <w:color w:val="000000"/>
                    <w:sz w:val="22"/>
                    <w:szCs w:val="22"/>
                    <w:lang w:eastAsia="zh-CN"/>
                  </w:rPr>
                  <m:t>θ</m:t>
                </m:r>
              </m:e>
            </m:func>
          </m:e>
        </m:d>
        <m:sSub>
          <m:sSubPr>
            <m:ctrlPr>
              <w:rPr>
                <w:rFonts w:ascii="Cambria Math" w:eastAsia="Cambria" w:hAnsi="Cambria Math" w:cs="Cambria"/>
                <w:bCs/>
                <w:i/>
                <w:color w:val="000000"/>
                <w:sz w:val="22"/>
                <w:szCs w:val="22"/>
                <w:lang w:eastAsia="zh-CN"/>
              </w:rPr>
            </m:ctrlPr>
          </m:sSubPr>
          <m:e>
            <m:r>
              <w:rPr>
                <w:rFonts w:ascii="Cambria Math" w:eastAsia="Cambria" w:hAnsi="Cambria Math" w:cs="Cambria"/>
                <w:color w:val="000000"/>
                <w:sz w:val="22"/>
                <w:szCs w:val="22"/>
                <w:lang w:eastAsia="zh-CN"/>
              </w:rPr>
              <m:t>γ</m:t>
            </m:r>
          </m:e>
          <m:sub>
            <m:r>
              <w:rPr>
                <w:rFonts w:ascii="Cambria Math" w:eastAsia="Cambria" w:hAnsi="Cambria Math" w:cs="Cambria"/>
                <w:color w:val="000000"/>
                <w:sz w:val="22"/>
                <w:szCs w:val="22"/>
                <w:lang w:eastAsia="zh-CN"/>
              </w:rPr>
              <m:t>l</m:t>
            </m:r>
          </m:sub>
        </m:sSub>
        <m:r>
          <w:rPr>
            <w:rFonts w:ascii="Cambria Math" w:eastAsia="Cambria" w:hAnsi="Cambria Math" w:cs="Cambria"/>
            <w:color w:val="000000"/>
            <w:sz w:val="22"/>
            <w:szCs w:val="22"/>
            <w:lang w:eastAsia="zh-CN"/>
          </w:rPr>
          <m:t xml:space="preserve">=2 </m:t>
        </m:r>
        <m:d>
          <m:dPr>
            <m:shp m:val="match"/>
            <m:ctrlPr>
              <w:rPr>
                <w:rFonts w:ascii="Cambria Math" w:eastAsia="Cambria" w:hAnsi="Cambria Math" w:cs="Cambria"/>
                <w:bCs/>
                <w:i/>
                <w:color w:val="000000"/>
                <w:sz w:val="22"/>
                <w:szCs w:val="22"/>
                <w:lang w:eastAsia="zh-CN"/>
              </w:rPr>
            </m:ctrlPr>
          </m:dPr>
          <m:e>
            <m:rad>
              <m:radPr>
                <m:degHide m:val="1"/>
                <m:ctrlPr>
                  <w:rPr>
                    <w:rFonts w:ascii="Cambria Math" w:eastAsia="Cambria" w:hAnsi="Cambria Math" w:cs="Cambria"/>
                    <w:bCs/>
                    <w:i/>
                    <w:color w:val="000000"/>
                    <w:sz w:val="22"/>
                    <w:szCs w:val="22"/>
                    <w:lang w:eastAsia="zh-CN"/>
                  </w:rPr>
                </m:ctrlPr>
              </m:radPr>
              <m:deg/>
              <m:e>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γ</m:t>
                    </m:r>
                  </m:e>
                  <m:sub>
                    <m:r>
                      <w:rPr>
                        <w:rFonts w:ascii="Cambria Math" w:eastAsia="Cambria" w:hAnsi="Cambria Math" w:cs="Cambria"/>
                        <w:color w:val="000000"/>
                        <w:sz w:val="22"/>
                        <w:szCs w:val="22"/>
                        <w:lang w:eastAsia="zh-CN"/>
                      </w:rPr>
                      <m:t>s</m:t>
                    </m:r>
                  </m:sub>
                  <m:sup>
                    <m:r>
                      <w:rPr>
                        <w:rFonts w:ascii="Cambria Math" w:eastAsia="Cambria" w:hAnsi="Cambria Math" w:cs="Cambria"/>
                        <w:color w:val="000000"/>
                        <w:sz w:val="22"/>
                        <w:szCs w:val="22"/>
                        <w:lang w:eastAsia="zh-CN"/>
                      </w:rPr>
                      <m:t>LW</m:t>
                    </m:r>
                  </m:sup>
                </m:sSubSup>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γ</m:t>
                    </m:r>
                  </m:e>
                  <m:sub>
                    <m:r>
                      <w:rPr>
                        <w:rFonts w:ascii="Cambria Math" w:eastAsia="Cambria" w:hAnsi="Cambria Math" w:cs="Cambria"/>
                        <w:color w:val="000000"/>
                        <w:sz w:val="22"/>
                        <w:szCs w:val="22"/>
                        <w:lang w:eastAsia="zh-CN"/>
                      </w:rPr>
                      <m:t>l</m:t>
                    </m:r>
                  </m:sub>
                  <m:sup>
                    <m:r>
                      <w:rPr>
                        <w:rFonts w:ascii="Cambria Math" w:eastAsia="Cambria" w:hAnsi="Cambria Math" w:cs="Cambria"/>
                        <w:color w:val="000000"/>
                        <w:sz w:val="22"/>
                        <w:szCs w:val="22"/>
                        <w:lang w:eastAsia="zh-CN"/>
                      </w:rPr>
                      <m:t>LW</m:t>
                    </m:r>
                  </m:sup>
                </m:sSubSup>
              </m:e>
            </m:rad>
            <m:r>
              <w:rPr>
                <w:rFonts w:ascii="Cambria Math" w:eastAsia="Cambria" w:hAnsi="Cambria Math" w:cs="Cambria"/>
                <w:color w:val="000000"/>
                <w:sz w:val="22"/>
                <w:szCs w:val="22"/>
                <w:lang w:eastAsia="zh-CN"/>
              </w:rPr>
              <m:t>+</m:t>
            </m:r>
            <m:rad>
              <m:radPr>
                <m:degHide m:val="1"/>
                <m:ctrlPr>
                  <w:rPr>
                    <w:rFonts w:ascii="Cambria Math" w:eastAsia="Cambria" w:hAnsi="Cambria Math" w:cs="Cambria"/>
                    <w:bCs/>
                    <w:i/>
                    <w:color w:val="000000"/>
                    <w:sz w:val="22"/>
                    <w:szCs w:val="22"/>
                    <w:lang w:eastAsia="zh-CN"/>
                  </w:rPr>
                </m:ctrlPr>
              </m:radPr>
              <m:deg/>
              <m:e>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γ</m:t>
                    </m:r>
                  </m:e>
                  <m:sub>
                    <m:r>
                      <w:rPr>
                        <w:rFonts w:ascii="Cambria Math" w:eastAsia="Cambria" w:hAnsi="Cambria Math" w:cs="Cambria"/>
                        <w:color w:val="000000"/>
                        <w:sz w:val="22"/>
                        <w:szCs w:val="22"/>
                        <w:lang w:eastAsia="zh-CN"/>
                      </w:rPr>
                      <m:t>s</m:t>
                    </m:r>
                  </m:sub>
                  <m:sup>
                    <m:r>
                      <w:rPr>
                        <w:rFonts w:ascii="Cambria Math" w:eastAsia="Cambria" w:hAnsi="Cambria Math" w:cs="Cambria"/>
                        <w:color w:val="000000"/>
                        <w:sz w:val="22"/>
                        <w:szCs w:val="22"/>
                        <w:lang w:eastAsia="zh-CN"/>
                      </w:rPr>
                      <m:t>+</m:t>
                    </m:r>
                  </m:sup>
                </m:sSubSup>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γ</m:t>
                    </m:r>
                  </m:e>
                  <m:sub>
                    <m:r>
                      <w:rPr>
                        <w:rFonts w:ascii="Cambria Math" w:eastAsia="Cambria" w:hAnsi="Cambria Math" w:cs="Cambria"/>
                        <w:color w:val="000000"/>
                        <w:sz w:val="22"/>
                        <w:szCs w:val="22"/>
                        <w:lang w:eastAsia="zh-CN"/>
                      </w:rPr>
                      <m:t>l</m:t>
                    </m:r>
                  </m:sub>
                  <m:sup>
                    <m:r>
                      <w:rPr>
                        <w:rFonts w:ascii="Cambria Math" w:eastAsia="Cambria" w:hAnsi="Cambria Math" w:cs="Cambria"/>
                        <w:color w:val="000000"/>
                        <w:sz w:val="22"/>
                        <w:szCs w:val="22"/>
                        <w:lang w:eastAsia="zh-CN"/>
                      </w:rPr>
                      <m:t>-</m:t>
                    </m:r>
                  </m:sup>
                </m:sSubSup>
              </m:e>
            </m:rad>
            <m:r>
              <w:rPr>
                <w:rFonts w:ascii="Cambria Math" w:eastAsia="Cambria" w:hAnsi="Cambria Math" w:cs="Cambria"/>
                <w:color w:val="000000"/>
                <w:sz w:val="22"/>
                <w:szCs w:val="22"/>
                <w:lang w:eastAsia="zh-CN"/>
              </w:rPr>
              <m:t>+</m:t>
            </m:r>
            <m:rad>
              <m:radPr>
                <m:degHide m:val="1"/>
                <m:ctrlPr>
                  <w:rPr>
                    <w:rFonts w:ascii="Cambria Math" w:eastAsia="Cambria" w:hAnsi="Cambria Math" w:cs="Cambria"/>
                    <w:bCs/>
                    <w:i/>
                    <w:color w:val="000000"/>
                    <w:sz w:val="22"/>
                    <w:szCs w:val="22"/>
                    <w:lang w:eastAsia="zh-CN"/>
                  </w:rPr>
                </m:ctrlPr>
              </m:radPr>
              <m:deg/>
              <m:e>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γ</m:t>
                    </m:r>
                  </m:e>
                  <m:sub>
                    <m:r>
                      <w:rPr>
                        <w:rFonts w:ascii="Cambria Math" w:eastAsia="Cambria" w:hAnsi="Cambria Math" w:cs="Cambria"/>
                        <w:color w:val="000000"/>
                        <w:sz w:val="22"/>
                        <w:szCs w:val="22"/>
                        <w:lang w:eastAsia="zh-CN"/>
                      </w:rPr>
                      <m:t>s</m:t>
                    </m:r>
                  </m:sub>
                  <m:sup>
                    <m:r>
                      <w:rPr>
                        <w:rFonts w:ascii="Cambria Math" w:eastAsia="Cambria" w:hAnsi="Cambria Math" w:cs="Cambria"/>
                        <w:color w:val="000000"/>
                        <w:sz w:val="22"/>
                        <w:szCs w:val="22"/>
                        <w:lang w:eastAsia="zh-CN"/>
                      </w:rPr>
                      <m:t>-</m:t>
                    </m:r>
                  </m:sup>
                </m:sSubSup>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γ</m:t>
                    </m:r>
                  </m:e>
                  <m:sub>
                    <m:r>
                      <w:rPr>
                        <w:rFonts w:ascii="Cambria Math" w:eastAsia="Cambria" w:hAnsi="Cambria Math" w:cs="Cambria"/>
                        <w:color w:val="000000"/>
                        <w:sz w:val="22"/>
                        <w:szCs w:val="22"/>
                        <w:lang w:eastAsia="zh-CN"/>
                      </w:rPr>
                      <m:t>l</m:t>
                    </m:r>
                  </m:sub>
                  <m:sup>
                    <m:r>
                      <w:rPr>
                        <w:rFonts w:ascii="Cambria Math" w:eastAsia="Cambria" w:hAnsi="Cambria Math" w:cs="Cambria"/>
                        <w:color w:val="000000"/>
                        <w:sz w:val="22"/>
                        <w:szCs w:val="22"/>
                        <w:lang w:eastAsia="zh-CN"/>
                      </w:rPr>
                      <m:t>+</m:t>
                    </m:r>
                  </m:sup>
                </m:sSubSup>
              </m:e>
            </m:rad>
          </m:e>
        </m:d>
      </m:oMath>
      <w:r w:rsidR="00436CD0" w:rsidRPr="00C44D8C">
        <w:rPr>
          <w:rFonts w:asciiTheme="minorHAnsi" w:eastAsia="Calibri" w:hAnsiTheme="minorHAnsi" w:cs="Calibri"/>
          <w:color w:val="000000"/>
          <w:sz w:val="22"/>
          <w:szCs w:val="22"/>
          <w:lang w:eastAsia="zh-CN"/>
        </w:rPr>
        <w:tab/>
        <w:t>(Equation 1)</w:t>
      </w:r>
    </w:p>
    <w:p w14:paraId="4DBCEA4E"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0AAE225A" w14:textId="77777777" w:rsidR="00E269B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where θ is the contact angle of the three probe solutions with known surface tensions on the surface (Table 3.1), γ</w:t>
      </w:r>
      <w:r w:rsidRPr="00C44D8C">
        <w:rPr>
          <w:rFonts w:asciiTheme="minorHAnsi" w:eastAsia="Calibri" w:hAnsiTheme="minorHAnsi" w:cs="Calibri"/>
          <w:i/>
          <w:color w:val="000000"/>
          <w:sz w:val="22"/>
          <w:szCs w:val="22"/>
          <w:vertAlign w:val="superscript"/>
          <w:lang w:eastAsia="zh-CN"/>
        </w:rPr>
        <w:t>L</w:t>
      </w:r>
      <w:r w:rsidRPr="00C44D8C">
        <w:rPr>
          <w:rFonts w:asciiTheme="minorHAnsi" w:eastAsia="Calibri" w:hAnsiTheme="minorHAnsi" w:cs="Calibri"/>
          <w:color w:val="000000"/>
          <w:sz w:val="22"/>
          <w:szCs w:val="22"/>
          <w:lang w:eastAsia="zh-CN"/>
        </w:rPr>
        <w:t xml:space="preserve"> is the surface energy of the probe liquids, and γ</w:t>
      </w:r>
      <w:r w:rsidRPr="00C44D8C">
        <w:rPr>
          <w:rFonts w:asciiTheme="minorHAnsi" w:eastAsia="Calibri" w:hAnsiTheme="minorHAnsi" w:cs="Calibri"/>
          <w:i/>
          <w:color w:val="000000"/>
          <w:sz w:val="22"/>
          <w:szCs w:val="22"/>
          <w:vertAlign w:val="superscript"/>
          <w:lang w:eastAsia="zh-CN"/>
        </w:rPr>
        <w:t>LW</w:t>
      </w:r>
      <w:r w:rsidRPr="00C44D8C">
        <w:rPr>
          <w:rFonts w:asciiTheme="minorHAnsi" w:eastAsia="Calibri" w:hAnsiTheme="minorHAnsi" w:cs="Calibri"/>
          <w:color w:val="000000"/>
          <w:sz w:val="22"/>
          <w:szCs w:val="22"/>
          <w:vertAlign w:val="subscript"/>
          <w:lang w:eastAsia="zh-CN"/>
        </w:rPr>
        <w:t xml:space="preserve"> </w:t>
      </w:r>
      <w:r w:rsidRPr="00C44D8C">
        <w:rPr>
          <w:rFonts w:asciiTheme="minorHAnsi" w:eastAsia="Calibri" w:hAnsiTheme="minorHAnsi" w:cs="Calibri"/>
          <w:color w:val="000000"/>
          <w:sz w:val="22"/>
          <w:szCs w:val="22"/>
          <w:lang w:eastAsia="zh-CN"/>
        </w:rPr>
        <w:t>, γ</w:t>
      </w:r>
      <w:r w:rsidRPr="00C44D8C">
        <w:rPr>
          <w:rFonts w:asciiTheme="minorHAnsi" w:eastAsia="Calibri" w:hAnsiTheme="minorHAnsi" w:cs="Calibri"/>
          <w:i/>
          <w:color w:val="000000"/>
          <w:sz w:val="22"/>
          <w:szCs w:val="22"/>
          <w:vertAlign w:val="superscript"/>
          <w:lang w:eastAsia="zh-CN"/>
        </w:rPr>
        <w:t>+</w:t>
      </w:r>
      <w:r w:rsidRPr="00C44D8C">
        <w:rPr>
          <w:rFonts w:asciiTheme="minorHAnsi" w:eastAsia="Calibri" w:hAnsiTheme="minorHAnsi" w:cs="Calibri"/>
          <w:color w:val="000000"/>
          <w:sz w:val="22"/>
          <w:szCs w:val="22"/>
          <w:vertAlign w:val="subscript"/>
          <w:lang w:eastAsia="zh-CN"/>
        </w:rPr>
        <w:t xml:space="preserve"> </w:t>
      </w:r>
      <w:r w:rsidRPr="00C44D8C">
        <w:rPr>
          <w:rFonts w:asciiTheme="minorHAnsi" w:eastAsia="Calibri" w:hAnsiTheme="minorHAnsi" w:cs="Calibri"/>
          <w:color w:val="000000"/>
          <w:sz w:val="22"/>
          <w:szCs w:val="22"/>
          <w:lang w:eastAsia="zh-CN"/>
        </w:rPr>
        <w:t>and γ</w:t>
      </w:r>
      <w:r w:rsidRPr="00C44D8C">
        <w:rPr>
          <w:rFonts w:asciiTheme="minorHAnsi" w:eastAsia="Calibri" w:hAnsiTheme="minorHAnsi" w:cs="Calibri"/>
          <w:i/>
          <w:color w:val="000000"/>
          <w:sz w:val="22"/>
          <w:szCs w:val="22"/>
          <w:vertAlign w:val="superscript"/>
          <w:lang w:eastAsia="zh-CN"/>
        </w:rPr>
        <w:t>-</w:t>
      </w:r>
      <w:r w:rsidRPr="00C44D8C">
        <w:rPr>
          <w:rFonts w:asciiTheme="minorHAnsi" w:eastAsia="Calibri" w:hAnsiTheme="minorHAnsi" w:cs="Calibri"/>
          <w:color w:val="000000"/>
          <w:sz w:val="22"/>
          <w:szCs w:val="22"/>
          <w:vertAlign w:val="superscript"/>
          <w:lang w:eastAsia="zh-CN"/>
        </w:rPr>
        <w:t xml:space="preserve"> </w:t>
      </w:r>
      <w:r w:rsidRPr="00C44D8C">
        <w:rPr>
          <w:rFonts w:asciiTheme="minorHAnsi" w:eastAsia="Calibri" w:hAnsiTheme="minorHAnsi" w:cs="Calibri"/>
          <w:color w:val="000000"/>
          <w:sz w:val="22"/>
          <w:szCs w:val="22"/>
          <w:lang w:eastAsia="zh-CN"/>
        </w:rPr>
        <w:t>are the Lifshitz-van der Waals, electron acceptor and electron donor parameters of the solid surface (γ</w:t>
      </w:r>
      <w:r w:rsidRPr="00C44D8C">
        <w:rPr>
          <w:rFonts w:asciiTheme="minorHAnsi" w:eastAsia="Calibri" w:hAnsiTheme="minorHAnsi" w:cs="Calibri"/>
          <w:i/>
          <w:color w:val="000000"/>
          <w:sz w:val="22"/>
          <w:szCs w:val="22"/>
          <w:vertAlign w:val="superscript"/>
          <w:lang w:eastAsia="zh-CN"/>
        </w:rPr>
        <w:t>S</w:t>
      </w:r>
      <w:r w:rsidRPr="00C44D8C">
        <w:rPr>
          <w:rFonts w:asciiTheme="minorHAnsi" w:eastAsia="Calibri" w:hAnsiTheme="minorHAnsi" w:cs="Calibri"/>
          <w:color w:val="000000"/>
          <w:sz w:val="22"/>
          <w:szCs w:val="22"/>
          <w:lang w:eastAsia="zh-CN"/>
        </w:rPr>
        <w:t xml:space="preserve">). </w:t>
      </w:r>
    </w:p>
    <w:p w14:paraId="25981686" w14:textId="77777777" w:rsidR="00E269BC" w:rsidRDefault="00E269BC" w:rsidP="00436CD0">
      <w:pPr>
        <w:spacing w:line="360" w:lineRule="auto"/>
        <w:rPr>
          <w:rFonts w:asciiTheme="minorHAnsi" w:eastAsia="Calibri" w:hAnsiTheme="minorHAnsi" w:cs="Calibri"/>
          <w:color w:val="000000"/>
          <w:sz w:val="22"/>
          <w:szCs w:val="22"/>
          <w:lang w:eastAsia="zh-CN"/>
        </w:rPr>
      </w:pPr>
    </w:p>
    <w:p w14:paraId="6D90F278" w14:textId="063B3243" w:rsidR="00E269BC" w:rsidRPr="00E269B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b/>
          <w:color w:val="000000"/>
          <w:sz w:val="22"/>
          <w:szCs w:val="22"/>
          <w:lang w:eastAsia="zh-CN"/>
        </w:rPr>
        <w:t>Table 3.1</w:t>
      </w:r>
      <w:r w:rsidRPr="00C44D8C">
        <w:rPr>
          <w:rFonts w:asciiTheme="minorHAnsi" w:eastAsia="Calibri" w:hAnsiTheme="minorHAnsi" w:cs="Calibri"/>
          <w:color w:val="000000"/>
          <w:sz w:val="22"/>
          <w:szCs w:val="22"/>
          <w:lang w:eastAsia="zh-CN"/>
        </w:rPr>
        <w:t xml:space="preserve"> Surface tension components (mJm</w:t>
      </w:r>
      <w:r w:rsidRPr="00C44D8C">
        <w:rPr>
          <w:rFonts w:asciiTheme="minorHAnsi" w:eastAsia="Calibri" w:hAnsiTheme="minorHAnsi" w:cs="Calibri"/>
          <w:color w:val="000000"/>
          <w:sz w:val="22"/>
          <w:szCs w:val="22"/>
          <w:vertAlign w:val="superscript"/>
          <w:lang w:eastAsia="zh-CN"/>
        </w:rPr>
        <w:t>-2</w:t>
      </w:r>
      <w:r w:rsidRPr="00C44D8C">
        <w:rPr>
          <w:rFonts w:asciiTheme="minorHAnsi" w:eastAsia="Calibri" w:hAnsiTheme="minorHAnsi" w:cs="Calibri"/>
          <w:color w:val="000000"/>
          <w:sz w:val="22"/>
          <w:szCs w:val="22"/>
          <w:lang w:eastAsia="zh-CN"/>
        </w:rPr>
        <w:t xml:space="preserve">) of three commonly used probe liquids for measuring contact angles for the calculation of SFE </w:t>
      </w:r>
      <w:r w:rsidR="00E87761">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"ISSN" : "0099-2240", "PMID" : "2444158", "abstract" : "In this study, the adhesion of bacteria differing in surface hydrophobicity\\nwas investigated. Cell wall hydrophobicity was measured as the contact\\nangle of water on a bacterial layer collected on a microfilter. The\\ncontact angles ranged from 15 to 70 degrees. This method was compared\\nwith procedures based upon adhesion to hexadecane and with the partition\\nof cells in a polyethylene glycol-dextran two-phase system. The results\\nobtained with these three methods agreed reasonably well. The adhesion\\nof 16 bacterial strains was measured on sulfated polystyrene as the\\nsolid phase. These experiments showed that hydrophobic cells adhered\\nto a greater extent than hydrophilic cells. The extent of adhesion\\ncorrelated well with the measured contact angles (linear regression\\ncoefficient, 0.8).", "author" : [ { "dropping-particle" : "", "family" : "Loosdrecht", "given" : "M C", "non-dropping-particle" : "van", "parse-names" : false, "suffix" : "" }, { "dropping-particle" : "", "family" : "Lyklema", "given" : "J", "non-dropping-particle" : "", "parse-names" : false, "suffix" : "" }, { "dropping-particle" : "", "family" : "Norde", "given" : "W", "non-dropping-particle" : "", "parse-names" : false, "suffix" : "" }, { "dropping-particle" : "", "family" : "Schraa", "given" : "G", "non-dropping-particle" : "", "parse-names" : false, "suffix" : "" }, { "dropping-particle" : "", "family" : "Zehnder", "given" : "a J", "non-dropping-particle" : "", "parse-names" : false, "suffix" : "" } ], "container-title" : "Appl. Environ. Microbiol.", "id" : "ITEM-1", "issue" : "8", "issued" : { "date-parts" : [ [ "1987" ] ] }, "page" : "1893-1897", "title" : "The role of bacterial cell wall hydrophobicity in adhesion", "type" : "article-journal", "volume" : "53" }, "uris" : [ "http://www.mendeley.com/documents/?uuid=dbd52b0d-89ce-414e-af34-a4aa64b6fc26" ] } ], "mendeley" : { "formattedCitation" : "[117]", "plainTextFormattedCitation" : "[117]", "previouslyFormattedCitation" : "[117]"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[117]</w:t>
      </w:r>
      <w:r w:rsidR="00E87761">
        <w:rPr>
          <w:rFonts w:asciiTheme="minorHAnsi" w:eastAsia="Calibri" w:hAnsiTheme="minorHAnsi" w:cs="Calibri"/>
          <w:color w:val="000000"/>
          <w:sz w:val="22"/>
          <w:szCs w:val="22"/>
          <w:lang w:eastAsia="zh-CN"/>
        </w:rPr>
        <w:fldChar w:fldCharType="end"/>
      </w:r>
      <w:r w:rsidR="00E87761">
        <w:rPr>
          <w:rFonts w:asciiTheme="minorHAnsi" w:eastAsia="Calibri" w:hAnsiTheme="minorHAnsi" w:cs="Calibri"/>
          <w:color w:val="000000"/>
          <w:sz w:val="22"/>
          <w:szCs w:val="22"/>
          <w:lang w:eastAsia="zh-CN"/>
        </w:rPr>
        <w:t>.</w:t>
      </w:r>
    </w:p>
    <w:tbl>
      <w:tblPr>
        <w:tblW w:w="6765" w:type="dxa"/>
        <w:jc w:val="center"/>
        <w:tblLayout w:type="fixed"/>
        <w:tblLook w:val="0600" w:firstRow="0" w:lastRow="0" w:firstColumn="0" w:lastColumn="0" w:noHBand="1" w:noVBand="1"/>
      </w:tblPr>
      <w:tblGrid>
        <w:gridCol w:w="1860"/>
        <w:gridCol w:w="885"/>
        <w:gridCol w:w="1005"/>
        <w:gridCol w:w="1110"/>
        <w:gridCol w:w="900"/>
        <w:gridCol w:w="1005"/>
      </w:tblGrid>
      <w:tr w:rsidR="00436CD0" w:rsidRPr="00C44D8C" w14:paraId="22EBDB59" w14:textId="77777777" w:rsidTr="00407878">
        <w:trPr>
          <w:cantSplit/>
          <w:trHeight w:val="780"/>
          <w:jc w:val="center"/>
        </w:trPr>
        <w:tc>
          <w:tcPr>
            <w:tcW w:w="1860" w:type="dxa"/>
            <w:tcBorders>
              <w:bottom w:val="single" w:sz="4" w:space="0" w:color="auto"/>
              <w:right w:val="single" w:sz="4" w:space="0" w:color="auto"/>
            </w:tcBorders>
            <w:tcMar>
              <w:top w:w="100" w:type="dxa"/>
              <w:left w:w="100" w:type="dxa"/>
              <w:bottom w:w="100" w:type="dxa"/>
              <w:right w:w="100" w:type="dxa"/>
            </w:tcMar>
          </w:tcPr>
          <w:p w14:paraId="141AA6A3"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b/>
                <w:color w:val="000000"/>
                <w:sz w:val="22"/>
                <w:szCs w:val="22"/>
                <w:lang w:eastAsia="zh-CN"/>
              </w:rPr>
              <w:t>Probe liquid</w:t>
            </w:r>
          </w:p>
        </w:tc>
        <w:tc>
          <w:tcPr>
            <w:tcW w:w="885" w:type="dxa"/>
            <w:tcBorders>
              <w:left w:val="single" w:sz="4" w:space="0" w:color="auto"/>
              <w:bottom w:val="single" w:sz="4" w:space="0" w:color="auto"/>
            </w:tcBorders>
            <w:tcMar>
              <w:top w:w="100" w:type="dxa"/>
              <w:left w:w="100" w:type="dxa"/>
              <w:bottom w:w="100" w:type="dxa"/>
              <w:right w:w="100" w:type="dxa"/>
            </w:tcMar>
          </w:tcPr>
          <w:p w14:paraId="5D778A56" w14:textId="77777777" w:rsidR="00436CD0" w:rsidRPr="00C44D8C" w:rsidRDefault="00436CD0" w:rsidP="00436CD0">
            <w:pPr>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b/>
                <w:i/>
                <w:color w:val="000000"/>
                <w:sz w:val="22"/>
                <w:szCs w:val="22"/>
                <w:lang w:eastAsia="zh-CN"/>
              </w:rPr>
              <w:t>γ</w:t>
            </w:r>
            <w:r w:rsidRPr="00C44D8C">
              <w:rPr>
                <w:rFonts w:asciiTheme="minorHAnsi" w:eastAsia="Calibri" w:hAnsiTheme="minorHAnsi" w:cs="Calibri"/>
                <w:b/>
                <w:i/>
                <w:color w:val="000000"/>
                <w:sz w:val="22"/>
                <w:szCs w:val="22"/>
                <w:vertAlign w:val="superscript"/>
                <w:lang w:eastAsia="zh-CN"/>
              </w:rPr>
              <w:t>total</w:t>
            </w:r>
          </w:p>
        </w:tc>
        <w:tc>
          <w:tcPr>
            <w:tcW w:w="1005" w:type="dxa"/>
            <w:tcBorders>
              <w:bottom w:val="single" w:sz="4" w:space="0" w:color="auto"/>
            </w:tcBorders>
            <w:tcMar>
              <w:top w:w="100" w:type="dxa"/>
              <w:left w:w="100" w:type="dxa"/>
              <w:bottom w:w="100" w:type="dxa"/>
              <w:right w:w="100" w:type="dxa"/>
            </w:tcMar>
          </w:tcPr>
          <w:p w14:paraId="4E02FE40" w14:textId="77777777" w:rsidR="00436CD0" w:rsidRPr="00C44D8C" w:rsidRDefault="00436CD0" w:rsidP="00436CD0">
            <w:pPr>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b/>
                <w:i/>
                <w:color w:val="000000"/>
                <w:sz w:val="22"/>
                <w:szCs w:val="22"/>
                <w:lang w:eastAsia="zh-CN"/>
              </w:rPr>
              <w:t>γ</w:t>
            </w:r>
            <w:r w:rsidRPr="00C44D8C">
              <w:rPr>
                <w:rFonts w:asciiTheme="minorHAnsi" w:eastAsia="Calibri" w:hAnsiTheme="minorHAnsi" w:cs="Calibri"/>
                <w:b/>
                <w:i/>
                <w:color w:val="000000"/>
                <w:sz w:val="22"/>
                <w:szCs w:val="22"/>
                <w:vertAlign w:val="superscript"/>
                <w:lang w:eastAsia="zh-CN"/>
              </w:rPr>
              <w:t>LW</w:t>
            </w:r>
          </w:p>
        </w:tc>
        <w:tc>
          <w:tcPr>
            <w:tcW w:w="1110" w:type="dxa"/>
            <w:tcBorders>
              <w:bottom w:val="single" w:sz="4" w:space="0" w:color="auto"/>
            </w:tcBorders>
            <w:tcMar>
              <w:top w:w="100" w:type="dxa"/>
              <w:left w:w="100" w:type="dxa"/>
              <w:bottom w:w="100" w:type="dxa"/>
              <w:right w:w="100" w:type="dxa"/>
            </w:tcMar>
          </w:tcPr>
          <w:p w14:paraId="63E0C480" w14:textId="77777777" w:rsidR="00436CD0" w:rsidRPr="00C44D8C" w:rsidRDefault="00436CD0" w:rsidP="00436CD0">
            <w:pPr>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b/>
                <w:i/>
                <w:color w:val="000000"/>
                <w:sz w:val="22"/>
                <w:szCs w:val="22"/>
                <w:lang w:eastAsia="zh-CN"/>
              </w:rPr>
              <w:t>γ</w:t>
            </w:r>
            <w:r w:rsidRPr="00C44D8C">
              <w:rPr>
                <w:rFonts w:asciiTheme="minorHAnsi" w:eastAsia="Calibri" w:hAnsiTheme="minorHAnsi" w:cs="Calibri"/>
                <w:b/>
                <w:i/>
                <w:color w:val="000000"/>
                <w:sz w:val="22"/>
                <w:szCs w:val="22"/>
                <w:vertAlign w:val="superscript"/>
                <w:lang w:eastAsia="zh-CN"/>
              </w:rPr>
              <w:t>AB</w:t>
            </w:r>
          </w:p>
        </w:tc>
        <w:tc>
          <w:tcPr>
            <w:tcW w:w="900" w:type="dxa"/>
            <w:tcBorders>
              <w:bottom w:val="single" w:sz="4" w:space="0" w:color="auto"/>
            </w:tcBorders>
            <w:tcMar>
              <w:top w:w="100" w:type="dxa"/>
              <w:left w:w="100" w:type="dxa"/>
              <w:bottom w:w="100" w:type="dxa"/>
              <w:right w:w="100" w:type="dxa"/>
            </w:tcMar>
          </w:tcPr>
          <w:p w14:paraId="40DF47E1" w14:textId="77777777" w:rsidR="00436CD0" w:rsidRPr="00C44D8C" w:rsidRDefault="00436CD0" w:rsidP="00436CD0">
            <w:pPr>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b/>
                <w:i/>
                <w:color w:val="000000"/>
                <w:sz w:val="22"/>
                <w:szCs w:val="22"/>
                <w:lang w:eastAsia="zh-CN"/>
              </w:rPr>
              <w:t>γ</w:t>
            </w:r>
            <w:r w:rsidRPr="00C44D8C">
              <w:rPr>
                <w:rFonts w:asciiTheme="minorHAnsi" w:eastAsia="Calibri" w:hAnsiTheme="minorHAnsi" w:cs="Calibri"/>
                <w:b/>
                <w:i/>
                <w:color w:val="000000"/>
                <w:sz w:val="22"/>
                <w:szCs w:val="22"/>
                <w:vertAlign w:val="superscript"/>
                <w:lang w:eastAsia="zh-CN"/>
              </w:rPr>
              <w:t>+</w:t>
            </w:r>
          </w:p>
        </w:tc>
        <w:tc>
          <w:tcPr>
            <w:tcW w:w="1005" w:type="dxa"/>
            <w:tcBorders>
              <w:bottom w:val="single" w:sz="4" w:space="0" w:color="auto"/>
            </w:tcBorders>
            <w:tcMar>
              <w:top w:w="100" w:type="dxa"/>
              <w:left w:w="100" w:type="dxa"/>
              <w:bottom w:w="100" w:type="dxa"/>
              <w:right w:w="100" w:type="dxa"/>
            </w:tcMar>
          </w:tcPr>
          <w:p w14:paraId="50D5535C" w14:textId="77777777" w:rsidR="00436CD0" w:rsidRPr="00C44D8C" w:rsidRDefault="00436CD0" w:rsidP="00436CD0">
            <w:pPr>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b/>
                <w:i/>
                <w:color w:val="000000"/>
                <w:sz w:val="22"/>
                <w:szCs w:val="22"/>
                <w:lang w:eastAsia="zh-CN"/>
              </w:rPr>
              <w:t>γ</w:t>
            </w:r>
            <w:r w:rsidRPr="00C44D8C">
              <w:rPr>
                <w:rFonts w:asciiTheme="minorHAnsi" w:eastAsia="Calibri" w:hAnsiTheme="minorHAnsi" w:cs="Calibri"/>
                <w:b/>
                <w:i/>
                <w:color w:val="000000"/>
                <w:sz w:val="22"/>
                <w:szCs w:val="22"/>
                <w:vertAlign w:val="superscript"/>
                <w:lang w:eastAsia="zh-CN"/>
              </w:rPr>
              <w:t>-</w:t>
            </w:r>
          </w:p>
        </w:tc>
      </w:tr>
      <w:tr w:rsidR="00436CD0" w:rsidRPr="00C44D8C" w14:paraId="3128745F" w14:textId="77777777" w:rsidTr="00407878">
        <w:trPr>
          <w:cantSplit/>
          <w:jc w:val="center"/>
        </w:trPr>
        <w:tc>
          <w:tcPr>
            <w:tcW w:w="1860" w:type="dxa"/>
            <w:tcBorders>
              <w:top w:val="single" w:sz="4" w:space="0" w:color="auto"/>
              <w:right w:val="single" w:sz="4" w:space="0" w:color="auto"/>
            </w:tcBorders>
            <w:tcMar>
              <w:top w:w="100" w:type="dxa"/>
              <w:left w:w="100" w:type="dxa"/>
              <w:bottom w:w="100" w:type="dxa"/>
              <w:right w:w="100" w:type="dxa"/>
            </w:tcMar>
          </w:tcPr>
          <w:p w14:paraId="4D4AA086"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Water</w:t>
            </w:r>
          </w:p>
        </w:tc>
        <w:tc>
          <w:tcPr>
            <w:tcW w:w="885" w:type="dxa"/>
            <w:tcBorders>
              <w:top w:val="single" w:sz="4" w:space="0" w:color="auto"/>
              <w:left w:val="single" w:sz="4" w:space="0" w:color="auto"/>
            </w:tcBorders>
            <w:tcMar>
              <w:top w:w="100" w:type="dxa"/>
              <w:left w:w="100" w:type="dxa"/>
              <w:bottom w:w="100" w:type="dxa"/>
              <w:right w:w="100" w:type="dxa"/>
            </w:tcMar>
          </w:tcPr>
          <w:p w14:paraId="42FD218D"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72.8</w:t>
            </w:r>
          </w:p>
        </w:tc>
        <w:tc>
          <w:tcPr>
            <w:tcW w:w="1005" w:type="dxa"/>
            <w:tcBorders>
              <w:top w:val="single" w:sz="4" w:space="0" w:color="auto"/>
            </w:tcBorders>
            <w:tcMar>
              <w:top w:w="100" w:type="dxa"/>
              <w:left w:w="100" w:type="dxa"/>
              <w:bottom w:w="100" w:type="dxa"/>
              <w:right w:w="100" w:type="dxa"/>
            </w:tcMar>
          </w:tcPr>
          <w:p w14:paraId="03FCF525"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21.8</w:t>
            </w:r>
          </w:p>
        </w:tc>
        <w:tc>
          <w:tcPr>
            <w:tcW w:w="1110" w:type="dxa"/>
            <w:tcBorders>
              <w:top w:val="single" w:sz="4" w:space="0" w:color="auto"/>
            </w:tcBorders>
            <w:tcMar>
              <w:top w:w="100" w:type="dxa"/>
              <w:left w:w="100" w:type="dxa"/>
              <w:bottom w:w="100" w:type="dxa"/>
              <w:right w:w="100" w:type="dxa"/>
            </w:tcMar>
          </w:tcPr>
          <w:p w14:paraId="1A553488"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51</w:t>
            </w:r>
          </w:p>
        </w:tc>
        <w:tc>
          <w:tcPr>
            <w:tcW w:w="900" w:type="dxa"/>
            <w:tcBorders>
              <w:top w:val="single" w:sz="4" w:space="0" w:color="auto"/>
            </w:tcBorders>
            <w:tcMar>
              <w:top w:w="100" w:type="dxa"/>
              <w:left w:w="100" w:type="dxa"/>
              <w:bottom w:w="100" w:type="dxa"/>
              <w:right w:w="100" w:type="dxa"/>
            </w:tcMar>
          </w:tcPr>
          <w:p w14:paraId="51CCFFB3"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25.5</w:t>
            </w:r>
          </w:p>
        </w:tc>
        <w:tc>
          <w:tcPr>
            <w:tcW w:w="1005" w:type="dxa"/>
            <w:tcBorders>
              <w:top w:val="single" w:sz="4" w:space="0" w:color="auto"/>
            </w:tcBorders>
            <w:tcMar>
              <w:top w:w="100" w:type="dxa"/>
              <w:left w:w="100" w:type="dxa"/>
              <w:bottom w:w="100" w:type="dxa"/>
              <w:right w:w="100" w:type="dxa"/>
            </w:tcMar>
          </w:tcPr>
          <w:p w14:paraId="407A5C01"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25.5</w:t>
            </w:r>
          </w:p>
        </w:tc>
      </w:tr>
      <w:tr w:rsidR="00436CD0" w:rsidRPr="00C44D8C" w14:paraId="4FDFB94E" w14:textId="77777777" w:rsidTr="00407878">
        <w:trPr>
          <w:cantSplit/>
          <w:jc w:val="center"/>
        </w:trPr>
        <w:tc>
          <w:tcPr>
            <w:tcW w:w="1860" w:type="dxa"/>
            <w:tcBorders>
              <w:right w:val="single" w:sz="4" w:space="0" w:color="auto"/>
            </w:tcBorders>
            <w:tcMar>
              <w:top w:w="100" w:type="dxa"/>
              <w:left w:w="100" w:type="dxa"/>
              <w:bottom w:w="100" w:type="dxa"/>
              <w:right w:w="100" w:type="dxa"/>
            </w:tcMar>
          </w:tcPr>
          <w:p w14:paraId="78052A76"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Formamide</w:t>
            </w:r>
          </w:p>
        </w:tc>
        <w:tc>
          <w:tcPr>
            <w:tcW w:w="885" w:type="dxa"/>
            <w:tcBorders>
              <w:left w:val="single" w:sz="4" w:space="0" w:color="auto"/>
            </w:tcBorders>
            <w:tcMar>
              <w:top w:w="100" w:type="dxa"/>
              <w:left w:w="100" w:type="dxa"/>
              <w:bottom w:w="100" w:type="dxa"/>
              <w:right w:w="100" w:type="dxa"/>
            </w:tcMar>
          </w:tcPr>
          <w:p w14:paraId="793AFBC8"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58</w:t>
            </w:r>
          </w:p>
        </w:tc>
        <w:tc>
          <w:tcPr>
            <w:tcW w:w="1005" w:type="dxa"/>
            <w:tcMar>
              <w:top w:w="100" w:type="dxa"/>
              <w:left w:w="100" w:type="dxa"/>
              <w:bottom w:w="100" w:type="dxa"/>
              <w:right w:w="100" w:type="dxa"/>
            </w:tcMar>
          </w:tcPr>
          <w:p w14:paraId="66DA1EDD"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39</w:t>
            </w:r>
          </w:p>
        </w:tc>
        <w:tc>
          <w:tcPr>
            <w:tcW w:w="1110" w:type="dxa"/>
            <w:tcMar>
              <w:top w:w="100" w:type="dxa"/>
              <w:left w:w="100" w:type="dxa"/>
              <w:bottom w:w="100" w:type="dxa"/>
              <w:right w:w="100" w:type="dxa"/>
            </w:tcMar>
          </w:tcPr>
          <w:p w14:paraId="58DF0430"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19</w:t>
            </w:r>
          </w:p>
        </w:tc>
        <w:tc>
          <w:tcPr>
            <w:tcW w:w="900" w:type="dxa"/>
            <w:tcMar>
              <w:top w:w="100" w:type="dxa"/>
              <w:left w:w="100" w:type="dxa"/>
              <w:bottom w:w="100" w:type="dxa"/>
              <w:right w:w="100" w:type="dxa"/>
            </w:tcMar>
          </w:tcPr>
          <w:p w14:paraId="7EB08199"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2.3</w:t>
            </w:r>
          </w:p>
        </w:tc>
        <w:tc>
          <w:tcPr>
            <w:tcW w:w="1005" w:type="dxa"/>
            <w:tcMar>
              <w:top w:w="100" w:type="dxa"/>
              <w:left w:w="100" w:type="dxa"/>
              <w:bottom w:w="100" w:type="dxa"/>
              <w:right w:w="100" w:type="dxa"/>
            </w:tcMar>
          </w:tcPr>
          <w:p w14:paraId="5468B474"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39.6</w:t>
            </w:r>
          </w:p>
        </w:tc>
      </w:tr>
      <w:tr w:rsidR="00436CD0" w:rsidRPr="00C44D8C" w14:paraId="734A0E6F" w14:textId="77777777" w:rsidTr="00407878">
        <w:trPr>
          <w:cantSplit/>
          <w:jc w:val="center"/>
        </w:trPr>
        <w:tc>
          <w:tcPr>
            <w:tcW w:w="1860" w:type="dxa"/>
            <w:tcBorders>
              <w:right w:val="single" w:sz="4" w:space="0" w:color="auto"/>
            </w:tcBorders>
            <w:tcMar>
              <w:top w:w="100" w:type="dxa"/>
              <w:left w:w="100" w:type="dxa"/>
              <w:bottom w:w="100" w:type="dxa"/>
              <w:right w:w="100" w:type="dxa"/>
            </w:tcMar>
          </w:tcPr>
          <w:p w14:paraId="54D4C624"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Diiodomethane</w:t>
            </w:r>
          </w:p>
        </w:tc>
        <w:tc>
          <w:tcPr>
            <w:tcW w:w="885" w:type="dxa"/>
            <w:tcBorders>
              <w:left w:val="single" w:sz="4" w:space="0" w:color="auto"/>
            </w:tcBorders>
            <w:tcMar>
              <w:top w:w="100" w:type="dxa"/>
              <w:left w:w="100" w:type="dxa"/>
              <w:bottom w:w="100" w:type="dxa"/>
              <w:right w:w="100" w:type="dxa"/>
            </w:tcMar>
          </w:tcPr>
          <w:p w14:paraId="01C246FF"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50.8</w:t>
            </w:r>
          </w:p>
        </w:tc>
        <w:tc>
          <w:tcPr>
            <w:tcW w:w="1005" w:type="dxa"/>
            <w:tcMar>
              <w:top w:w="100" w:type="dxa"/>
              <w:left w:w="100" w:type="dxa"/>
              <w:bottom w:w="100" w:type="dxa"/>
              <w:right w:w="100" w:type="dxa"/>
            </w:tcMar>
          </w:tcPr>
          <w:p w14:paraId="152A580A"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50.8</w:t>
            </w:r>
          </w:p>
        </w:tc>
        <w:tc>
          <w:tcPr>
            <w:tcW w:w="1110" w:type="dxa"/>
            <w:tcMar>
              <w:top w:w="100" w:type="dxa"/>
              <w:left w:w="100" w:type="dxa"/>
              <w:bottom w:w="100" w:type="dxa"/>
              <w:right w:w="100" w:type="dxa"/>
            </w:tcMar>
          </w:tcPr>
          <w:p w14:paraId="14804257"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w:t>
            </w:r>
          </w:p>
        </w:tc>
        <w:tc>
          <w:tcPr>
            <w:tcW w:w="900" w:type="dxa"/>
            <w:tcMar>
              <w:top w:w="100" w:type="dxa"/>
              <w:left w:w="100" w:type="dxa"/>
              <w:bottom w:w="100" w:type="dxa"/>
              <w:right w:w="100" w:type="dxa"/>
            </w:tcMar>
          </w:tcPr>
          <w:p w14:paraId="177DD1C2"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w:t>
            </w:r>
          </w:p>
        </w:tc>
        <w:tc>
          <w:tcPr>
            <w:tcW w:w="1005" w:type="dxa"/>
            <w:tcMar>
              <w:top w:w="100" w:type="dxa"/>
              <w:left w:w="100" w:type="dxa"/>
              <w:bottom w:w="100" w:type="dxa"/>
              <w:right w:w="100" w:type="dxa"/>
            </w:tcMar>
          </w:tcPr>
          <w:p w14:paraId="50E4C443" w14:textId="77777777" w:rsidR="00436CD0" w:rsidRPr="00C44D8C" w:rsidRDefault="00436CD0" w:rsidP="00436CD0">
            <w:pPr>
              <w:widowControl w:val="0"/>
              <w:spacing w:line="360" w:lineRule="auto"/>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w:t>
            </w:r>
          </w:p>
        </w:tc>
      </w:tr>
    </w:tbl>
    <w:p w14:paraId="62ACEA36" w14:textId="0D1FF3B2" w:rsidR="00436CD0" w:rsidRPr="00C44D8C" w:rsidRDefault="00436CD0" w:rsidP="00E269BC">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lastRenderedPageBreak/>
        <w:t xml:space="preserve">Having measured three contact angles for the three probe liquids, equation </w:t>
      </w:r>
      <w:r w:rsidR="00E269BC">
        <w:rPr>
          <w:rFonts w:asciiTheme="minorHAnsi" w:eastAsia="Calibri" w:hAnsiTheme="minorHAnsi" w:cs="Calibri"/>
          <w:color w:val="000000"/>
          <w:sz w:val="22"/>
          <w:szCs w:val="22"/>
          <w:lang w:eastAsia="zh-CN"/>
        </w:rPr>
        <w:t xml:space="preserve">1 </w:t>
      </w:r>
      <w:r w:rsidRPr="00C44D8C">
        <w:rPr>
          <w:rFonts w:asciiTheme="minorHAnsi" w:eastAsia="Calibri" w:hAnsiTheme="minorHAnsi" w:cs="Calibri"/>
          <w:color w:val="000000"/>
          <w:sz w:val="22"/>
          <w:szCs w:val="22"/>
          <w:lang w:eastAsia="zh-CN"/>
        </w:rPr>
        <w:t>can be solved simultaneously to calculate the surface tension of γ</w:t>
      </w:r>
      <w:r w:rsidRPr="00C44D8C">
        <w:rPr>
          <w:rFonts w:asciiTheme="minorHAnsi" w:eastAsia="Calibri" w:hAnsiTheme="minorHAnsi" w:cs="Calibri"/>
          <w:i/>
          <w:color w:val="000000"/>
          <w:sz w:val="22"/>
          <w:szCs w:val="22"/>
          <w:vertAlign w:val="superscript"/>
          <w:lang w:eastAsia="zh-CN"/>
        </w:rPr>
        <w:t>LW</w:t>
      </w:r>
      <w:r w:rsidRPr="00C44D8C">
        <w:rPr>
          <w:rFonts w:asciiTheme="minorHAnsi" w:eastAsia="Calibri" w:hAnsiTheme="minorHAnsi" w:cs="Calibri"/>
          <w:color w:val="000000"/>
          <w:sz w:val="22"/>
          <w:szCs w:val="22"/>
          <w:vertAlign w:val="subscript"/>
          <w:lang w:eastAsia="zh-CN"/>
        </w:rPr>
        <w:t xml:space="preserve"> </w:t>
      </w:r>
      <w:r w:rsidRPr="00C44D8C">
        <w:rPr>
          <w:rFonts w:asciiTheme="minorHAnsi" w:eastAsia="Calibri" w:hAnsiTheme="minorHAnsi" w:cs="Calibri"/>
          <w:color w:val="000000"/>
          <w:sz w:val="22"/>
          <w:szCs w:val="22"/>
          <w:lang w:eastAsia="zh-CN"/>
        </w:rPr>
        <w:t>, γ</w:t>
      </w:r>
      <w:r w:rsidRPr="00C44D8C">
        <w:rPr>
          <w:rFonts w:asciiTheme="minorHAnsi" w:eastAsia="Calibri" w:hAnsiTheme="minorHAnsi" w:cs="Calibri"/>
          <w:i/>
          <w:color w:val="000000"/>
          <w:sz w:val="22"/>
          <w:szCs w:val="22"/>
          <w:vertAlign w:val="superscript"/>
          <w:lang w:eastAsia="zh-CN"/>
        </w:rPr>
        <w:t>+</w:t>
      </w:r>
      <w:r w:rsidRPr="00C44D8C">
        <w:rPr>
          <w:rFonts w:asciiTheme="minorHAnsi" w:eastAsia="Calibri" w:hAnsiTheme="minorHAnsi" w:cs="Calibri"/>
          <w:color w:val="000000"/>
          <w:sz w:val="22"/>
          <w:szCs w:val="22"/>
          <w:vertAlign w:val="subscript"/>
          <w:lang w:eastAsia="zh-CN"/>
        </w:rPr>
        <w:t xml:space="preserve"> </w:t>
      </w:r>
      <w:r w:rsidRPr="00C44D8C">
        <w:rPr>
          <w:rFonts w:asciiTheme="minorHAnsi" w:eastAsia="Calibri" w:hAnsiTheme="minorHAnsi" w:cs="Calibri"/>
          <w:color w:val="000000"/>
          <w:sz w:val="22"/>
          <w:szCs w:val="22"/>
          <w:lang w:eastAsia="zh-CN"/>
        </w:rPr>
        <w:t>and γ</w:t>
      </w:r>
      <w:r w:rsidRPr="00C44D8C">
        <w:rPr>
          <w:rFonts w:asciiTheme="minorHAnsi" w:eastAsia="Calibri" w:hAnsiTheme="minorHAnsi" w:cs="Calibri"/>
          <w:i/>
          <w:color w:val="000000"/>
          <w:sz w:val="22"/>
          <w:szCs w:val="22"/>
          <w:vertAlign w:val="superscript"/>
          <w:lang w:eastAsia="zh-CN"/>
        </w:rPr>
        <w:t>-</w:t>
      </w:r>
      <w:r w:rsidRPr="00C44D8C">
        <w:rPr>
          <w:rFonts w:asciiTheme="minorHAnsi" w:eastAsia="Calibri" w:hAnsiTheme="minorHAnsi" w:cs="Calibri"/>
          <w:color w:val="000000"/>
          <w:sz w:val="22"/>
          <w:szCs w:val="22"/>
          <w:vertAlign w:val="superscript"/>
          <w:lang w:eastAsia="zh-CN"/>
        </w:rPr>
        <w:t xml:space="preserve"> </w:t>
      </w:r>
      <w:r w:rsidRPr="00C44D8C">
        <w:rPr>
          <w:rFonts w:asciiTheme="minorHAnsi" w:eastAsia="Calibri" w:hAnsiTheme="minorHAnsi" w:cs="Calibri"/>
          <w:color w:val="000000"/>
          <w:sz w:val="22"/>
          <w:szCs w:val="22"/>
          <w:lang w:eastAsia="zh-CN"/>
        </w:rPr>
        <w:t xml:space="preserve">for a sample surface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The apolar </w:t>
      </w:r>
      <w:r w:rsidRPr="00C44D8C">
        <w:rPr>
          <w:rFonts w:asciiTheme="minorHAnsi" w:eastAsia="Calibri" w:hAnsiTheme="minorHAnsi" w:cs="Calibri"/>
          <w:i/>
          <w:color w:val="000000"/>
          <w:sz w:val="22"/>
          <w:szCs w:val="22"/>
          <w:lang w:eastAsia="zh-CN"/>
        </w:rPr>
        <w:t>γ</w:t>
      </w:r>
      <w:r w:rsidRPr="00C44D8C">
        <w:rPr>
          <w:rFonts w:asciiTheme="minorHAnsi" w:eastAsia="Calibri" w:hAnsiTheme="minorHAnsi" w:cs="Calibri"/>
          <w:i/>
          <w:color w:val="000000"/>
          <w:sz w:val="22"/>
          <w:szCs w:val="22"/>
          <w:vertAlign w:val="superscript"/>
          <w:lang w:eastAsia="zh-CN"/>
        </w:rPr>
        <w:t>LW</w:t>
      </w:r>
      <w:r w:rsidRPr="00C44D8C">
        <w:rPr>
          <w:rFonts w:asciiTheme="minorHAnsi" w:eastAsia="Calibri" w:hAnsiTheme="minorHAnsi" w:cs="Calibri"/>
          <w:i/>
          <w:color w:val="000000"/>
          <w:sz w:val="22"/>
          <w:szCs w:val="22"/>
          <w:lang w:eastAsia="zh-CN"/>
        </w:rPr>
        <w:t xml:space="preserve"> </w:t>
      </w:r>
      <w:r w:rsidR="00E269BC">
        <w:rPr>
          <w:rFonts w:asciiTheme="minorHAnsi" w:eastAsia="Calibri" w:hAnsiTheme="minorHAnsi" w:cs="Calibri"/>
          <w:color w:val="000000"/>
          <w:sz w:val="22"/>
          <w:szCs w:val="22"/>
          <w:lang w:eastAsia="zh-CN"/>
        </w:rPr>
        <w:t>component wa</w:t>
      </w:r>
      <w:r w:rsidRPr="00C44D8C">
        <w:rPr>
          <w:rFonts w:asciiTheme="minorHAnsi" w:eastAsia="Calibri" w:hAnsiTheme="minorHAnsi" w:cs="Calibri"/>
          <w:color w:val="000000"/>
          <w:sz w:val="22"/>
          <w:szCs w:val="22"/>
          <w:lang w:eastAsia="zh-CN"/>
        </w:rPr>
        <w:t>s calculated from contact angles using diiodomethane</w:t>
      </w:r>
      <w:r w:rsidR="00E87761">
        <w:rPr>
          <w:rFonts w:asciiTheme="minorHAnsi" w:eastAsia="Calibri" w:hAnsiTheme="minorHAnsi" w:cs="Calibri"/>
          <w:color w:val="000000"/>
          <w:sz w:val="22"/>
          <w:szCs w:val="22"/>
          <w:lang w:eastAsia="zh-CN"/>
        </w:rPr>
        <w:t xml:space="preserve">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"10.1163/156856102760099870", "ISSN" : "0169-4243", "author" : [ { "dropping-particle" : "", "family" : "Oss", "given" : "Carel Jan", "non-dropping-particle" : "van", "parse-names" : false, "suffix" : "" } ], "container-title" : "Journal of Adhesion Science and Technology", "id" : "ITEM-1", "issue" : "6", "issued" : { "date-parts" : [ [ "2002", "1" ] ] }, "page" : "669-677", "title" : "Use of the combined Lifshitz\u2013van der Waals and Lewis acid\u2013base approaches in determining the apolar and polar contributions to surface and interfacial tensions and free energies", "type" : "article-journal", "volume" : "16" }, "uris" : [ "http://www.mendeley.com/documents/?uuid=0a96bb39-a8f2-45bb-ad5e-81c6078f119f" ] }, { "id" : "ITEM-2",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"ITEM-2",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"[68,78]", "plainTextFormattedCitation" : "[68,78]", "previouslyFormattedCitation" : "[68,78]"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[68,78]</w:t>
      </w:r>
      <w:r w:rsidR="00E87761">
        <w:rPr>
          <w:rFonts w:asciiTheme="minorHAnsi" w:eastAsia="Calibri" w:hAnsiTheme="minorHAnsi" w:cs="Calibri"/>
          <w:color w:val="000000"/>
          <w:sz w:val="22"/>
          <w:szCs w:val="22"/>
          <w:lang w:eastAsia="zh-CN"/>
        </w:rPr>
        <w:fldChar w:fldCharType="end"/>
      </w:r>
      <w:r w:rsidR="00E87761">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lang w:eastAsia="zh-CN"/>
        </w:rPr>
        <w:t xml:space="preserve"> The polar </w:t>
      </w:r>
      <w:r w:rsidRPr="00C44D8C">
        <w:rPr>
          <w:rFonts w:asciiTheme="minorHAnsi" w:eastAsia="Calibri" w:hAnsiTheme="minorHAnsi" w:cs="Calibri"/>
          <w:i/>
          <w:color w:val="000000"/>
          <w:sz w:val="22"/>
          <w:szCs w:val="22"/>
          <w:lang w:eastAsia="zh-CN"/>
        </w:rPr>
        <w:t>γ</w:t>
      </w:r>
      <w:r w:rsidRPr="00C44D8C">
        <w:rPr>
          <w:rFonts w:asciiTheme="minorHAnsi" w:eastAsia="Calibri" w:hAnsiTheme="minorHAnsi" w:cs="Calibri"/>
          <w:i/>
          <w:color w:val="000000"/>
          <w:sz w:val="22"/>
          <w:szCs w:val="22"/>
          <w:vertAlign w:val="superscript"/>
          <w:lang w:eastAsia="zh-CN"/>
        </w:rPr>
        <w:t>+</w:t>
      </w:r>
      <w:r w:rsidRPr="00C44D8C">
        <w:rPr>
          <w:rFonts w:asciiTheme="minorHAnsi" w:eastAsia="Calibri" w:hAnsiTheme="minorHAnsi" w:cs="Calibri"/>
          <w: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and </w:t>
      </w:r>
      <w:r w:rsidRPr="00C44D8C">
        <w:rPr>
          <w:rFonts w:asciiTheme="minorHAnsi" w:eastAsia="Calibri" w:hAnsiTheme="minorHAnsi" w:cs="Calibri"/>
          <w:i/>
          <w:color w:val="000000"/>
          <w:sz w:val="22"/>
          <w:szCs w:val="22"/>
          <w:lang w:eastAsia="zh-CN"/>
        </w:rPr>
        <w:t>γ</w:t>
      </w:r>
      <w:r w:rsidRPr="00C44D8C">
        <w:rPr>
          <w:rFonts w:asciiTheme="minorHAnsi" w:eastAsia="Calibri" w:hAnsiTheme="minorHAnsi" w:cs="Calibri"/>
          <w:i/>
          <w:color w:val="000000"/>
          <w:sz w:val="22"/>
          <w:szCs w:val="22"/>
          <w:vertAlign w:val="superscript"/>
          <w:lang w:eastAsia="zh-CN"/>
        </w:rPr>
        <w:t>-</w:t>
      </w:r>
      <w:r w:rsidR="00E269BC">
        <w:rPr>
          <w:rFonts w:asciiTheme="minorHAnsi" w:eastAsia="Calibri" w:hAnsiTheme="minorHAnsi" w:cs="Calibri"/>
          <w:color w:val="000000"/>
          <w:sz w:val="22"/>
          <w:szCs w:val="22"/>
          <w:lang w:eastAsia="zh-CN"/>
        </w:rPr>
        <w:t xml:space="preserve"> components we</w:t>
      </w:r>
      <w:r w:rsidRPr="00C44D8C">
        <w:rPr>
          <w:rFonts w:asciiTheme="minorHAnsi" w:eastAsia="Calibri" w:hAnsiTheme="minorHAnsi" w:cs="Calibri"/>
          <w:color w:val="000000"/>
          <w:sz w:val="22"/>
          <w:szCs w:val="22"/>
          <w:lang w:eastAsia="zh-CN"/>
        </w:rPr>
        <w:t>re calculated from contact angles using water and formamide</w:t>
      </w:r>
      <w:r w:rsidR="00E87761">
        <w:rPr>
          <w:rFonts w:asciiTheme="minorHAnsi" w:eastAsia="Calibri" w:hAnsiTheme="minorHAnsi" w:cs="Calibri"/>
          <w:color w:val="000000"/>
          <w:sz w:val="22"/>
          <w:szCs w:val="22"/>
          <w:lang w:eastAsia="zh-CN"/>
        </w:rPr>
        <w:t xml:space="preserve">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[78]</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w:t>
      </w:r>
    </w:p>
    <w:p w14:paraId="1EA2103B" w14:textId="4F5169BD"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total contribution of the polar AB component of the SFE </w:t>
      </w:r>
      <w:r w:rsidR="00E269BC">
        <w:rPr>
          <w:rFonts w:asciiTheme="minorHAnsi" w:eastAsia="Calibri" w:hAnsiTheme="minorHAnsi" w:cs="Calibri"/>
          <w:color w:val="000000"/>
          <w:sz w:val="22"/>
          <w:szCs w:val="22"/>
          <w:lang w:eastAsia="zh-CN"/>
        </w:rPr>
        <w:t>wa</w:t>
      </w:r>
      <w:r w:rsidRPr="00C44D8C">
        <w:rPr>
          <w:rFonts w:asciiTheme="minorHAnsi" w:eastAsia="Calibri" w:hAnsiTheme="minorHAnsi" w:cs="Calibri"/>
          <w:color w:val="000000"/>
          <w:sz w:val="22"/>
          <w:szCs w:val="22"/>
          <w:lang w:eastAsia="zh-CN"/>
        </w:rPr>
        <w:t>s calculated as the geometric mean of the electron-donating (γ</w:t>
      </w:r>
      <w:r w:rsidRPr="00C44D8C">
        <w:rPr>
          <w:rFonts w:asciiTheme="minorHAnsi" w:eastAsia="Calibri" w:hAnsiTheme="minorHAnsi" w:cs="Calibri"/>
          <w:color w:val="000000"/>
          <w:sz w:val="22"/>
          <w:szCs w:val="22"/>
          <w:vertAlign w:val="superscript"/>
          <w:lang w:eastAsia="zh-CN"/>
        </w:rPr>
        <w:t>-</w:t>
      </w:r>
      <w:r w:rsidRPr="00C44D8C">
        <w:rPr>
          <w:rFonts w:asciiTheme="minorHAnsi" w:eastAsia="Calibri" w:hAnsiTheme="minorHAnsi" w:cs="Calibri"/>
          <w:color w:val="000000"/>
          <w:sz w:val="22"/>
          <w:szCs w:val="22"/>
          <w:lang w:eastAsia="zh-CN"/>
        </w:rPr>
        <w:t>) and electron-accepting (γ</w:t>
      </w:r>
      <w:r w:rsidRPr="00C44D8C">
        <w:rPr>
          <w:rFonts w:asciiTheme="minorHAnsi" w:eastAsia="Calibri" w:hAnsiTheme="minorHAnsi" w:cs="Calibri"/>
          <w:color w:val="000000"/>
          <w:sz w:val="22"/>
          <w:szCs w:val="22"/>
          <w:vertAlign w:val="superscript"/>
          <w:lang w:eastAsia="zh-CN"/>
        </w:rPr>
        <w:t>+</w:t>
      </w:r>
      <w:r w:rsidRPr="00C44D8C">
        <w:rPr>
          <w:rFonts w:asciiTheme="minorHAnsi" w:eastAsia="Calibri" w:hAnsiTheme="minorHAnsi" w:cs="Calibri"/>
          <w:color w:val="000000"/>
          <w:sz w:val="22"/>
          <w:szCs w:val="22"/>
          <w:lang w:eastAsia="zh-CN"/>
        </w:rPr>
        <w:t xml:space="preserve">) parameters </w:t>
      </w:r>
      <w:r w:rsidR="00E87761">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"id" : "ITEM-2",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"ITEM-2", "issue" : "4", "issued" : { "date-parts" : [ [ "1998", "7" ] ] }, "page" : "213-221", "title" : "A reference guide to microbial cell surface hydrophobicity based on contact angles", "type" : "article-journal", "volume" : "11" }, "uris" : [ "http://www.mendeley.com/documents/?uuid=18b05a75-e225-4821-9e2b-e3438429994a" ] }, { "id" : "ITEM-3", "itemData" : { "DOI" : "10.1016/j.jiec.2010.12.009", "ISSN" : "1226086X", "author" : [ { "dropping-particle" : "", "family" : "Hwang", "given" : "Geelsu", "non-dropping-particle" : "", "parse-names" : false, "suffix" : "" }, { "dropping-particle" : "", "family" : "Lee", "given" : "Chang-Ha", "non-dropping-particle" : "", "parse-names" : false, "suffix" : "" }, { "dropping-particle" : "", "family" : "Ahn", "given" : "Ik-Sung", "non-dropping-particle" : "", "parse-names" : false, "suffix" : "" }, { "dropping-particle" : "", "family" : "Mhin", "given" : "Byung Jin", "non-dropping-particle" : "", "parse-names" : false, "suffix" : "" } ], "container-title" : "Journal of Industrial and Engineering Chemistry", "id" : "ITEM-3", "issue" : "1", "issued" : { "date-parts" : [ [ "2011", "1" ] ] }, "page" : "125-129", "publisher" : "The Korean Society of Industrial and Engineering Chemistry", "title" : "Determination of reliable Lewis acid\u2013base surface tension components of a solid in LW\u2013AB approach", "type" : "article-journal", "volume" : "17" }, "uris" : [ "http://www.mendeley.com/documents/?uuid=d06d183b-37ca-42f2-b5be-843e03bbd97e" ] } ], "mendeley" : { "formattedCitation" : "[69,78,179]", "plainTextFormattedCitation" : "[69,78,179]", "previouslyFormattedCitation" : "[69,78,179]"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[69,78,179]</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w:t>
      </w:r>
    </w:p>
    <w:p w14:paraId="4A556F84"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4AA3EAC0" w14:textId="77777777" w:rsidR="00436CD0" w:rsidRPr="00C44D8C" w:rsidRDefault="00A36734" w:rsidP="00436CD0">
      <w:pPr>
        <w:spacing w:line="360" w:lineRule="auto"/>
        <w:jc w:val="center"/>
        <w:rPr>
          <w:rFonts w:asciiTheme="minorHAnsi" w:eastAsia="Cambria" w:hAnsiTheme="minorHAnsi" w:cs="Cambria"/>
          <w:color w:val="000000"/>
          <w:sz w:val="22"/>
          <w:szCs w:val="22"/>
          <w:lang w:eastAsia="zh-CN"/>
        </w:rPr>
      </w:pPr>
      <m:oMath>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γ</m:t>
            </m:r>
          </m:e>
          <m:sup>
            <m:r>
              <w:rPr>
                <w:rFonts w:ascii="Cambria Math" w:eastAsia="Cambria" w:hAnsi="Cambria Math" w:cs="Cambria"/>
                <w:color w:val="000000"/>
                <w:sz w:val="22"/>
                <w:szCs w:val="22"/>
                <w:lang w:eastAsia="zh-CN"/>
              </w:rPr>
              <m:t>AB</m:t>
            </m:r>
          </m:sup>
        </m:sSup>
        <m:r>
          <w:rPr>
            <w:rFonts w:ascii="Cambria Math" w:eastAsia="Cambria" w:hAnsi="Cambria Math" w:cs="Cambria"/>
            <w:color w:val="000000"/>
            <w:sz w:val="22"/>
            <w:szCs w:val="22"/>
            <w:lang w:eastAsia="zh-CN"/>
          </w:rPr>
          <m:t>=2</m:t>
        </m:r>
        <m:rad>
          <m:radPr>
            <m:degHide m:val="1"/>
            <m:ctrlPr>
              <w:rPr>
                <w:rFonts w:ascii="Cambria Math" w:eastAsia="Cambria" w:hAnsi="Cambria Math" w:cs="Cambria"/>
                <w:bCs/>
                <w:i/>
                <w:color w:val="000000"/>
                <w:sz w:val="22"/>
                <w:szCs w:val="22"/>
                <w:lang w:eastAsia="zh-CN"/>
              </w:rPr>
            </m:ctrlPr>
          </m:radPr>
          <m:deg/>
          <m:e>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γ</m:t>
                </m:r>
              </m:e>
              <m:sup>
                <m:r>
                  <w:rPr>
                    <w:rFonts w:ascii="Cambria Math" w:eastAsia="Cambria" w:hAnsi="Cambria Math" w:cs="Cambria"/>
                    <w:color w:val="000000"/>
                    <w:sz w:val="22"/>
                    <w:szCs w:val="22"/>
                    <w:lang w:eastAsia="zh-CN"/>
                  </w:rPr>
                  <m:t>+</m:t>
                </m:r>
              </m:sup>
            </m:sSup>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γ</m:t>
                </m:r>
              </m:e>
              <m:sup>
                <m:r>
                  <w:rPr>
                    <w:rFonts w:ascii="Cambria Math" w:eastAsia="Cambria" w:hAnsi="Cambria Math" w:cs="Cambria"/>
                    <w:color w:val="000000"/>
                    <w:sz w:val="22"/>
                    <w:szCs w:val="22"/>
                    <w:lang w:eastAsia="zh-CN"/>
                  </w:rPr>
                  <m:t>-</m:t>
                </m:r>
              </m:sup>
            </m:sSup>
          </m:e>
        </m:rad>
      </m:oMath>
      <w:r w:rsidR="00436CD0" w:rsidRPr="00C44D8C">
        <w:rPr>
          <w:rFonts w:asciiTheme="minorHAnsi" w:eastAsia="Calibri" w:hAnsiTheme="minorHAnsi" w:cs="Calibri"/>
          <w:color w:val="000000"/>
          <w:sz w:val="22"/>
          <w:szCs w:val="22"/>
          <w:lang w:eastAsia="zh-CN"/>
        </w:rPr>
        <w:tab/>
      </w:r>
      <w:r w:rsidR="00436CD0" w:rsidRPr="00C44D8C">
        <w:rPr>
          <w:rFonts w:asciiTheme="minorHAnsi" w:eastAsia="Calibri" w:hAnsiTheme="minorHAnsi" w:cs="Calibri"/>
          <w:color w:val="000000"/>
          <w:sz w:val="22"/>
          <w:szCs w:val="22"/>
          <w:lang w:eastAsia="zh-CN"/>
        </w:rPr>
        <w:tab/>
        <w:t>(Equation 2)</w:t>
      </w:r>
    </w:p>
    <w:p w14:paraId="0D71B2C0"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5DE331E9" w14:textId="77777777" w:rsidR="00436CD0" w:rsidRPr="00C44D8C" w:rsidRDefault="00436CD0" w:rsidP="00D604D8">
      <w:pPr>
        <w:pStyle w:val="Heading7"/>
        <w:rPr>
          <w:rFonts w:eastAsia="Cambria" w:cs="Cambria"/>
          <w:lang w:eastAsia="zh-CN"/>
        </w:rPr>
      </w:pPr>
      <w:bookmarkStart w:id="81" w:name="_Toc462575297"/>
      <w:r w:rsidRPr="00C44D8C">
        <w:rPr>
          <w:lang w:eastAsia="zh-CN"/>
        </w:rPr>
        <w:t>3.2.5.3. Zeta potential analysis</w:t>
      </w:r>
      <w:bookmarkEnd w:id="81"/>
    </w:p>
    <w:p w14:paraId="6FFEA064"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Electrokinetic measurements were made to analyse the streaming potential of each support material, using an EKA Electrokinetic Analyser (Anton Parr GmbH, Austria) at the School of Chemical and Process Engineering, University of Leeds, UK.</w:t>
      </w:r>
    </w:p>
    <w:p w14:paraId="165C19FC" w14:textId="3C3ECF50"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Coupons of the support materials with dimensions of 1.5 cm x 6 cm were placed in a rectangular measuring cell between two Ag/AgCl electrodes. A 100 mM KCl solution at pH 7 was circulated around the system and inside the streaming channel of the measuring cell, with a rinse pressure of 300 mbar. The zeta potential was calculated from the streaming potential by the EKA Electrokinetic Analyser software based on the Smoluchowski equation</w:t>
      </w:r>
      <w:r w:rsidR="00E87761">
        <w:rPr>
          <w:rFonts w:asciiTheme="minorHAnsi" w:eastAsia="Calibri" w:hAnsiTheme="minorHAnsi" w:cs="Calibri"/>
          <w:color w:val="000000"/>
          <w:sz w:val="22"/>
          <w:szCs w:val="22"/>
          <w:lang w:eastAsia="zh-CN"/>
        </w:rPr>
        <w:t xml:space="preserve"> </w:t>
      </w:r>
      <w:r w:rsidR="00E87761">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"10.1016/j.cocis.2013.02.003", "ISSN" : "13590294", "author" : [ { "dropping-particle" : "", "family" : "Ohshima", "given" : "Hiroyuki", "non-dropping-particle" : "", "parse-names" : false, "suffix" : "" } ], "container-title" : "Current Opinion in Colloid &amp; Interface Science", "id" : "ITEM-1", "issue" : "2", "issued" : { "date-parts" : [ [ "2013", "4" ] ] }, "page" : "73-82", "publisher" : "Elsevier Ltd", "title" : "Electrokinetic phenomena of soft particles", "type" : "article-journal", "volume" : "18" }, "uris" : [ "http://www.mendeley.com/documents/?uuid=c12f9af9-c626-4ff6-a4f6-844c1583bc95" ] } ], "mendeley" : { "formattedCitation" : "[115]", "plainTextFormattedCitation" : "[115]", "previouslyFormattedCitation" : "[115]"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[115]</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p>
    <w:p w14:paraId="665DA38C" w14:textId="7FF3D3A9"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electrophoretic mobility (EPM)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w</w:t>
      </w:r>
      <w:r w:rsidR="00E269BC">
        <w:rPr>
          <w:rFonts w:asciiTheme="minorHAnsi" w:eastAsia="Calibri" w:hAnsiTheme="minorHAnsi" w:cs="Calibri"/>
          <w:color w:val="000000"/>
          <w:sz w:val="22"/>
          <w:szCs w:val="22"/>
          <w:lang w:eastAsia="zh-CN"/>
        </w:rPr>
        <w:t>as</w:t>
      </w:r>
      <w:r w:rsidRPr="00C44D8C">
        <w:rPr>
          <w:rFonts w:asciiTheme="minorHAnsi" w:eastAsia="Calibri" w:hAnsiTheme="minorHAnsi" w:cs="Calibri"/>
          <w:color w:val="000000"/>
          <w:sz w:val="22"/>
          <w:szCs w:val="22"/>
          <w:lang w:eastAsia="zh-CN"/>
        </w:rPr>
        <w:t xml:space="preserve"> measured using phase amplitude light scattering (ZetaPALS, Brookhaven Instruments, UK) in 100 mM KCl solution, adjusted to pH 7. Cells were harvested at mid-exponential phase</w:t>
      </w:r>
      <w:r w:rsidR="00651235">
        <w:rPr>
          <w:rFonts w:asciiTheme="minorHAnsi" w:eastAsia="Calibri" w:hAnsiTheme="minorHAnsi" w:cs="Calibri"/>
          <w:color w:val="000000"/>
          <w:sz w:val="22"/>
          <w:szCs w:val="22"/>
          <w:lang w:eastAsia="zh-CN"/>
        </w:rPr>
        <w:t xml:space="preserve"> (96 h growth)</w:t>
      </w:r>
      <w:r w:rsidRPr="00C44D8C">
        <w:rPr>
          <w:rFonts w:asciiTheme="minorHAnsi" w:eastAsia="Calibri" w:hAnsiTheme="minorHAnsi" w:cs="Calibri"/>
          <w:color w:val="000000"/>
          <w:sz w:val="22"/>
          <w:szCs w:val="22"/>
          <w:lang w:eastAsia="zh-CN"/>
        </w:rPr>
        <w:t>, washed and resuspended in 100 mM KCl solution at pH 7. An electric field of 2.5 V cm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xml:space="preserve"> and a frequency of 2.0 Hz were used to measure the EPM, as these settings have successfully been used in previous electrophoretic mobility studies of biosystems </w:t>
      </w:r>
      <w:r w:rsidR="00E87761">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"Mukherjee, J., Karunakaran, E., Biggs", "given" : "C.A.", "non-dropping-particle" : "", "parse-names" : false, "suffix" : "" } ], "container-title" : "Biofouling", "id" : "ITEM-1",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"mendeley" : { "formattedCitation" : "[92]", "plainTextFormattedCitation" : "[92]", "previouslyFormattedCitation" : "[92]"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[92]</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The zeta potentials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were calculated from EPM measurements using the Smoluchowski equation on the ZetaPALS software. Results are reported as an average of 20 cycles, 3 biological replicates and 3 independent experiments.</w:t>
      </w:r>
    </w:p>
    <w:p w14:paraId="31582B3F"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1E7FCD41" w14:textId="77777777" w:rsidR="00436CD0" w:rsidRPr="00C44D8C" w:rsidRDefault="00436CD0" w:rsidP="00D604D8">
      <w:pPr>
        <w:pStyle w:val="Heading6"/>
        <w:rPr>
          <w:rFonts w:eastAsia="Cambria" w:cs="Cambria"/>
          <w:lang w:eastAsia="zh-CN"/>
        </w:rPr>
      </w:pPr>
      <w:bookmarkStart w:id="82" w:name="_Toc462575298"/>
      <w:r w:rsidRPr="00C44D8C">
        <w:rPr>
          <w:rFonts w:eastAsia="Calibri"/>
          <w:lang w:eastAsia="zh-CN"/>
        </w:rPr>
        <w:lastRenderedPageBreak/>
        <w:t>3.2.6. xDLVO energy profiles</w:t>
      </w:r>
      <w:bookmarkEnd w:id="82"/>
      <w:r w:rsidRPr="00C44D8C">
        <w:rPr>
          <w:rFonts w:eastAsia="Calibri"/>
          <w:lang w:eastAsia="zh-CN"/>
        </w:rPr>
        <w:t xml:space="preserve"> </w:t>
      </w:r>
    </w:p>
    <w:p w14:paraId="27F20763" w14:textId="3F6F80D5"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The</w:t>
      </w:r>
      <w:r w:rsidR="00E269BC" w:rsidRPr="00C44D8C">
        <w:rPr>
          <w:rFonts w:asciiTheme="minorHAnsi" w:eastAsia="Calibri" w:hAnsiTheme="minorHAnsi" w:cs="Calibri"/>
          <w:color w:val="000000"/>
          <w:sz w:val="22"/>
          <w:szCs w:val="22"/>
          <w:lang w:eastAsia="zh-CN"/>
        </w:rPr>
        <w:t xml:space="preserve"> xDLVO model</w:t>
      </w:r>
      <w:r w:rsidR="00E269BC">
        <w:rPr>
          <w:rFonts w:asciiTheme="minorHAnsi" w:eastAsia="Calibri" w:hAnsiTheme="minorHAnsi" w:cs="Calibri"/>
          <w:color w:val="000000"/>
          <w:sz w:val="22"/>
          <w:szCs w:val="22"/>
          <w:lang w:eastAsia="zh-CN"/>
        </w:rPr>
        <w:t xml:space="preserve"> was used to measure the</w:t>
      </w:r>
      <w:r w:rsidRPr="00C44D8C">
        <w:rPr>
          <w:rFonts w:asciiTheme="minorHAnsi" w:eastAsia="Calibri" w:hAnsiTheme="minorHAnsi" w:cs="Calibri"/>
          <w:color w:val="000000"/>
          <w:sz w:val="22"/>
          <w:szCs w:val="22"/>
          <w:lang w:eastAsia="zh-CN"/>
        </w:rPr>
        <w:t xml:space="preserve"> total interaction energy between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and the support materials in a</w:t>
      </w:r>
      <w:r w:rsidR="00E269BC">
        <w:rPr>
          <w:rFonts w:asciiTheme="minorHAnsi" w:eastAsia="Calibri" w:hAnsiTheme="minorHAnsi" w:cs="Calibri"/>
          <w:color w:val="000000"/>
          <w:sz w:val="22"/>
          <w:szCs w:val="22"/>
          <w:lang w:eastAsia="zh-CN"/>
        </w:rPr>
        <w:t>n aqueous environment of</w:t>
      </w:r>
      <w:r w:rsidRPr="00C44D8C">
        <w:rPr>
          <w:rFonts w:asciiTheme="minorHAnsi" w:eastAsia="Calibri" w:hAnsiTheme="minorHAnsi" w:cs="Calibri"/>
          <w:color w:val="000000"/>
          <w:sz w:val="22"/>
          <w:szCs w:val="22"/>
          <w:lang w:eastAsia="zh-CN"/>
        </w:rPr>
        <w:t xml:space="preserve"> 100 mM KCl, pH 7. The model is based on the assumption of a colloidal particle being spherical, which was in accordance with the spherical cell morphology of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The sphere-flat plate equations were used in the xDLVO model</w:t>
      </w:r>
      <w:r w:rsidR="00E87761">
        <w:rPr>
          <w:rFonts w:asciiTheme="minorHAnsi" w:eastAsia="Calibri" w:hAnsiTheme="minorHAnsi" w:cs="Calibri"/>
          <w:color w:val="000000"/>
          <w:sz w:val="22"/>
          <w:szCs w:val="22"/>
          <w:lang w:eastAsia="zh-CN"/>
        </w:rPr>
        <w:t xml:space="preserve">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to model the interaction between the spherical microbial cells and flat plate dimensions of the polymer support materials.</w:t>
      </w:r>
    </w:p>
    <w:p w14:paraId="0B123377" w14:textId="03647A90"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Lifshitz-van der Waals and acid-base model (LW-AB) developed by Van Oss and co-workers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"10.1021/cr00088a006", "ISSN" : "0009-2665", "author" : [ { "dropping-particle" : "", "family" : "Oss", "given" : "Carel J.", "non-dropping-particle" : "Van", "parse-names" : false, "suffix" : "" }, { "dropping-particle" : "", "family" : "Chaudhury", "given" : "Manoj K.", "non-dropping-particle" : "", "parse-names" : false, "suffix" : "" }, { "dropping-particle" : "", "family" : "Good", "given" : "Robert J.", "non-dropping-particle" : "", "parse-names" : false, "suffix" : "" } ], "container-title" : "Chemical Reviews", "id" : "ITEM-1", "issue" : "6", "issued" : { "date-parts" : [ [ "1988", "9" ] ] }, "page" : "927-941", "title" : "Interfacial Lifshitz-van der Waals and polar interactions in macroscopic systems", "type" : "article-journal", "volume" : "88" }, "uris" : [ "http://www.mendeley.com/documents/?uuid=fa5f49bc-e129-4817-9d97-1b55b85315c6" ] } ], "mendeley" : { "formattedCitation" : "[76]", "plainTextFormattedCitation" : "[76]", "previouslyFormattedCitation" : "[76]"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[76]</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forms the</w:t>
      </w:r>
      <w:r w:rsidR="00E269BC">
        <w:rPr>
          <w:rFonts w:asciiTheme="minorHAnsi" w:eastAsia="Calibri" w:hAnsiTheme="minorHAnsi" w:cs="Calibri"/>
          <w:color w:val="000000"/>
          <w:sz w:val="22"/>
          <w:szCs w:val="22"/>
          <w:lang w:eastAsia="zh-CN"/>
        </w:rPr>
        <w:t xml:space="preserve"> basis of the xDLVO model, and wa</w:t>
      </w:r>
      <w:r w:rsidRPr="00C44D8C">
        <w:rPr>
          <w:rFonts w:asciiTheme="minorHAnsi" w:eastAsia="Calibri" w:hAnsiTheme="minorHAnsi" w:cs="Calibri"/>
          <w:color w:val="000000"/>
          <w:sz w:val="22"/>
          <w:szCs w:val="22"/>
          <w:lang w:eastAsia="zh-CN"/>
        </w:rPr>
        <w:t>s used to determine the free energy of interaction between microbial and abiotic surfaces (G</w:t>
      </w:r>
      <w:r w:rsidRPr="00C44D8C">
        <w:rPr>
          <w:rFonts w:asciiTheme="minorHAnsi" w:eastAsia="Calibri" w:hAnsiTheme="minorHAnsi" w:cs="Calibri"/>
          <w:color w:val="000000"/>
          <w:sz w:val="22"/>
          <w:szCs w:val="22"/>
          <w:vertAlign w:val="superscript"/>
          <w:lang w:eastAsia="zh-CN"/>
        </w:rPr>
        <w:t>TOT</w:t>
      </w:r>
      <w:r w:rsidRPr="00C44D8C">
        <w:rPr>
          <w:rFonts w:asciiTheme="minorHAnsi" w:eastAsia="Calibri" w:hAnsiTheme="minorHAnsi" w:cs="Calibri"/>
          <w:color w:val="000000"/>
          <w:sz w:val="22"/>
          <w:szCs w:val="22"/>
          <w:lang w:eastAsia="zh-CN"/>
        </w:rPr>
        <w:t xml:space="preserve">) over a separation distance, </w:t>
      </w:r>
      <w:r w:rsidRPr="00C44D8C">
        <w:rPr>
          <w:rFonts w:asciiTheme="minorHAnsi" w:eastAsia="Calibri" w:hAnsiTheme="minorHAnsi" w:cs="Calibri"/>
          <w:i/>
          <w:color w:val="000000"/>
          <w:sz w:val="22"/>
          <w:szCs w:val="22"/>
          <w:lang w:eastAsia="zh-CN"/>
        </w:rPr>
        <w:t>H</w:t>
      </w:r>
      <w:r w:rsidRPr="00C44D8C">
        <w:rPr>
          <w:rFonts w:asciiTheme="minorHAnsi" w:eastAsia="Calibri" w:hAnsiTheme="minorHAnsi" w:cs="Calibri"/>
          <w:color w:val="000000"/>
          <w:sz w:val="22"/>
          <w:szCs w:val="22"/>
          <w:lang w:eastAsia="zh-CN"/>
        </w:rPr>
        <w:t>. It takes into account the additive effect of the Lifshitz-van der Waals (LW), electrostatic double layer (EL) and Lewis acid-base (AB) free energy of interaction as a function of separation distance (</w:t>
      </w:r>
      <w:r w:rsidRPr="00C44D8C">
        <w:rPr>
          <w:rFonts w:asciiTheme="minorHAnsi" w:eastAsia="Calibri" w:hAnsiTheme="minorHAnsi" w:cs="Calibri"/>
          <w:i/>
          <w:color w:val="000000"/>
          <w:sz w:val="22"/>
          <w:szCs w:val="22"/>
          <w:lang w:eastAsia="zh-CN"/>
        </w:rPr>
        <w:t>H</w:t>
      </w:r>
      <w:r w:rsidRPr="00C44D8C">
        <w:rPr>
          <w:rFonts w:asciiTheme="minorHAnsi" w:eastAsia="Calibri" w:hAnsiTheme="minorHAnsi" w:cs="Calibri"/>
          <w:color w:val="000000"/>
          <w:sz w:val="22"/>
          <w:szCs w:val="22"/>
          <w:lang w:eastAsia="zh-CN"/>
        </w:rPr>
        <w:t xml:space="preserve">)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w:t>
      </w:r>
    </w:p>
    <w:p w14:paraId="544D0F2E"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2B4C4555" w14:textId="77777777" w:rsidR="00436CD0" w:rsidRPr="00C44D8C" w:rsidRDefault="00A36734" w:rsidP="00436CD0">
      <w:pPr>
        <w:spacing w:line="360" w:lineRule="auto"/>
        <w:jc w:val="center"/>
        <w:rPr>
          <w:rFonts w:asciiTheme="minorHAnsi" w:eastAsia="Cambria" w:hAnsiTheme="minorHAnsi" w:cs="Cambria"/>
          <w:color w:val="000000"/>
          <w:sz w:val="22"/>
          <w:szCs w:val="22"/>
          <w:lang w:eastAsia="zh-CN"/>
        </w:rPr>
      </w:pPr>
      <m:oMath>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G</m:t>
            </m:r>
          </m:e>
          <m:sup>
            <m:r>
              <w:rPr>
                <w:rFonts w:ascii="Cambria Math" w:eastAsia="Cambria" w:hAnsi="Cambria Math" w:cs="Cambria"/>
                <w:color w:val="000000"/>
                <w:sz w:val="22"/>
                <w:szCs w:val="22"/>
                <w:lang w:eastAsia="zh-CN"/>
              </w:rPr>
              <m:t>TOT</m:t>
            </m:r>
          </m:sup>
        </m:sSup>
        <m:r>
          <w:rPr>
            <w:rFonts w:ascii="Cambria Math" w:eastAsia="Cambria" w:hAnsi="Cambria Math" w:cs="Cambria"/>
            <w:color w:val="000000"/>
            <w:sz w:val="22"/>
            <w:szCs w:val="22"/>
            <w:lang w:eastAsia="zh-CN"/>
          </w:rPr>
          <m:t xml:space="preserve">(H)= </m:t>
        </m:r>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G</m:t>
            </m:r>
          </m:e>
          <m:sup>
            <m:r>
              <w:rPr>
                <w:rFonts w:ascii="Cambria Math" w:eastAsia="Cambria" w:hAnsi="Cambria Math" w:cs="Cambria"/>
                <w:color w:val="000000"/>
                <w:sz w:val="22"/>
                <w:szCs w:val="22"/>
                <w:lang w:eastAsia="zh-CN"/>
              </w:rPr>
              <m:t>LW</m:t>
            </m:r>
          </m:sup>
        </m:sSup>
        <m:r>
          <w:rPr>
            <w:rFonts w:ascii="Cambria Math" w:eastAsia="Cambria" w:hAnsi="Cambria Math" w:cs="Cambria"/>
            <w:color w:val="000000"/>
            <w:sz w:val="22"/>
            <w:szCs w:val="22"/>
            <w:lang w:eastAsia="zh-CN"/>
          </w:rPr>
          <m:t xml:space="preserve">(H)+ </m:t>
        </m:r>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G</m:t>
            </m:r>
          </m:e>
          <m:sup>
            <m:r>
              <w:rPr>
                <w:rFonts w:ascii="Cambria Math" w:eastAsia="Cambria" w:hAnsi="Cambria Math" w:cs="Cambria"/>
                <w:color w:val="000000"/>
                <w:sz w:val="22"/>
                <w:szCs w:val="22"/>
                <w:lang w:eastAsia="zh-CN"/>
              </w:rPr>
              <m:t>EL</m:t>
            </m:r>
          </m:sup>
        </m:sSup>
        <m:r>
          <w:rPr>
            <w:rFonts w:ascii="Cambria Math" w:eastAsia="Cambria" w:hAnsi="Cambria Math" w:cs="Cambria"/>
            <w:color w:val="000000"/>
            <w:sz w:val="22"/>
            <w:szCs w:val="22"/>
            <w:lang w:eastAsia="zh-CN"/>
          </w:rPr>
          <m:t xml:space="preserve">(H)+ </m:t>
        </m:r>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G</m:t>
            </m:r>
          </m:e>
          <m:sup>
            <m:r>
              <w:rPr>
                <w:rFonts w:ascii="Cambria Math" w:eastAsia="Cambria" w:hAnsi="Cambria Math" w:cs="Cambria"/>
                <w:color w:val="000000"/>
                <w:sz w:val="22"/>
                <w:szCs w:val="22"/>
                <w:lang w:eastAsia="zh-CN"/>
              </w:rPr>
              <m:t>AB</m:t>
            </m:r>
          </m:sup>
        </m:sSup>
        <m:r>
          <w:rPr>
            <w:rFonts w:ascii="Cambria Math" w:eastAsia="Cambria" w:hAnsi="Cambria Math" w:cs="Cambria"/>
            <w:color w:val="000000"/>
            <w:sz w:val="22"/>
            <w:szCs w:val="22"/>
            <w:lang w:eastAsia="zh-CN"/>
          </w:rPr>
          <m:t>(H)</m:t>
        </m:r>
      </m:oMath>
      <w:r w:rsidR="00436CD0" w:rsidRPr="00C44D8C">
        <w:rPr>
          <w:rFonts w:asciiTheme="minorHAnsi" w:eastAsia="Cambria" w:hAnsiTheme="minorHAnsi" w:cs="Cambria"/>
          <w:bCs/>
          <w:color w:val="000000"/>
          <w:sz w:val="22"/>
          <w:szCs w:val="22"/>
          <w:lang w:eastAsia="zh-CN"/>
        </w:rPr>
        <w:tab/>
      </w:r>
      <w:r w:rsidR="00436CD0" w:rsidRPr="00C44D8C">
        <w:rPr>
          <w:rFonts w:asciiTheme="minorHAnsi" w:eastAsia="Cambria" w:hAnsiTheme="minorHAnsi" w:cs="Cambria"/>
          <w:bCs/>
          <w:color w:val="000000"/>
          <w:sz w:val="22"/>
          <w:szCs w:val="22"/>
          <w:lang w:eastAsia="zh-CN"/>
        </w:rPr>
        <w:tab/>
      </w:r>
      <w:r w:rsidR="00436CD0" w:rsidRPr="00C44D8C">
        <w:rPr>
          <w:rFonts w:asciiTheme="minorHAnsi" w:eastAsia="Calibri" w:hAnsiTheme="minorHAnsi" w:cs="Calibri"/>
          <w:color w:val="000000"/>
          <w:sz w:val="22"/>
          <w:szCs w:val="22"/>
          <w:lang w:eastAsia="zh-CN"/>
        </w:rPr>
        <w:tab/>
        <w:t xml:space="preserve"> </w:t>
      </w:r>
      <w:r w:rsidR="00436CD0" w:rsidRPr="00C44D8C">
        <w:rPr>
          <w:rFonts w:asciiTheme="minorHAnsi" w:eastAsia="Calibri" w:hAnsiTheme="minorHAnsi" w:cs="Calibri"/>
          <w:color w:val="000000"/>
          <w:sz w:val="22"/>
          <w:szCs w:val="22"/>
          <w:lang w:eastAsia="zh-CN"/>
        </w:rPr>
        <w:tab/>
        <w:t>(Equation 3)</w:t>
      </w:r>
    </w:p>
    <w:p w14:paraId="280C9DC1"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102F8486" w14:textId="04D2BEB7" w:rsidR="00E269BC" w:rsidRDefault="00436CD0" w:rsidP="00E269BC">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The LW interactions are derived from the Hamaker constant (</w:t>
      </w:r>
      <w:r w:rsidRPr="00C44D8C">
        <w:rPr>
          <w:rFonts w:asciiTheme="minorHAnsi" w:eastAsia="Calibri" w:hAnsiTheme="minorHAnsi" w:cs="Calibri"/>
          <w:i/>
          <w:color w:val="000000"/>
          <w:sz w:val="22"/>
          <w:szCs w:val="22"/>
          <w:lang w:eastAsia="zh-CN"/>
        </w:rPr>
        <w:t>A)</w:t>
      </w:r>
      <w:r w:rsidRPr="00C44D8C">
        <w:rPr>
          <w:rFonts w:asciiTheme="minorHAnsi" w:eastAsia="Calibri" w:hAnsiTheme="minorHAnsi" w:cs="Calibri"/>
          <w:color w:val="000000"/>
          <w:sz w:val="22"/>
          <w:szCs w:val="22"/>
          <w:lang w:eastAsia="zh-CN"/>
        </w:rPr>
        <w:t xml:space="preserve">, which expresses the magnitude of the omnipresent LW forces in any system in a conventional way </w:t>
      </w:r>
      <w:r w:rsidR="00E87761">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"author" : [ { "dropping-particle" : "", "family" : "Bergstrom", "given" : "Lennart", "non-dropping-particle" : "", "parse-names" : false, "suffix" : "" } ], "container-title" : "Advancesin Colloid and Interface Science", "id" : "ITEM-1", "issued" : { "date-parts" : [ [ "1997" ] ] }, "page" : "125-169", "title" : "Hamaker constants of inorganic materials", "type" : "article-journal", "volume" : "70" }, "uris" : [ "http://www.mendeley.com/documents/?uuid=a34d941d-e00b-3f0b-8f3a-f661e9c4b766" ] } ], "mendeley" : { "formattedCitation" : "[180]", "plainTextFormattedCitation" : "[180]", "previouslyFormattedCitation" : "[180]"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[180]</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r w:rsidR="00E269BC">
        <w:rPr>
          <w:rFonts w:asciiTheme="minorHAnsi" w:eastAsia="Calibri" w:hAnsiTheme="minorHAnsi" w:cs="Calibri"/>
          <w:color w:val="000000"/>
          <w:sz w:val="22"/>
          <w:szCs w:val="22"/>
          <w:lang w:eastAsia="zh-CN"/>
        </w:rPr>
        <w:t>LW interactions were calculated using the following equation:</w:t>
      </w:r>
    </w:p>
    <w:p w14:paraId="1C289CC8" w14:textId="77777777" w:rsidR="00E269BC" w:rsidRDefault="00E269BC" w:rsidP="00E269BC">
      <w:pPr>
        <w:spacing w:line="360" w:lineRule="auto"/>
        <w:ind w:firstLine="720"/>
        <w:rPr>
          <w:rFonts w:asciiTheme="minorHAnsi" w:eastAsia="Calibri" w:hAnsiTheme="minorHAnsi" w:cs="Calibri"/>
          <w:color w:val="000000"/>
          <w:sz w:val="22"/>
          <w:szCs w:val="22"/>
          <w:lang w:eastAsia="zh-CN"/>
        </w:rPr>
      </w:pPr>
    </w:p>
    <w:p w14:paraId="0B945FD8" w14:textId="09FBCE5E" w:rsidR="00436CD0" w:rsidRPr="00C44D8C" w:rsidRDefault="00E269BC" w:rsidP="00E269BC">
      <w:pPr>
        <w:spacing w:line="360" w:lineRule="auto"/>
        <w:ind w:firstLine="720"/>
        <w:rPr>
          <w:rFonts w:asciiTheme="minorHAnsi" w:eastAsia="Cambria" w:hAnsiTheme="minorHAnsi" w:cs="Cambria"/>
          <w:color w:val="000000"/>
          <w:sz w:val="22"/>
          <w:szCs w:val="22"/>
          <w:lang w:eastAsia="zh-CN"/>
        </w:rPr>
      </w:pPr>
      <m:oMath>
        <m:r>
          <w:rPr>
            <w:rFonts w:ascii="Cambria Math" w:eastAsia="Cambria" w:hAnsi="Cambria Math" w:cs="Cambria"/>
            <w:color w:val="000000"/>
            <w:sz w:val="22"/>
            <w:szCs w:val="22"/>
            <w:lang w:eastAsia="zh-CN"/>
          </w:rPr>
          <m:t xml:space="preserve"> </m:t>
        </m:r>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G</m:t>
            </m:r>
          </m:e>
          <m:sup>
            <m:r>
              <w:rPr>
                <w:rFonts w:ascii="Cambria Math" w:eastAsia="Cambria" w:hAnsi="Cambria Math" w:cs="Cambria"/>
                <w:color w:val="000000"/>
                <w:sz w:val="22"/>
                <w:szCs w:val="22"/>
                <w:lang w:eastAsia="zh-CN"/>
              </w:rPr>
              <m:t>LW</m:t>
            </m:r>
          </m:sup>
        </m:sSup>
        <m:r>
          <w:rPr>
            <w:rFonts w:ascii="Cambria Math" w:eastAsia="Cambria" w:hAnsi="Cambria Math" w:cs="Cambria"/>
            <w:color w:val="000000"/>
            <w:sz w:val="22"/>
            <w:szCs w:val="22"/>
            <w:lang w:eastAsia="zh-CN"/>
          </w:rPr>
          <m:t>(H)=-</m:t>
        </m:r>
        <m:f>
          <m:fPr>
            <m:ctrlPr>
              <w:rPr>
                <w:rFonts w:ascii="Cambria Math" w:eastAsia="Cambria" w:hAnsi="Cambria Math" w:cs="Cambria"/>
                <w:bCs/>
                <w:i/>
                <w:color w:val="000000"/>
                <w:sz w:val="22"/>
                <w:szCs w:val="22"/>
                <w:lang w:eastAsia="zh-CN"/>
              </w:rPr>
            </m:ctrlPr>
          </m:fPr>
          <m:num>
            <m:r>
              <w:rPr>
                <w:rFonts w:ascii="Cambria Math" w:eastAsia="Cambria" w:hAnsi="Cambria Math" w:cs="Cambria"/>
                <w:color w:val="000000"/>
                <w:sz w:val="22"/>
                <w:szCs w:val="22"/>
                <w:lang w:eastAsia="zh-CN"/>
              </w:rPr>
              <m:t>A</m:t>
            </m:r>
          </m:num>
          <m:den>
            <m:r>
              <w:rPr>
                <w:rFonts w:ascii="Cambria Math" w:eastAsia="Cambria" w:hAnsi="Cambria Math" w:cs="Cambria"/>
                <w:color w:val="000000"/>
                <w:sz w:val="22"/>
                <w:szCs w:val="22"/>
                <w:lang w:eastAsia="zh-CN"/>
              </w:rPr>
              <m:t>12</m:t>
            </m:r>
          </m:den>
        </m:f>
        <m:d>
          <m:dPr>
            <m:begChr m:val="["/>
            <m:endChr m:val="]"/>
            <m:ctrlPr>
              <w:rPr>
                <w:rFonts w:ascii="Cambria Math" w:eastAsia="Cambria" w:hAnsi="Cambria Math" w:cs="Cambria"/>
                <w:bCs/>
                <w:i/>
                <w:color w:val="000000"/>
                <w:sz w:val="22"/>
                <w:szCs w:val="22"/>
                <w:lang w:eastAsia="zh-CN"/>
              </w:rPr>
            </m:ctrlPr>
          </m:dPr>
          <m:e>
            <m:d>
              <m:dPr>
                <m:begChr m:val="["/>
                <m:endChr m:val="]"/>
                <m:ctrlPr>
                  <w:rPr>
                    <w:rFonts w:ascii="Cambria Math" w:eastAsia="Cambria" w:hAnsi="Cambria Math" w:cs="Cambria"/>
                    <w:bCs/>
                    <w:i/>
                    <w:color w:val="000000"/>
                    <w:sz w:val="22"/>
                    <w:szCs w:val="22"/>
                    <w:lang w:eastAsia="zh-CN"/>
                  </w:rPr>
                </m:ctrlPr>
              </m:dPr>
              <m:e>
                <m:f>
                  <m:fPr>
                    <m:ctrlPr>
                      <w:rPr>
                        <w:rFonts w:ascii="Cambria Math" w:eastAsia="Cambria" w:hAnsi="Cambria Math" w:cs="Cambria"/>
                        <w:bCs/>
                        <w:i/>
                        <w:color w:val="000000"/>
                        <w:sz w:val="22"/>
                        <w:szCs w:val="22"/>
                        <w:lang w:eastAsia="zh-CN"/>
                      </w:rPr>
                    </m:ctrlPr>
                  </m:fPr>
                  <m:num>
                    <m:r>
                      <w:rPr>
                        <w:rFonts w:ascii="Cambria Math" w:eastAsia="Cambria" w:hAnsi="Cambria Math" w:cs="Cambria"/>
                        <w:color w:val="000000"/>
                        <w:sz w:val="22"/>
                        <w:szCs w:val="22"/>
                        <w:lang w:eastAsia="zh-CN"/>
                      </w:rPr>
                      <m:t>2a</m:t>
                    </m:r>
                    <m:d>
                      <m:dPr>
                        <m:ctrlPr>
                          <w:rPr>
                            <w:rFonts w:ascii="Cambria Math" w:eastAsia="Cambria" w:hAnsi="Cambria Math" w:cs="Cambria"/>
                            <w:bCs/>
                            <w:i/>
                            <w:color w:val="000000"/>
                            <w:sz w:val="22"/>
                            <w:szCs w:val="22"/>
                            <w:lang w:eastAsia="zh-CN"/>
                          </w:rPr>
                        </m:ctrlPr>
                      </m:dPr>
                      <m:e>
                        <m:r>
                          <w:rPr>
                            <w:rFonts w:ascii="Cambria Math" w:eastAsia="Cambria" w:hAnsi="Cambria Math" w:cs="Cambria"/>
                            <w:color w:val="000000"/>
                            <w:sz w:val="22"/>
                            <w:szCs w:val="22"/>
                            <w:lang w:eastAsia="zh-CN"/>
                          </w:rPr>
                          <m:t>H+a</m:t>
                        </m:r>
                      </m:e>
                    </m:d>
                  </m:num>
                  <m:den>
                    <m:r>
                      <w:rPr>
                        <w:rFonts w:ascii="Cambria Math" w:eastAsia="Cambria" w:hAnsi="Cambria Math" w:cs="Cambria"/>
                        <w:color w:val="000000"/>
                        <w:sz w:val="22"/>
                        <w:szCs w:val="22"/>
                        <w:lang w:eastAsia="zh-CN"/>
                      </w:rPr>
                      <m:t>H</m:t>
                    </m:r>
                    <m:d>
                      <m:dPr>
                        <m:ctrlPr>
                          <w:rPr>
                            <w:rFonts w:ascii="Cambria Math" w:eastAsia="Cambria" w:hAnsi="Cambria Math" w:cs="Cambria"/>
                            <w:bCs/>
                            <w:i/>
                            <w:color w:val="000000"/>
                            <w:sz w:val="22"/>
                            <w:szCs w:val="22"/>
                            <w:lang w:eastAsia="zh-CN"/>
                          </w:rPr>
                        </m:ctrlPr>
                      </m:dPr>
                      <m:e>
                        <m:r>
                          <w:rPr>
                            <w:rFonts w:ascii="Cambria Math" w:eastAsia="Cambria" w:hAnsi="Cambria Math" w:cs="Cambria"/>
                            <w:color w:val="000000"/>
                            <w:sz w:val="22"/>
                            <w:szCs w:val="22"/>
                            <w:lang w:eastAsia="zh-CN"/>
                          </w:rPr>
                          <m:t>H+2a</m:t>
                        </m:r>
                      </m:e>
                    </m:d>
                  </m:den>
                </m:f>
                <m:r>
                  <w:rPr>
                    <w:rFonts w:ascii="Cambria Math" w:eastAsia="Cambria" w:hAnsi="Cambria Math" w:cs="Cambria"/>
                    <w:color w:val="000000"/>
                    <w:sz w:val="22"/>
                    <w:szCs w:val="22"/>
                    <w:lang w:eastAsia="zh-CN"/>
                  </w:rPr>
                  <m:t>-ln</m:t>
                </m:r>
                <m:d>
                  <m:dPr>
                    <m:ctrlPr>
                      <w:rPr>
                        <w:rFonts w:ascii="Cambria Math" w:eastAsia="Cambria" w:hAnsi="Cambria Math" w:cs="Cambria"/>
                        <w:bCs/>
                        <w:i/>
                        <w:color w:val="000000"/>
                        <w:sz w:val="22"/>
                        <w:szCs w:val="22"/>
                        <w:lang w:eastAsia="zh-CN"/>
                      </w:rPr>
                    </m:ctrlPr>
                  </m:dPr>
                  <m:e>
                    <m:f>
                      <m:fPr>
                        <m:ctrlPr>
                          <w:rPr>
                            <w:rFonts w:ascii="Cambria Math" w:eastAsia="Cambria" w:hAnsi="Cambria Math" w:cs="Cambria"/>
                            <w:bCs/>
                            <w:i/>
                            <w:color w:val="000000"/>
                            <w:sz w:val="22"/>
                            <w:szCs w:val="22"/>
                            <w:lang w:eastAsia="zh-CN"/>
                          </w:rPr>
                        </m:ctrlPr>
                      </m:fPr>
                      <m:num>
                        <m:r>
                          <w:rPr>
                            <w:rFonts w:ascii="Cambria Math" w:eastAsia="Cambria" w:hAnsi="Cambria Math" w:cs="Cambria"/>
                            <w:color w:val="000000"/>
                            <w:sz w:val="22"/>
                            <w:szCs w:val="22"/>
                            <w:lang w:eastAsia="zh-CN"/>
                          </w:rPr>
                          <m:t>H+2a</m:t>
                        </m:r>
                      </m:num>
                      <m:den>
                        <m:r>
                          <w:rPr>
                            <w:rFonts w:ascii="Cambria Math" w:eastAsia="Cambria" w:hAnsi="Cambria Math" w:cs="Cambria"/>
                            <w:color w:val="000000"/>
                            <w:sz w:val="22"/>
                            <w:szCs w:val="22"/>
                            <w:lang w:eastAsia="zh-CN"/>
                          </w:rPr>
                          <m:t>H</m:t>
                        </m:r>
                      </m:den>
                    </m:f>
                  </m:e>
                </m:d>
              </m:e>
            </m:d>
            <m:d>
              <m:dPr>
                <m:ctrlPr>
                  <w:rPr>
                    <w:rFonts w:ascii="Cambria Math" w:eastAsia="Cambria" w:hAnsi="Cambria Math" w:cs="Cambria"/>
                    <w:bCs/>
                    <w:i/>
                    <w:color w:val="000000"/>
                    <w:sz w:val="22"/>
                    <w:szCs w:val="22"/>
                    <w:lang w:eastAsia="zh-CN"/>
                  </w:rPr>
                </m:ctrlPr>
              </m:dPr>
              <m:e>
                <m:f>
                  <m:fPr>
                    <m:ctrlPr>
                      <w:rPr>
                        <w:rFonts w:ascii="Cambria Math" w:eastAsia="Cambria" w:hAnsi="Cambria Math" w:cs="Cambria"/>
                        <w:bCs/>
                        <w:i/>
                        <w:color w:val="000000"/>
                        <w:sz w:val="22"/>
                        <w:szCs w:val="22"/>
                        <w:lang w:eastAsia="zh-CN"/>
                      </w:rPr>
                    </m:ctrlPr>
                  </m:fPr>
                  <m:num>
                    <m:r>
                      <w:rPr>
                        <w:rFonts w:ascii="Cambria Math" w:eastAsia="Cambria" w:hAnsi="Cambria Math" w:cs="Cambria"/>
                        <w:color w:val="000000"/>
                        <w:sz w:val="22"/>
                        <w:szCs w:val="22"/>
                        <w:lang w:eastAsia="zh-CN"/>
                      </w:rPr>
                      <m:t>1</m:t>
                    </m:r>
                  </m:num>
                  <m:den>
                    <m:r>
                      <w:rPr>
                        <w:rFonts w:ascii="Cambria Math" w:eastAsia="Cambria" w:hAnsi="Cambria Math" w:cs="Cambria"/>
                        <w:color w:val="000000"/>
                        <w:sz w:val="22"/>
                        <w:szCs w:val="22"/>
                        <w:lang w:eastAsia="zh-CN"/>
                      </w:rPr>
                      <m:t>1+1.77(2πH/λ</m:t>
                    </m:r>
                  </m:den>
                </m:f>
              </m:e>
            </m:d>
          </m:e>
        </m:d>
      </m:oMath>
      <w:r w:rsidR="00436CD0" w:rsidRPr="00C44D8C">
        <w:rPr>
          <w:rFonts w:asciiTheme="minorHAnsi" w:eastAsia="Calibri" w:hAnsiTheme="minorHAnsi" w:cs="Calibri"/>
          <w:color w:val="000000"/>
          <w:sz w:val="22"/>
          <w:szCs w:val="22"/>
          <w:lang w:eastAsia="zh-CN"/>
        </w:rPr>
        <w:tab/>
      </w:r>
      <w:r w:rsidR="00436CD0" w:rsidRPr="00C44D8C">
        <w:rPr>
          <w:rFonts w:asciiTheme="minorHAnsi" w:eastAsia="Calibri" w:hAnsiTheme="minorHAnsi" w:cs="Calibri"/>
          <w:color w:val="000000"/>
          <w:sz w:val="22"/>
          <w:szCs w:val="22"/>
          <w:lang w:eastAsia="zh-CN"/>
        </w:rPr>
        <w:tab/>
        <w:t>(Equation 4)</w:t>
      </w:r>
    </w:p>
    <w:p w14:paraId="562D97CA"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2E2514AC" w14:textId="43DEEAA4"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where</w:t>
      </w:r>
      <w:r w:rsidRPr="00C44D8C">
        <w:rPr>
          <w:rFonts w:asciiTheme="minorHAnsi" w:eastAsia="Calibri" w:hAnsiTheme="minorHAnsi" w:cs="Calibri"/>
          <w:i/>
          <w:color w:val="000000"/>
          <w:sz w:val="22"/>
          <w:szCs w:val="22"/>
          <w:lang w:eastAsia="zh-CN"/>
        </w:rPr>
        <w:t xml:space="preserve"> a </w:t>
      </w:r>
      <w:r w:rsidRPr="00C44D8C">
        <w:rPr>
          <w:rFonts w:asciiTheme="minorHAnsi" w:eastAsia="Calibri" w:hAnsiTheme="minorHAnsi" w:cs="Calibri"/>
          <w:color w:val="000000"/>
          <w:sz w:val="22"/>
          <w:szCs w:val="22"/>
          <w:lang w:eastAsia="zh-CN"/>
        </w:rPr>
        <w:t xml:space="preserve">is the radius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cells </w:t>
      </w:r>
      <w:r w:rsidR="00E87761">
        <w:rPr>
          <w:rFonts w:asciiTheme="minorHAnsi" w:eastAsia="Calibri" w:hAnsiTheme="minorHAnsi" w:cs="Calibri"/>
          <w:color w:val="000000"/>
          <w:sz w:val="22"/>
          <w:szCs w:val="22"/>
          <w:lang w:eastAsia="zh-CN"/>
        </w:rPr>
        <w:t xml:space="preserve">which was assumed to be 1 µm </w:t>
      </w:r>
      <w:r w:rsidR="00E87761">
        <w:rPr>
          <w:rFonts w:asciiTheme="minorHAnsi" w:eastAsia="Calibri" w:hAnsiTheme="minorHAnsi" w:cs="Calibri"/>
          <w:color w:val="000000"/>
          <w:sz w:val="22"/>
          <w:szCs w:val="22"/>
          <w:lang w:eastAsia="zh-CN"/>
        </w:rPr>
        <w:fldChar w:fldCharType="begin" w:fldLock="1"/>
      </w:r>
      <w:r w:rsidR="00F6573E">
        <w:rPr>
          <w:rFonts w:asciiTheme="minorHAnsi" w:eastAsia="Calibri" w:hAnsiTheme="minorHAnsi" w:cs="Calibri"/>
          <w:color w:val="000000"/>
          <w:sz w:val="22"/>
          <w:szCs w:val="22"/>
          <w:lang w:eastAsia="zh-CN"/>
        </w:rPr>
        <w:instrText>ADDIN CSL_CITATION { "citationItems" : [ { "id" : "ITEM-1", "itemData" : { "DOI" : "10.1016/j.colsurfb.2014.12.035", "ISSN" : "09277765", "author" : [ { "dropping-particle" : "", "family" : "Milkevych", "given" : "V.", "non-dropping-particle" : "", "parse-names" : false, "suffix" : "" }, { "dropping-particle" : "", "family" : "Donose", "given" : "B.C.", "non-dropping-particle" : "", "parse-names" : false, "suffix" : "" }, { "dropping-particle" : "", "family" : "Juste-Poinapen", "given" : "N.", "non-dropping-particle" : "", "parse-names" : false, "suffix" : "" }, { "dropping-particle" : "", "family" : "Batstone", "given" : "D.J.", "non-dropping-particle" : "", "parse-names" : false, "suffix" : "" } ], "container-title" : "Colloids and Surfaces B: Biointerfaces", "id" : "ITEM-1", "issued" : { "date-parts" : [ [ "2015" ] ] }, "page" : "303-312", "publisher" : "Elsevier B.V.", "title" : "Mechanical and cell-to-cell adhesive properties of aggregated Methanosarcina", "type" : "article-journal", "volume" : "126" }, "uris" : [ "http://www.mendeley.com/documents/?uuid=68b9cc12-02de-426e-a6b7-9d3bf7b064c3" ] } ], "mendeley" : { "formattedCitation" : "[53]", "plainTextFormattedCitation" : "[53]", "previouslyFormattedCitation" : "[53]"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3250CB" w:rsidRPr="003250CB">
        <w:rPr>
          <w:rFonts w:asciiTheme="minorHAnsi" w:eastAsia="Calibri" w:hAnsiTheme="minorHAnsi" w:cs="Calibri"/>
          <w:noProof/>
          <w:color w:val="000000"/>
          <w:sz w:val="22"/>
          <w:szCs w:val="22"/>
          <w:lang w:eastAsia="zh-CN"/>
        </w:rPr>
        <w:t>[53]</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λ is the correlation length of molecules in liquid, which was taken to be 0.6 nm for hydrophilic bacteria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E87761">
        <w:rPr>
          <w:rFonts w:asciiTheme="minorHAnsi" w:eastAsia="Calibri" w:hAnsiTheme="minorHAnsi" w:cs="Calibri"/>
          <w:color w:val="000000"/>
          <w:sz w:val="22"/>
          <w:szCs w:val="22"/>
          <w:lang w:eastAsia="zh-CN"/>
        </w:rPr>
        <w:fldChar w:fldCharType="end"/>
      </w:r>
      <w:r w:rsidR="00E87761">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and </w:t>
      </w:r>
      <w:r w:rsidRPr="00C44D8C">
        <w:rPr>
          <w:rFonts w:asciiTheme="minorHAnsi" w:eastAsia="Calibri" w:hAnsiTheme="minorHAnsi" w:cs="Calibri"/>
          <w:i/>
          <w:color w:val="000000"/>
          <w:sz w:val="22"/>
          <w:szCs w:val="22"/>
          <w:lang w:eastAsia="zh-CN"/>
        </w:rPr>
        <w:t xml:space="preserve">A </w:t>
      </w:r>
      <w:r w:rsidRPr="00C44D8C">
        <w:rPr>
          <w:rFonts w:asciiTheme="minorHAnsi" w:eastAsia="Calibri" w:hAnsiTheme="minorHAnsi" w:cs="Calibri"/>
          <w:color w:val="000000"/>
          <w:sz w:val="22"/>
          <w:szCs w:val="22"/>
          <w:lang w:eastAsia="zh-CN"/>
        </w:rPr>
        <w:t>is the Hamaker constant. The Hamaker con</w:t>
      </w:r>
      <w:r w:rsidR="00E269BC">
        <w:rPr>
          <w:rFonts w:asciiTheme="minorHAnsi" w:eastAsia="Calibri" w:hAnsiTheme="minorHAnsi" w:cs="Calibri"/>
          <w:color w:val="000000"/>
          <w:sz w:val="22"/>
          <w:szCs w:val="22"/>
          <w:lang w:eastAsia="zh-CN"/>
        </w:rPr>
        <w:t>stant was</w:t>
      </w:r>
      <w:r w:rsidRPr="00C44D8C">
        <w:rPr>
          <w:rFonts w:asciiTheme="minorHAnsi" w:eastAsia="Calibri" w:hAnsiTheme="minorHAnsi" w:cs="Calibri"/>
          <w:color w:val="000000"/>
          <w:sz w:val="22"/>
          <w:szCs w:val="22"/>
          <w:lang w:eastAsia="zh-CN"/>
        </w:rPr>
        <w:t xml:space="preserve"> calculated from the LW interaction energy (</w:t>
      </w:r>
      <m:oMath>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G</m:t>
            </m:r>
          </m:e>
          <m:sup>
            <m:r>
              <w:rPr>
                <w:rFonts w:ascii="Cambria Math" w:eastAsia="Cambria" w:hAnsi="Cambria Math" w:cs="Cambria"/>
                <w:color w:val="000000"/>
                <w:sz w:val="22"/>
                <w:szCs w:val="22"/>
                <w:lang w:eastAsia="zh-CN"/>
              </w:rPr>
              <m:t>LW</m:t>
            </m:r>
          </m:sup>
        </m:sSup>
      </m:oMath>
      <w:r w:rsidR="00E269BC">
        <w:rPr>
          <w:rFonts w:asciiTheme="minorHAnsi" w:eastAsia="Calibri" w:hAnsiTheme="minorHAnsi" w:cs="Calibri"/>
          <w:color w:val="000000"/>
          <w:sz w:val="22"/>
          <w:szCs w:val="22"/>
          <w:lang w:eastAsia="zh-CN"/>
        </w:rPr>
        <w:t>), which wa</w:t>
      </w:r>
      <w:r w:rsidRPr="00C44D8C">
        <w:rPr>
          <w:rFonts w:asciiTheme="minorHAnsi" w:eastAsia="Calibri" w:hAnsiTheme="minorHAnsi" w:cs="Calibri"/>
          <w:color w:val="000000"/>
          <w:sz w:val="22"/>
          <w:szCs w:val="22"/>
          <w:lang w:eastAsia="zh-CN"/>
        </w:rPr>
        <w:t>s determined from contact angle measurements</w:t>
      </w:r>
      <w:r w:rsidR="00E87761">
        <w:rPr>
          <w:rFonts w:asciiTheme="minorHAnsi" w:eastAsia="Calibri" w:hAnsiTheme="minorHAnsi" w:cs="Calibri"/>
          <w:color w:val="000000"/>
          <w:sz w:val="22"/>
          <w:szCs w:val="22"/>
          <w:lang w:eastAsia="zh-CN"/>
        </w:rPr>
        <w:t xml:space="preserve">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[63]</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T</w:t>
      </w:r>
      <w:r w:rsidR="00E269BC">
        <w:rPr>
          <w:rFonts w:asciiTheme="minorHAnsi" w:eastAsia="Calibri" w:hAnsiTheme="minorHAnsi" w:cs="Calibri"/>
          <w:color w:val="000000"/>
          <w:sz w:val="22"/>
          <w:szCs w:val="22"/>
          <w:lang w:eastAsia="zh-CN"/>
        </w:rPr>
        <w:t>he Hamaker constant wa</w:t>
      </w:r>
      <w:r w:rsidRPr="00C44D8C">
        <w:rPr>
          <w:rFonts w:asciiTheme="minorHAnsi" w:eastAsia="Calibri" w:hAnsiTheme="minorHAnsi" w:cs="Calibri"/>
          <w:color w:val="000000"/>
          <w:sz w:val="22"/>
          <w:szCs w:val="22"/>
          <w:lang w:eastAsia="zh-CN"/>
        </w:rPr>
        <w:t>s calculated as follows:</w:t>
      </w:r>
    </w:p>
    <w:p w14:paraId="5F96E0BA"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 </w:t>
      </w:r>
    </w:p>
    <w:p w14:paraId="3A381C08" w14:textId="77777777" w:rsidR="00436CD0" w:rsidRPr="00C44D8C" w:rsidRDefault="00436CD0" w:rsidP="00436CD0">
      <w:pPr>
        <w:spacing w:line="360" w:lineRule="auto"/>
        <w:jc w:val="center"/>
        <w:rPr>
          <w:rFonts w:asciiTheme="minorHAnsi" w:eastAsia="Cambria" w:hAnsiTheme="minorHAnsi" w:cs="Cambria"/>
          <w:color w:val="000000"/>
          <w:sz w:val="22"/>
          <w:szCs w:val="22"/>
          <w:lang w:eastAsia="zh-CN"/>
        </w:rPr>
      </w:pPr>
      <m:oMath>
        <m:r>
          <w:rPr>
            <w:rFonts w:ascii="Cambria Math" w:eastAsia="Cambria" w:hAnsi="Cambria Math" w:cs="Cambria"/>
            <w:color w:val="000000"/>
            <w:sz w:val="22"/>
            <w:szCs w:val="22"/>
            <w:lang w:eastAsia="zh-CN"/>
          </w:rPr>
          <m:t>A=-12π</m:t>
        </m:r>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d</m:t>
            </m:r>
          </m:e>
          <m:sub>
            <m:r>
              <w:rPr>
                <w:rFonts w:ascii="Cambria Math" w:eastAsia="Cambria" w:hAnsi="Cambria Math" w:cs="Cambria"/>
                <w:color w:val="000000"/>
                <w:sz w:val="22"/>
                <w:szCs w:val="22"/>
                <w:lang w:eastAsia="zh-CN"/>
              </w:rPr>
              <m:t>0</m:t>
            </m:r>
          </m:sub>
          <m:sup>
            <m:r>
              <w:rPr>
                <w:rFonts w:ascii="Cambria Math" w:eastAsia="Cambria" w:hAnsi="Cambria Math" w:cs="Cambria"/>
                <w:color w:val="000000"/>
                <w:sz w:val="22"/>
                <w:szCs w:val="22"/>
                <w:lang w:eastAsia="zh-CN"/>
              </w:rPr>
              <m:t>2</m:t>
            </m:r>
          </m:sup>
        </m:sSubSup>
        <m:r>
          <w:rPr>
            <w:rFonts w:ascii="Cambria Math" w:eastAsia="Cambria" w:hAnsi="Cambria Math" w:cs="Cambria"/>
            <w:color w:val="000000"/>
            <w:sz w:val="22"/>
            <w:szCs w:val="22"/>
            <w:lang w:eastAsia="zh-CN"/>
          </w:rPr>
          <m:t>∆</m:t>
        </m:r>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G</m:t>
            </m:r>
          </m:e>
          <m:sub>
            <m:r>
              <w:rPr>
                <w:rFonts w:ascii="Cambria Math" w:eastAsia="Cambria" w:hAnsi="Cambria Math" w:cs="Cambria"/>
                <w:color w:val="000000"/>
                <w:sz w:val="22"/>
                <w:szCs w:val="22"/>
                <w:lang w:eastAsia="zh-CN"/>
              </w:rPr>
              <m:t>adh</m:t>
            </m:r>
          </m:sub>
          <m:sup>
            <m:r>
              <w:rPr>
                <w:rFonts w:ascii="Cambria Math" w:eastAsia="Cambria" w:hAnsi="Cambria Math" w:cs="Cambria"/>
                <w:color w:val="000000"/>
                <w:sz w:val="22"/>
                <w:szCs w:val="22"/>
                <w:lang w:eastAsia="zh-CN"/>
              </w:rPr>
              <m:t>LW</m:t>
            </m:r>
          </m:sup>
        </m:sSubSup>
      </m:oMath>
      <w:r w:rsidRPr="00C44D8C">
        <w:rPr>
          <w:rFonts w:asciiTheme="minorHAnsi" w:eastAsia="Cambria" w:hAnsiTheme="minorHAnsi" w:cs="Cambria"/>
          <w:bCs/>
          <w:color w:val="000000"/>
          <w:sz w:val="22"/>
          <w:szCs w:val="22"/>
          <w:lang w:eastAsia="zh-CN"/>
        </w:rPr>
        <w:tab/>
      </w:r>
      <w:r w:rsidRPr="00C44D8C">
        <w:rPr>
          <w:rFonts w:asciiTheme="minorHAnsi" w:eastAsia="Calibri" w:hAnsiTheme="minorHAnsi" w:cs="Calibri"/>
          <w:color w:val="000000"/>
          <w:sz w:val="22"/>
          <w:szCs w:val="22"/>
          <w:lang w:eastAsia="zh-CN"/>
        </w:rPr>
        <w:t>(Equation 5)</w:t>
      </w:r>
    </w:p>
    <w:p w14:paraId="15983E4B"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0C9A7F7E" w14:textId="7FAED124"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where d</w:t>
      </w:r>
      <w:r w:rsidRPr="00C44D8C">
        <w:rPr>
          <w:rFonts w:asciiTheme="minorHAnsi" w:eastAsia="Calibri" w:hAnsiTheme="minorHAnsi" w:cs="Calibri"/>
          <w:color w:val="000000"/>
          <w:sz w:val="22"/>
          <w:szCs w:val="22"/>
          <w:vertAlign w:val="subscript"/>
          <w:lang w:eastAsia="zh-CN"/>
        </w:rPr>
        <w:t>0</w:t>
      </w:r>
      <w:r w:rsidRPr="00C44D8C">
        <w:rPr>
          <w:rFonts w:asciiTheme="minorHAnsi" w:eastAsia="Calibri" w:hAnsiTheme="minorHAnsi" w:cs="Calibri"/>
          <w:color w:val="000000"/>
          <w:sz w:val="22"/>
          <w:szCs w:val="22"/>
          <w:lang w:eastAsia="zh-CN"/>
        </w:rPr>
        <w:t xml:space="preserve"> is the minimum separation distance between two surfaces and is typically 1.57 A ̊ plus the distance from the shear plane, which varies between 5 A ̊ at low and 3 A ̊at high ionic concentration</w:t>
      </w:r>
      <w:r w:rsidR="00E87761">
        <w:rPr>
          <w:rFonts w:asciiTheme="minorHAnsi" w:eastAsia="Calibri" w:hAnsiTheme="minorHAnsi" w:cs="Calibri"/>
          <w:color w:val="000000"/>
          <w:sz w:val="22"/>
          <w:szCs w:val="22"/>
          <w:lang w:eastAsia="zh-CN"/>
        </w:rPr>
        <w:t xml:space="preserve">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E87761">
        <w:rPr>
          <w:rFonts w:asciiTheme="minorHAnsi" w:eastAsia="Calibri" w:hAnsiTheme="minorHAnsi" w:cs="Calibri"/>
          <w:color w:val="000000"/>
          <w:sz w:val="22"/>
          <w:szCs w:val="22"/>
          <w:lang w:eastAsia="zh-CN"/>
        </w:rPr>
        <w:fldChar w:fldCharType="end"/>
      </w:r>
      <w:r w:rsidR="00E87761">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lang w:eastAsia="zh-CN"/>
        </w:rPr>
        <w:t xml:space="preserve"> </w:t>
      </w:r>
      <w:r w:rsidR="00D604D8">
        <w:rPr>
          <w:rFonts w:asciiTheme="minorHAnsi" w:eastAsia="Calibri" w:hAnsiTheme="minorHAnsi" w:cs="Calibri"/>
          <w:color w:val="000000"/>
          <w:sz w:val="22"/>
          <w:szCs w:val="22"/>
          <w:lang w:eastAsia="zh-CN"/>
        </w:rPr>
        <w:t>Therefore</w:t>
      </w:r>
      <w:r w:rsidRPr="00C44D8C">
        <w:rPr>
          <w:rFonts w:asciiTheme="minorHAnsi" w:eastAsia="Calibri" w:hAnsiTheme="minorHAnsi" w:cs="Calibri"/>
          <w:color w:val="000000"/>
          <w:sz w:val="22"/>
          <w:szCs w:val="22"/>
          <w:lang w:eastAsia="zh-CN"/>
        </w:rPr>
        <w:t>, d</w:t>
      </w:r>
      <w:r w:rsidRPr="00C44D8C">
        <w:rPr>
          <w:rFonts w:asciiTheme="minorHAnsi" w:eastAsia="Calibri" w:hAnsiTheme="minorHAnsi" w:cs="Calibri"/>
          <w:color w:val="000000"/>
          <w:sz w:val="22"/>
          <w:szCs w:val="22"/>
          <w:vertAlign w:val="subscript"/>
          <w:lang w:eastAsia="zh-CN"/>
        </w:rPr>
        <w:t xml:space="preserve">0 </w:t>
      </w:r>
      <w:r w:rsidR="00D604D8">
        <w:rPr>
          <w:rFonts w:asciiTheme="minorHAnsi" w:eastAsia="Calibri" w:hAnsiTheme="minorHAnsi" w:cs="Calibri"/>
          <w:color w:val="000000"/>
          <w:sz w:val="22"/>
          <w:szCs w:val="22"/>
          <w:lang w:eastAsia="zh-CN"/>
        </w:rPr>
        <w:t>wa</w:t>
      </w:r>
      <w:r w:rsidRPr="00C44D8C">
        <w:rPr>
          <w:rFonts w:asciiTheme="minorHAnsi" w:eastAsia="Calibri" w:hAnsiTheme="minorHAnsi" w:cs="Calibri"/>
          <w:color w:val="000000"/>
          <w:sz w:val="22"/>
          <w:szCs w:val="22"/>
          <w:lang w:eastAsia="zh-CN"/>
        </w:rPr>
        <w:t>s taken to be 4.57 A ̊ for a high ionic concentration aqueous environment</w:t>
      </w:r>
      <w:r w:rsidR="00B57033">
        <w:rPr>
          <w:rFonts w:asciiTheme="minorHAnsi" w:eastAsia="Calibri" w:hAnsiTheme="minorHAnsi" w:cs="Calibri"/>
          <w:color w:val="000000"/>
          <w:sz w:val="22"/>
          <w:szCs w:val="22"/>
          <w:lang w:eastAsia="zh-CN"/>
        </w:rPr>
        <w:t xml:space="preserve"> (calculated as the </w:t>
      </w:r>
      <w:r w:rsidR="00B57033" w:rsidRPr="00C44D8C">
        <w:rPr>
          <w:rFonts w:asciiTheme="minorHAnsi" w:eastAsia="Calibri" w:hAnsiTheme="minorHAnsi" w:cs="Calibri"/>
          <w:color w:val="000000"/>
          <w:sz w:val="22"/>
          <w:szCs w:val="22"/>
          <w:lang w:eastAsia="zh-CN"/>
        </w:rPr>
        <w:t>minimum separation distance</w:t>
      </w:r>
      <w:r w:rsidR="00B57033">
        <w:rPr>
          <w:rFonts w:asciiTheme="minorHAnsi" w:eastAsia="Calibri" w:hAnsiTheme="minorHAnsi" w:cs="Calibri"/>
          <w:color w:val="000000"/>
          <w:sz w:val="22"/>
          <w:szCs w:val="22"/>
          <w:lang w:eastAsia="zh-CN"/>
        </w:rPr>
        <w:t xml:space="preserve"> of </w:t>
      </w:r>
      <w:r w:rsidR="00B57033" w:rsidRPr="00C44D8C">
        <w:rPr>
          <w:rFonts w:asciiTheme="minorHAnsi" w:eastAsia="Calibri" w:hAnsiTheme="minorHAnsi" w:cs="Calibri"/>
          <w:color w:val="000000"/>
          <w:sz w:val="22"/>
          <w:szCs w:val="22"/>
          <w:lang w:eastAsia="zh-CN"/>
        </w:rPr>
        <w:t>1.57 A ̊</w:t>
      </w:r>
      <w:r w:rsidR="00B57033">
        <w:rPr>
          <w:rFonts w:asciiTheme="minorHAnsi" w:eastAsia="Calibri" w:hAnsiTheme="minorHAnsi" w:cs="Calibri"/>
          <w:color w:val="000000"/>
          <w:sz w:val="22"/>
          <w:szCs w:val="22"/>
          <w:lang w:eastAsia="zh-CN"/>
        </w:rPr>
        <w:t xml:space="preserve"> plus </w:t>
      </w:r>
      <w:r w:rsidR="00B57033" w:rsidRPr="00C44D8C">
        <w:rPr>
          <w:rFonts w:asciiTheme="minorHAnsi" w:eastAsia="Calibri" w:hAnsiTheme="minorHAnsi" w:cs="Calibri"/>
          <w:color w:val="000000"/>
          <w:sz w:val="22"/>
          <w:szCs w:val="22"/>
          <w:lang w:eastAsia="zh-CN"/>
        </w:rPr>
        <w:t>3 A ̊</w:t>
      </w:r>
      <w:r w:rsidR="00B57033">
        <w:rPr>
          <w:rFonts w:asciiTheme="minorHAnsi" w:eastAsia="Calibri" w:hAnsiTheme="minorHAnsi" w:cs="Calibri"/>
          <w:color w:val="000000"/>
          <w:sz w:val="22"/>
          <w:szCs w:val="22"/>
          <w:lang w:eastAsia="zh-CN"/>
        </w:rPr>
        <w:t xml:space="preserve">, </w:t>
      </w:r>
      <w:r w:rsidR="00B57033">
        <w:rPr>
          <w:rFonts w:asciiTheme="minorHAnsi" w:eastAsia="Calibri" w:hAnsiTheme="minorHAnsi" w:cs="Calibri"/>
          <w:color w:val="000000"/>
          <w:sz w:val="22"/>
          <w:szCs w:val="22"/>
          <w:lang w:eastAsia="zh-CN"/>
        </w:rPr>
        <w:lastRenderedPageBreak/>
        <w:t xml:space="preserve">taking into account the </w:t>
      </w:r>
      <w:r w:rsidR="00B57033" w:rsidRPr="00C44D8C">
        <w:rPr>
          <w:rFonts w:asciiTheme="minorHAnsi" w:eastAsia="Calibri" w:hAnsiTheme="minorHAnsi" w:cs="Calibri"/>
          <w:color w:val="000000"/>
          <w:sz w:val="22"/>
          <w:szCs w:val="22"/>
          <w:lang w:eastAsia="zh-CN"/>
        </w:rPr>
        <w:t>high ionic concentration</w:t>
      </w:r>
      <w:r w:rsidR="00B57033">
        <w:rPr>
          <w:rFonts w:asciiTheme="minorHAnsi" w:eastAsia="Calibri" w:hAnsiTheme="minorHAnsi" w:cs="Calibri"/>
          <w:color w:val="000000"/>
          <w:sz w:val="22"/>
          <w:szCs w:val="22"/>
          <w:lang w:eastAsia="zh-CN"/>
        </w:rPr>
        <w:t xml:space="preserve"> of the medium used in the adhesion experiments [68]</w:t>
      </w:r>
      <w:r w:rsidRPr="00C44D8C">
        <w:rPr>
          <w:rFonts w:asciiTheme="minorHAnsi" w:eastAsia="Calibri" w:hAnsiTheme="minorHAnsi" w:cs="Calibri"/>
          <w:color w:val="000000"/>
          <w:sz w:val="22"/>
          <w:szCs w:val="22"/>
          <w:lang w:eastAsia="zh-CN"/>
        </w:rPr>
        <w:t xml:space="preserve">. </w:t>
      </w:r>
    </w:p>
    <w:p w14:paraId="1E19B9C0" w14:textId="1C8F151F" w:rsidR="00436CD0" w:rsidRPr="00C44D8C" w:rsidRDefault="00E269BC" w:rsidP="00436CD0">
      <w:pPr>
        <w:spacing w:line="360" w:lineRule="auto"/>
        <w:ind w:firstLine="720"/>
        <w:rPr>
          <w:rFonts w:asciiTheme="minorHAnsi" w:eastAsia="Cambria" w:hAnsiTheme="minorHAnsi" w:cs="Cambria"/>
          <w:color w:val="000000"/>
          <w:sz w:val="22"/>
          <w:szCs w:val="22"/>
          <w:lang w:eastAsia="zh-CN"/>
        </w:rPr>
      </w:pPr>
      <w:r>
        <w:rPr>
          <w:rFonts w:asciiTheme="minorHAnsi" w:eastAsia="Calibri" w:hAnsiTheme="minorHAnsi" w:cs="Calibri"/>
          <w:color w:val="000000"/>
          <w:sz w:val="22"/>
          <w:szCs w:val="22"/>
          <w:lang w:eastAsia="zh-CN"/>
        </w:rPr>
        <w:t>The</w:t>
      </w:r>
      <w:r w:rsidR="00436CD0" w:rsidRPr="00C44D8C">
        <w:rPr>
          <w:rFonts w:asciiTheme="minorHAnsi" w:eastAsia="Calibri" w:hAnsiTheme="minorHAnsi" w:cs="Calibri"/>
          <w:color w:val="000000"/>
          <w:sz w:val="22"/>
          <w:szCs w:val="22"/>
          <w:lang w:eastAsia="zh-CN"/>
        </w:rPr>
        <w:t xml:space="preserve"> zeta potential, </w:t>
      </w:r>
      <m:oMath>
        <m:r>
          <w:rPr>
            <w:rFonts w:ascii="Cambria Math" w:eastAsia="Cambria" w:hAnsi="Cambria Math" w:cs="Cambria"/>
            <w:color w:val="000000"/>
            <w:sz w:val="22"/>
            <w:szCs w:val="22"/>
            <w:lang w:eastAsia="zh-CN"/>
          </w:rPr>
          <m:t>ζ</m:t>
        </m:r>
      </m:oMath>
      <w:r>
        <w:rPr>
          <w:rFonts w:asciiTheme="minorHAnsi" w:eastAsia="Calibri" w:hAnsiTheme="minorHAnsi" w:cs="Calibri"/>
          <w:color w:val="000000"/>
          <w:sz w:val="22"/>
          <w:szCs w:val="22"/>
          <w:lang w:eastAsia="zh-CN"/>
        </w:rPr>
        <w:t>, wa</w:t>
      </w:r>
      <w:r w:rsidR="00436CD0" w:rsidRPr="00C44D8C">
        <w:rPr>
          <w:rFonts w:asciiTheme="minorHAnsi" w:eastAsia="Calibri" w:hAnsiTheme="minorHAnsi" w:cs="Calibri"/>
          <w:color w:val="000000"/>
          <w:sz w:val="22"/>
          <w:szCs w:val="22"/>
          <w:lang w:eastAsia="zh-CN"/>
        </w:rPr>
        <w:t>s taken to be the surface potential in the DLVO mo</w:t>
      </w:r>
      <w:r w:rsidR="00DF48F7">
        <w:rPr>
          <w:rFonts w:asciiTheme="minorHAnsi" w:eastAsia="Calibri" w:hAnsiTheme="minorHAnsi" w:cs="Calibri"/>
          <w:color w:val="000000"/>
          <w:sz w:val="22"/>
          <w:szCs w:val="22"/>
          <w:lang w:eastAsia="zh-CN"/>
        </w:rPr>
        <w:t>del. The EL interaction energy wa</w:t>
      </w:r>
      <w:r w:rsidR="00436CD0" w:rsidRPr="00C44D8C">
        <w:rPr>
          <w:rFonts w:asciiTheme="minorHAnsi" w:eastAsia="Calibri" w:hAnsiTheme="minorHAnsi" w:cs="Calibri"/>
          <w:color w:val="000000"/>
          <w:sz w:val="22"/>
          <w:szCs w:val="22"/>
          <w:lang w:eastAsia="zh-CN"/>
        </w:rPr>
        <w:t xml:space="preserve">s calculated as follows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E87761">
        <w:rPr>
          <w:rFonts w:asciiTheme="minorHAnsi" w:eastAsia="Calibri" w:hAnsiTheme="minorHAnsi" w:cs="Calibri"/>
          <w:color w:val="000000"/>
          <w:sz w:val="22"/>
          <w:szCs w:val="22"/>
          <w:lang w:eastAsia="zh-CN"/>
        </w:rPr>
        <w:fldChar w:fldCharType="end"/>
      </w:r>
      <w:r w:rsidR="00436CD0" w:rsidRPr="00C44D8C">
        <w:rPr>
          <w:rFonts w:asciiTheme="minorHAnsi" w:eastAsia="Calibri" w:hAnsiTheme="minorHAnsi" w:cs="Calibri"/>
          <w:color w:val="000000"/>
          <w:sz w:val="22"/>
          <w:szCs w:val="22"/>
          <w:lang w:eastAsia="zh-CN"/>
        </w:rPr>
        <w:t>:</w:t>
      </w:r>
    </w:p>
    <w:p w14:paraId="5BF7BE55"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4A4DBCF0" w14:textId="77777777" w:rsidR="00436CD0" w:rsidRPr="00C44D8C" w:rsidRDefault="00A36734" w:rsidP="00436CD0">
      <w:pPr>
        <w:spacing w:line="360" w:lineRule="auto"/>
        <w:jc w:val="center"/>
        <w:rPr>
          <w:rFonts w:asciiTheme="minorHAnsi" w:eastAsia="Cambria" w:hAnsiTheme="minorHAnsi" w:cs="Cambria"/>
          <w:color w:val="000000"/>
          <w:sz w:val="22"/>
          <w:szCs w:val="22"/>
          <w:lang w:eastAsia="zh-CN"/>
        </w:rPr>
      </w:pPr>
      <m:oMath>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G</m:t>
            </m:r>
          </m:e>
          <m:sup>
            <m:r>
              <w:rPr>
                <w:rFonts w:ascii="Cambria Math" w:eastAsia="Cambria" w:hAnsi="Cambria Math" w:cs="Cambria"/>
                <w:color w:val="000000"/>
                <w:sz w:val="22"/>
                <w:szCs w:val="22"/>
                <w:lang w:eastAsia="zh-CN"/>
              </w:rPr>
              <m:t>EL</m:t>
            </m:r>
          </m:sup>
        </m:sSup>
        <m:r>
          <w:rPr>
            <w:rFonts w:ascii="Cambria Math" w:eastAsia="Cambria" w:hAnsi="Cambria Math" w:cs="Cambria"/>
            <w:color w:val="000000"/>
            <w:sz w:val="22"/>
            <w:szCs w:val="22"/>
            <w:lang w:eastAsia="zh-CN"/>
          </w:rPr>
          <m:t>(H)=πεa</m:t>
        </m:r>
        <m:d>
          <m:dPr>
            <m:ctrlPr>
              <w:rPr>
                <w:rFonts w:ascii="Cambria Math" w:eastAsia="Cambria" w:hAnsi="Cambria Math" w:cs="Cambria"/>
                <w:bCs/>
                <w:i/>
                <w:color w:val="000000"/>
                <w:sz w:val="22"/>
                <w:szCs w:val="22"/>
                <w:lang w:eastAsia="zh-CN"/>
              </w:rPr>
            </m:ctrlPr>
          </m:dPr>
          <m:e>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ζ</m:t>
                </m:r>
              </m:e>
              <m:sub>
                <m:r>
                  <w:rPr>
                    <w:rFonts w:ascii="Cambria Math" w:eastAsia="Cambria" w:hAnsi="Cambria Math" w:cs="Cambria"/>
                    <w:color w:val="000000"/>
                    <w:sz w:val="22"/>
                    <w:szCs w:val="22"/>
                    <w:lang w:eastAsia="zh-CN"/>
                  </w:rPr>
                  <m:t>1</m:t>
                </m:r>
              </m:sub>
              <m:sup>
                <m:r>
                  <w:rPr>
                    <w:rFonts w:ascii="Cambria Math" w:eastAsia="Cambria" w:hAnsi="Cambria Math" w:cs="Cambria"/>
                    <w:color w:val="000000"/>
                    <w:sz w:val="22"/>
                    <w:szCs w:val="22"/>
                    <w:lang w:eastAsia="zh-CN"/>
                  </w:rPr>
                  <m:t>2</m:t>
                </m:r>
              </m:sup>
            </m:sSubSup>
            <m:r>
              <w:rPr>
                <w:rFonts w:ascii="Cambria Math" w:eastAsia="Cambria" w:hAnsi="Cambria Math" w:cs="Cambria"/>
                <w:color w:val="000000"/>
                <w:sz w:val="22"/>
                <w:szCs w:val="22"/>
                <w:lang w:eastAsia="zh-CN"/>
              </w:rPr>
              <m:t>+</m:t>
            </m:r>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ζ</m:t>
                </m:r>
              </m:e>
              <m:sub>
                <m:r>
                  <w:rPr>
                    <w:rFonts w:ascii="Cambria Math" w:eastAsia="Cambria" w:hAnsi="Cambria Math" w:cs="Cambria"/>
                    <w:color w:val="000000"/>
                    <w:sz w:val="22"/>
                    <w:szCs w:val="22"/>
                    <w:lang w:eastAsia="zh-CN"/>
                  </w:rPr>
                  <m:t>2</m:t>
                </m:r>
              </m:sub>
              <m:sup>
                <m:r>
                  <w:rPr>
                    <w:rFonts w:ascii="Cambria Math" w:eastAsia="Cambria" w:hAnsi="Cambria Math" w:cs="Cambria"/>
                    <w:color w:val="000000"/>
                    <w:sz w:val="22"/>
                    <w:szCs w:val="22"/>
                    <w:lang w:eastAsia="zh-CN"/>
                  </w:rPr>
                  <m:t>2</m:t>
                </m:r>
              </m:sup>
            </m:sSubSup>
          </m:e>
        </m:d>
        <m:d>
          <m:dPr>
            <m:begChr m:val="["/>
            <m:endChr m:val="]"/>
            <m:ctrlPr>
              <w:rPr>
                <w:rFonts w:ascii="Cambria Math" w:eastAsia="Cambria" w:hAnsi="Cambria Math" w:cs="Cambria"/>
                <w:bCs/>
                <w:i/>
                <w:color w:val="000000"/>
                <w:sz w:val="22"/>
                <w:szCs w:val="22"/>
                <w:lang w:eastAsia="zh-CN"/>
              </w:rPr>
            </m:ctrlPr>
          </m:dPr>
          <m:e>
            <m:f>
              <m:fPr>
                <m:ctrlPr>
                  <w:rPr>
                    <w:rFonts w:ascii="Cambria Math" w:eastAsia="Cambria" w:hAnsi="Cambria Math" w:cs="Cambria"/>
                    <w:bCs/>
                    <w:i/>
                    <w:color w:val="000000"/>
                    <w:sz w:val="22"/>
                    <w:szCs w:val="22"/>
                    <w:lang w:eastAsia="zh-CN"/>
                  </w:rPr>
                </m:ctrlPr>
              </m:fPr>
              <m:num>
                <m:r>
                  <w:rPr>
                    <w:rFonts w:ascii="Cambria Math" w:eastAsia="Cambria" w:hAnsi="Cambria Math" w:cs="Cambria"/>
                    <w:color w:val="000000"/>
                    <w:sz w:val="22"/>
                    <w:szCs w:val="22"/>
                    <w:lang w:eastAsia="zh-CN"/>
                  </w:rPr>
                  <m:t>2</m:t>
                </m:r>
                <m:sSub>
                  <m:sSubPr>
                    <m:ctrlPr>
                      <w:rPr>
                        <w:rFonts w:ascii="Cambria Math" w:eastAsia="Cambria" w:hAnsi="Cambria Math" w:cs="Cambria"/>
                        <w:bCs/>
                        <w:i/>
                        <w:color w:val="000000"/>
                        <w:sz w:val="22"/>
                        <w:szCs w:val="22"/>
                        <w:lang w:eastAsia="zh-CN"/>
                      </w:rPr>
                    </m:ctrlPr>
                  </m:sSubPr>
                  <m:e>
                    <m:r>
                      <w:rPr>
                        <w:rFonts w:ascii="Cambria Math" w:eastAsia="Cambria" w:hAnsi="Cambria Math" w:cs="Cambria"/>
                        <w:color w:val="000000"/>
                        <w:sz w:val="22"/>
                        <w:szCs w:val="22"/>
                        <w:lang w:eastAsia="zh-CN"/>
                      </w:rPr>
                      <m:t>ζ</m:t>
                    </m:r>
                  </m:e>
                  <m:sub>
                    <m:r>
                      <w:rPr>
                        <w:rFonts w:ascii="Cambria Math" w:eastAsia="Cambria" w:hAnsi="Cambria Math" w:cs="Cambria"/>
                        <w:color w:val="000000"/>
                        <w:sz w:val="22"/>
                        <w:szCs w:val="22"/>
                        <w:lang w:eastAsia="zh-CN"/>
                      </w:rPr>
                      <m:t>1</m:t>
                    </m:r>
                  </m:sub>
                </m:sSub>
                <m:sSub>
                  <m:sSubPr>
                    <m:ctrlPr>
                      <w:rPr>
                        <w:rFonts w:ascii="Cambria Math" w:eastAsia="Cambria" w:hAnsi="Cambria Math" w:cs="Cambria"/>
                        <w:bCs/>
                        <w:i/>
                        <w:color w:val="000000"/>
                        <w:sz w:val="22"/>
                        <w:szCs w:val="22"/>
                        <w:lang w:eastAsia="zh-CN"/>
                      </w:rPr>
                    </m:ctrlPr>
                  </m:sSubPr>
                  <m:e>
                    <m:r>
                      <w:rPr>
                        <w:rFonts w:ascii="Cambria Math" w:eastAsia="Cambria" w:hAnsi="Cambria Math" w:cs="Cambria"/>
                        <w:color w:val="000000"/>
                        <w:sz w:val="22"/>
                        <w:szCs w:val="22"/>
                        <w:lang w:eastAsia="zh-CN"/>
                      </w:rPr>
                      <m:t>ζ</m:t>
                    </m:r>
                  </m:e>
                  <m:sub>
                    <m:r>
                      <w:rPr>
                        <w:rFonts w:ascii="Cambria Math" w:eastAsia="Cambria" w:hAnsi="Cambria Math" w:cs="Cambria"/>
                        <w:color w:val="000000"/>
                        <w:sz w:val="22"/>
                        <w:szCs w:val="22"/>
                        <w:lang w:eastAsia="zh-CN"/>
                      </w:rPr>
                      <m:t>2</m:t>
                    </m:r>
                  </m:sub>
                </m:sSub>
              </m:num>
              <m:den>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ζ</m:t>
                    </m:r>
                  </m:e>
                  <m:sub>
                    <m:r>
                      <w:rPr>
                        <w:rFonts w:ascii="Cambria Math" w:eastAsia="Cambria" w:hAnsi="Cambria Math" w:cs="Cambria"/>
                        <w:color w:val="000000"/>
                        <w:sz w:val="22"/>
                        <w:szCs w:val="22"/>
                        <w:lang w:eastAsia="zh-CN"/>
                      </w:rPr>
                      <m:t>1</m:t>
                    </m:r>
                  </m:sub>
                  <m:sup>
                    <m:r>
                      <w:rPr>
                        <w:rFonts w:ascii="Cambria Math" w:eastAsia="Cambria" w:hAnsi="Cambria Math" w:cs="Cambria"/>
                        <w:color w:val="000000"/>
                        <w:sz w:val="22"/>
                        <w:szCs w:val="22"/>
                        <w:lang w:eastAsia="zh-CN"/>
                      </w:rPr>
                      <m:t>2</m:t>
                    </m:r>
                  </m:sup>
                </m:sSubSup>
                <m:r>
                  <w:rPr>
                    <w:rFonts w:ascii="Cambria Math" w:eastAsia="Cambria" w:hAnsi="Cambria Math" w:cs="Cambria"/>
                    <w:color w:val="000000"/>
                    <w:sz w:val="22"/>
                    <w:szCs w:val="22"/>
                    <w:lang w:eastAsia="zh-CN"/>
                  </w:rPr>
                  <m:t>+</m:t>
                </m:r>
                <m:sSubSup>
                  <m:sSubSupPr>
                    <m:ctrlPr>
                      <w:rPr>
                        <w:rFonts w:ascii="Cambria Math" w:eastAsia="Cambria" w:hAnsi="Cambria Math" w:cs="Cambria"/>
                        <w:bCs/>
                        <w:i/>
                        <w:color w:val="000000"/>
                        <w:sz w:val="22"/>
                        <w:szCs w:val="22"/>
                        <w:lang w:eastAsia="zh-CN"/>
                      </w:rPr>
                    </m:ctrlPr>
                  </m:sSubSupPr>
                  <m:e>
                    <m:r>
                      <w:rPr>
                        <w:rFonts w:ascii="Cambria Math" w:eastAsia="Cambria" w:hAnsi="Cambria Math" w:cs="Cambria"/>
                        <w:color w:val="000000"/>
                        <w:sz w:val="22"/>
                        <w:szCs w:val="22"/>
                        <w:lang w:eastAsia="zh-CN"/>
                      </w:rPr>
                      <m:t>ζ</m:t>
                    </m:r>
                  </m:e>
                  <m:sub>
                    <m:r>
                      <w:rPr>
                        <w:rFonts w:ascii="Cambria Math" w:eastAsia="Cambria" w:hAnsi="Cambria Math" w:cs="Cambria"/>
                        <w:color w:val="000000"/>
                        <w:sz w:val="22"/>
                        <w:szCs w:val="22"/>
                        <w:lang w:eastAsia="zh-CN"/>
                      </w:rPr>
                      <m:t>2</m:t>
                    </m:r>
                  </m:sub>
                  <m:sup>
                    <m:r>
                      <w:rPr>
                        <w:rFonts w:ascii="Cambria Math" w:eastAsia="Cambria" w:hAnsi="Cambria Math" w:cs="Cambria"/>
                        <w:color w:val="000000"/>
                        <w:sz w:val="22"/>
                        <w:szCs w:val="22"/>
                        <w:lang w:eastAsia="zh-CN"/>
                      </w:rPr>
                      <m:t>2</m:t>
                    </m:r>
                  </m:sup>
                </m:sSubSup>
              </m:den>
            </m:f>
            <m:r>
              <w:rPr>
                <w:rFonts w:ascii="Cambria Math" w:eastAsia="Cambria" w:hAnsi="Cambria Math" w:cs="Cambria"/>
                <w:color w:val="000000"/>
                <w:sz w:val="22"/>
                <w:szCs w:val="22"/>
                <w:lang w:eastAsia="zh-CN"/>
              </w:rPr>
              <m:t>ln</m:t>
            </m:r>
            <m:d>
              <m:dPr>
                <m:ctrlPr>
                  <w:rPr>
                    <w:rFonts w:ascii="Cambria Math" w:eastAsia="Cambria" w:hAnsi="Cambria Math" w:cs="Cambria"/>
                    <w:bCs/>
                    <w:i/>
                    <w:color w:val="000000"/>
                    <w:sz w:val="22"/>
                    <w:szCs w:val="22"/>
                    <w:lang w:eastAsia="zh-CN"/>
                  </w:rPr>
                </m:ctrlPr>
              </m:dPr>
              <m:e>
                <m:f>
                  <m:fPr>
                    <m:ctrlPr>
                      <w:rPr>
                        <w:rFonts w:ascii="Cambria Math" w:eastAsia="Cambria" w:hAnsi="Cambria Math" w:cs="Cambria"/>
                        <w:bCs/>
                        <w:i/>
                        <w:color w:val="000000"/>
                        <w:sz w:val="22"/>
                        <w:szCs w:val="22"/>
                        <w:lang w:eastAsia="zh-CN"/>
                      </w:rPr>
                    </m:ctrlPr>
                  </m:fPr>
                  <m:num>
                    <m:r>
                      <w:rPr>
                        <w:rFonts w:ascii="Cambria Math" w:eastAsia="Cambria" w:hAnsi="Cambria Math" w:cs="Cambria"/>
                        <w:color w:val="000000"/>
                        <w:sz w:val="22"/>
                        <w:szCs w:val="22"/>
                        <w:lang w:eastAsia="zh-CN"/>
                      </w:rPr>
                      <m:t>1+</m:t>
                    </m:r>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e</m:t>
                        </m:r>
                      </m:e>
                      <m:sup>
                        <m:r>
                          <w:rPr>
                            <w:rFonts w:ascii="Cambria Math" w:eastAsia="Cambria" w:hAnsi="Cambria Math" w:cs="Cambria"/>
                            <w:color w:val="000000"/>
                            <w:sz w:val="22"/>
                            <w:szCs w:val="22"/>
                            <w:lang w:eastAsia="zh-CN"/>
                          </w:rPr>
                          <m:t>-kH</m:t>
                        </m:r>
                      </m:sup>
                    </m:sSup>
                  </m:num>
                  <m:den>
                    <m:r>
                      <w:rPr>
                        <w:rFonts w:ascii="Cambria Math" w:eastAsia="Cambria" w:hAnsi="Cambria Math" w:cs="Cambria"/>
                        <w:color w:val="000000"/>
                        <w:sz w:val="22"/>
                        <w:szCs w:val="22"/>
                        <w:lang w:eastAsia="zh-CN"/>
                      </w:rPr>
                      <m:t>1-</m:t>
                    </m:r>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e</m:t>
                        </m:r>
                      </m:e>
                      <m:sup>
                        <m:r>
                          <w:rPr>
                            <w:rFonts w:ascii="Cambria Math" w:eastAsia="Cambria" w:hAnsi="Cambria Math" w:cs="Cambria"/>
                            <w:color w:val="000000"/>
                            <w:sz w:val="22"/>
                            <w:szCs w:val="22"/>
                            <w:lang w:eastAsia="zh-CN"/>
                          </w:rPr>
                          <m:t>-kH</m:t>
                        </m:r>
                      </m:sup>
                    </m:sSup>
                  </m:den>
                </m:f>
              </m:e>
            </m:d>
            <m:r>
              <w:rPr>
                <w:rFonts w:ascii="Cambria Math" w:eastAsia="Cambria" w:hAnsi="Cambria Math" w:cs="Cambria"/>
                <w:color w:val="000000"/>
                <w:sz w:val="22"/>
                <w:szCs w:val="22"/>
                <w:lang w:eastAsia="zh-CN"/>
              </w:rPr>
              <m:t>+ln</m:t>
            </m:r>
            <m:d>
              <m:dPr>
                <m:ctrlPr>
                  <w:rPr>
                    <w:rFonts w:ascii="Cambria Math" w:eastAsia="Cambria" w:hAnsi="Cambria Math" w:cs="Cambria"/>
                    <w:bCs/>
                    <w:i/>
                    <w:color w:val="000000"/>
                    <w:sz w:val="22"/>
                    <w:szCs w:val="22"/>
                    <w:lang w:eastAsia="zh-CN"/>
                  </w:rPr>
                </m:ctrlPr>
              </m:dPr>
              <m:e>
                <m:r>
                  <w:rPr>
                    <w:rFonts w:ascii="Cambria Math" w:eastAsia="Cambria" w:hAnsi="Cambria Math" w:cs="Cambria"/>
                    <w:color w:val="000000"/>
                    <w:sz w:val="22"/>
                    <w:szCs w:val="22"/>
                    <w:lang w:eastAsia="zh-CN"/>
                  </w:rPr>
                  <m:t>1-</m:t>
                </m:r>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e</m:t>
                    </m:r>
                  </m:e>
                  <m:sup>
                    <m:r>
                      <w:rPr>
                        <w:rFonts w:ascii="Cambria Math" w:eastAsia="Cambria" w:hAnsi="Cambria Math" w:cs="Cambria"/>
                        <w:color w:val="000000"/>
                        <w:sz w:val="22"/>
                        <w:szCs w:val="22"/>
                        <w:lang w:eastAsia="zh-CN"/>
                      </w:rPr>
                      <m:t>-2kH</m:t>
                    </m:r>
                  </m:sup>
                </m:sSup>
              </m:e>
            </m:d>
          </m:e>
        </m:d>
      </m:oMath>
      <w:r w:rsidR="00436CD0" w:rsidRPr="00C44D8C">
        <w:rPr>
          <w:rFonts w:asciiTheme="minorHAnsi" w:eastAsia="Calibri" w:hAnsiTheme="minorHAnsi" w:cs="Calibri"/>
          <w:color w:val="000000"/>
          <w:sz w:val="22"/>
          <w:szCs w:val="22"/>
          <w:lang w:eastAsia="zh-CN"/>
        </w:rPr>
        <w:tab/>
        <w:t>(Equation 6)</w:t>
      </w:r>
    </w:p>
    <w:p w14:paraId="235618E8"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39064E54" w14:textId="0AC94B71"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where </w:t>
      </w:r>
      <m:oMath>
        <m:r>
          <w:rPr>
            <w:rFonts w:ascii="Cambria Math" w:eastAsia="Cambria" w:hAnsi="Cambria Math" w:cs="Cambria"/>
            <w:color w:val="000000"/>
            <w:sz w:val="22"/>
            <w:szCs w:val="22"/>
            <w:lang w:eastAsia="zh-CN"/>
          </w:rPr>
          <m:t>ζ</m:t>
        </m:r>
      </m:oMath>
      <w:r w:rsidRPr="00C44D8C">
        <w:rPr>
          <w:rFonts w:asciiTheme="minorHAnsi" w:eastAsia="Calibri" w:hAnsiTheme="minorHAnsi" w:cs="Calibri"/>
          <w:color w:val="000000"/>
          <w:sz w:val="22"/>
          <w:szCs w:val="22"/>
          <w:lang w:eastAsia="zh-CN"/>
        </w:rPr>
        <w:t xml:space="preserve"> is the zeta potential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and the support material surfaces and assumed to be the same as the surface potential, </w:t>
      </w:r>
      <w:r w:rsidRPr="00C44D8C">
        <w:rPr>
          <w:rFonts w:asciiTheme="minorHAnsi" w:eastAsia="Cambria" w:hAnsiTheme="minorHAnsi" w:cs="Cambria"/>
          <w:bCs/>
          <w:color w:val="000000"/>
          <w:sz w:val="22"/>
          <w:szCs w:val="22"/>
          <w:lang w:eastAsia="zh-CN"/>
        </w:rPr>
        <w:t xml:space="preserve"> </w:t>
      </w:r>
      <m:oMath>
        <m:r>
          <w:rPr>
            <w:rFonts w:ascii="Cambria Math" w:eastAsia="Cambria" w:hAnsi="Cambria Math" w:cs="Cambria"/>
            <w:color w:val="000000"/>
            <w:sz w:val="22"/>
            <w:szCs w:val="22"/>
            <w:lang w:eastAsia="zh-CN"/>
          </w:rPr>
          <m:t xml:space="preserve">ε </m:t>
        </m:r>
      </m:oMath>
      <w:r w:rsidRPr="00C44D8C">
        <w:rPr>
          <w:rFonts w:asciiTheme="minorHAnsi" w:eastAsia="Calibri" w:hAnsiTheme="minorHAnsi" w:cs="Calibri"/>
          <w:color w:val="000000"/>
          <w:sz w:val="22"/>
          <w:szCs w:val="22"/>
          <w:lang w:eastAsia="zh-CN"/>
        </w:rPr>
        <w:t>is the electrical permittivity of the medium (8.854 x 10</w:t>
      </w:r>
      <w:r w:rsidRPr="00C44D8C">
        <w:rPr>
          <w:rFonts w:asciiTheme="minorHAnsi" w:eastAsia="Calibri" w:hAnsiTheme="minorHAnsi" w:cs="Calibri"/>
          <w:color w:val="000000"/>
          <w:sz w:val="22"/>
          <w:szCs w:val="22"/>
          <w:vertAlign w:val="superscript"/>
          <w:lang w:eastAsia="zh-CN"/>
        </w:rPr>
        <w:t>-12</w:t>
      </w:r>
      <w:r w:rsidRPr="00C44D8C">
        <w:rPr>
          <w:rFonts w:asciiTheme="minorHAnsi" w:eastAsia="Calibri" w:hAnsiTheme="minorHAnsi" w:cs="Calibri"/>
          <w:color w:val="000000"/>
          <w:sz w:val="22"/>
          <w:szCs w:val="22"/>
          <w:lang w:eastAsia="zh-CN"/>
        </w:rPr>
        <w:t xml:space="preserve"> C</w:t>
      </w:r>
      <w:r w:rsidRPr="00C44D8C">
        <w:rPr>
          <w:rFonts w:asciiTheme="minorHAnsi" w:eastAsia="Calibri" w:hAnsiTheme="minorHAnsi" w:cs="Calibri"/>
          <w:color w:val="000000"/>
          <w:sz w:val="22"/>
          <w:szCs w:val="22"/>
          <w:vertAlign w:val="superscript"/>
          <w:lang w:eastAsia="zh-CN"/>
        </w:rPr>
        <w:t xml:space="preserve">2 </w:t>
      </w:r>
      <w:r w:rsidRPr="00C44D8C">
        <w:rPr>
          <w:rFonts w:asciiTheme="minorHAnsi" w:eastAsia="Calibri" w:hAnsiTheme="minorHAnsi" w:cs="Calibri"/>
          <w:color w:val="000000"/>
          <w:sz w:val="22"/>
          <w:szCs w:val="22"/>
          <w:lang w:eastAsia="zh-CN"/>
        </w:rPr>
        <w:t>J</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xml:space="preserve"> 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xml:space="preserve">) </w:t>
      </w:r>
      <w:r w:rsidR="00E87761">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"10.1016/j.colsurfb.2004.05.006", "ISSN" : "0927-7765", "PMID" : "15261011", "abstract" : "Metal oxides can increase the adhesion of negatively-charged bacteria to surfaces primarily due to their positive charge. However, the hydrophobicity of a metal-oxide surface can also increase adhesion of bacteria. In order to understand the relative contribution of charge and hydrophobicity to bacterial adhesion, we measured the adhesion of 8 strains of bacteria, under conditions of low and high-ionic strength (1 and 100 mM, respectively) to 11 different surfaces and examined adhesion as a function of charge, hydrophobicity (water contact angle) and surface energy. Inorganic surfaces included three uncoated glass surfaces and eight metal-oxide thin films prepared on the upper (non-tin-exposed) side of float glass by chemical vapor deposition. The Gram-negative bacteria differed in lengths of lipopolysaccharides on their outer surface (three Escherichia coli strains), the amounts of exopolysaccharides (two Pseudomonas aeruginosa strains), and their known relative adhesion to sand grains (two Burkholderia cepacia strains). One Gram positive bacterium was also used that had a lower adhesion to glass than these other bacteria (Bacillus subtilis). For all eight bacteria, there was a consistent increase in adhesion between with the type of inorganic surface in the order: float glass exposed to tin (coded here as Si-Sn), glass microscope slide (Si-m), uncoated air-side float glass surface (Si-a), followed by thin films of (Co(1-y-z)Fe(y)Cr(z))3O4, Ti/Fe/O, TiO2, SnO2, SnO2:F, SnO2:Sb, A1(2)O3, and Fe2O3 (the colon indicates metal doping, a slash indicates that the metal is a major component, while the dash is used to distinguish surfaces). Increasing the ionic strength from 1 to 100 mM increased adhesion by a factor of 2.0 +/- 0.6 (73% of the sample results were within the 95% CI) showing electrostatic charge was important in adhesion. However, adhesion was not significantly correlated with bacterial charge and contact angle. Adhesion (A) of the eight strains was significantly (P &lt; 10(-25)) correlated with total adhesion free energy (U) between the bacteria and surface (A = 2162e(-1.8U)). Although the correlation was significant, agreement between the model and data was poor for the low energy surfaces (R2 = 0.68), indicating that better models or additional methods to characterize bacteria and surfaces are still needed to more accurately describe initial bacterial adhesion to inorganic surfaces.", "author" : [ { "dropping-particle" : "", "family" : "Li", "given" : "Baikun", "non-dropping-particle" : "", "parse-names" : false, "suffix" : "" }, { "dropping-particle" : "", "family" : "Logan", "given" : "Bruce E", "non-dropping-particle" : "", "parse-names" : false, "suffix" : "" } ], "container-title" : "Colloids and surfaces. B, Biointerfaces", "id" : "ITEM-1", "issue" : "2", "issued" : { "date-parts" : [ [ "2004", "7", "15" ] ] }, "page" : "81-90", "title" : "Bacterial adhesion to glass and metal-oxide surfaces.", "type" : "article-journal", "volume" : "36" }, "uris" : [ "http://www.mendeley.com/documents/?uuid=764f0666-2ed1-45a4-a189-ecfa827aa04d" ] } ], "mendeley" : { "formattedCitation" : "[81]", "plainTextFormattedCitation" : "[81]", "previouslyFormattedCitation" : "[81]"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[81]</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i/>
          <w:color w:val="000000"/>
          <w:sz w:val="22"/>
          <w:szCs w:val="22"/>
          <w:lang w:eastAsia="zh-CN"/>
        </w:rPr>
        <w:t xml:space="preserve">H </w:t>
      </w:r>
      <w:r w:rsidRPr="00C44D8C">
        <w:rPr>
          <w:rFonts w:asciiTheme="minorHAnsi" w:eastAsia="Calibri" w:hAnsiTheme="minorHAnsi" w:cs="Calibri"/>
          <w:color w:val="000000"/>
          <w:sz w:val="22"/>
          <w:szCs w:val="22"/>
          <w:lang w:eastAsia="zh-CN"/>
        </w:rPr>
        <w:t xml:space="preserve">is the separation distance and </w:t>
      </w:r>
      <m:oMath>
        <m:r>
          <w:rPr>
            <w:rFonts w:ascii="Cambria Math" w:eastAsia="Cambria" w:hAnsi="Cambria Math" w:cs="Cambria"/>
            <w:color w:val="000000"/>
            <w:sz w:val="22"/>
            <w:szCs w:val="22"/>
            <w:lang w:eastAsia="zh-CN"/>
          </w:rPr>
          <m:t>k</m:t>
        </m:r>
      </m:oMath>
      <w:r w:rsidRPr="00C44D8C">
        <w:rPr>
          <w:rFonts w:asciiTheme="minorHAnsi" w:eastAsia="Calibri" w:hAnsiTheme="minorHAnsi" w:cs="Calibri"/>
          <w:color w:val="000000"/>
          <w:sz w:val="22"/>
          <w:szCs w:val="22"/>
          <w:lang w:eastAsia="zh-CN"/>
        </w:rPr>
        <w:t xml:space="preserve"> is the double layer t</w:t>
      </w:r>
      <w:r w:rsidR="00E87761">
        <w:rPr>
          <w:rFonts w:asciiTheme="minorHAnsi" w:eastAsia="Calibri" w:hAnsiTheme="minorHAnsi" w:cs="Calibri"/>
          <w:color w:val="000000"/>
          <w:sz w:val="22"/>
          <w:szCs w:val="22"/>
          <w:lang w:eastAsia="zh-CN"/>
        </w:rPr>
        <w:t xml:space="preserve">hickness, </w:t>
      </w:r>
      <w:r w:rsidR="00DF48F7">
        <w:rPr>
          <w:rFonts w:asciiTheme="minorHAnsi" w:eastAsia="Calibri" w:hAnsiTheme="minorHAnsi" w:cs="Calibri"/>
          <w:color w:val="000000"/>
          <w:sz w:val="22"/>
          <w:szCs w:val="22"/>
          <w:lang w:eastAsia="zh-CN"/>
        </w:rPr>
        <w:t xml:space="preserve">which was </w:t>
      </w:r>
      <w:r w:rsidR="00E87761">
        <w:rPr>
          <w:rFonts w:asciiTheme="minorHAnsi" w:eastAsia="Calibri" w:hAnsiTheme="minorHAnsi" w:cs="Calibri"/>
          <w:color w:val="000000"/>
          <w:sz w:val="22"/>
          <w:szCs w:val="22"/>
          <w:lang w:eastAsia="zh-CN"/>
        </w:rPr>
        <w:t xml:space="preserve">calculated as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E87761">
        <w:rPr>
          <w:rFonts w:asciiTheme="minorHAnsi" w:eastAsia="Calibri" w:hAnsiTheme="minorHAnsi" w:cs="Calibri"/>
          <w:color w:val="000000"/>
          <w:sz w:val="22"/>
          <w:szCs w:val="22"/>
          <w:lang w:eastAsia="zh-CN"/>
        </w:rPr>
        <w:fldChar w:fldCharType="end"/>
      </w:r>
      <w:r w:rsidR="00E87761">
        <w:rPr>
          <w:rFonts w:asciiTheme="minorHAnsi" w:eastAsia="Calibri" w:hAnsiTheme="minorHAnsi" w:cs="Calibri"/>
          <w:color w:val="000000"/>
          <w:sz w:val="22"/>
          <w:szCs w:val="22"/>
          <w:lang w:eastAsia="zh-CN"/>
        </w:rPr>
        <w:t>:</w:t>
      </w:r>
    </w:p>
    <w:p w14:paraId="41F7C262"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58E90995" w14:textId="77777777" w:rsidR="00436CD0" w:rsidRPr="00C44D8C" w:rsidRDefault="00436CD0" w:rsidP="00436CD0">
      <w:pPr>
        <w:spacing w:line="360" w:lineRule="auto"/>
        <w:jc w:val="center"/>
        <w:rPr>
          <w:rFonts w:asciiTheme="minorHAnsi" w:eastAsia="Cambria" w:hAnsiTheme="minorHAnsi" w:cs="Cambria"/>
          <w:color w:val="000000"/>
          <w:sz w:val="22"/>
          <w:szCs w:val="22"/>
          <w:lang w:eastAsia="zh-CN"/>
        </w:rPr>
      </w:pPr>
      <m:oMath>
        <m:r>
          <w:rPr>
            <w:rFonts w:ascii="Cambria Math" w:eastAsia="Cambria" w:hAnsi="Cambria Math" w:cs="Cambria"/>
            <w:color w:val="000000"/>
            <w:sz w:val="22"/>
            <w:szCs w:val="22"/>
            <w:lang w:eastAsia="zh-CN"/>
          </w:rPr>
          <m:t>k=0.3281</m:t>
        </m:r>
        <m:rad>
          <m:radPr>
            <m:degHide m:val="1"/>
            <m:ctrlPr>
              <w:rPr>
                <w:rFonts w:ascii="Cambria Math" w:eastAsia="Cambria" w:hAnsi="Cambria Math" w:cs="Cambria"/>
                <w:bCs/>
                <w:i/>
                <w:color w:val="000000"/>
                <w:sz w:val="22"/>
                <w:szCs w:val="22"/>
                <w:lang w:eastAsia="zh-CN"/>
              </w:rPr>
            </m:ctrlPr>
          </m:radPr>
          <m:deg/>
          <m:e>
            <m:r>
              <w:rPr>
                <w:rFonts w:ascii="Cambria Math" w:eastAsia="Cambria" w:hAnsi="Cambria Math" w:cs="Cambria"/>
                <w:color w:val="000000"/>
                <w:sz w:val="22"/>
                <w:szCs w:val="22"/>
                <w:lang w:eastAsia="zh-CN"/>
              </w:rPr>
              <m:t xml:space="preserve">I </m:t>
            </m:r>
          </m:e>
        </m:rad>
      </m:oMath>
      <w:r w:rsidRPr="00C44D8C">
        <w:rPr>
          <w:rFonts w:asciiTheme="minorHAnsi" w:eastAsia="Cambria" w:hAnsiTheme="minorHAnsi" w:cs="Cambria"/>
          <w:bCs/>
          <w:color w:val="000000"/>
          <w:sz w:val="22"/>
          <w:szCs w:val="22"/>
          <w:vertAlign w:val="superscript"/>
          <w:lang w:eastAsia="zh-CN"/>
        </w:rPr>
        <w:t>-1</w:t>
      </w:r>
      <w:r w:rsidRPr="00C44D8C">
        <w:rPr>
          <w:rFonts w:asciiTheme="minorHAnsi" w:eastAsia="Calibri" w:hAnsiTheme="minorHAnsi" w:cs="Calibri"/>
          <w:color w:val="000000"/>
          <w:sz w:val="22"/>
          <w:szCs w:val="22"/>
          <w:lang w:eastAsia="zh-CN"/>
        </w:rPr>
        <w:tab/>
        <w:t>(Equation 7)</w:t>
      </w:r>
    </w:p>
    <w:p w14:paraId="7F218D1D"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452F98A2"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where </w:t>
      </w:r>
      <w:r w:rsidRPr="00C44D8C">
        <w:rPr>
          <w:rFonts w:asciiTheme="minorHAnsi" w:eastAsia="Calibri" w:hAnsiTheme="minorHAnsi" w:cs="Calibri"/>
          <w:i/>
          <w:color w:val="000000"/>
          <w:sz w:val="22"/>
          <w:szCs w:val="22"/>
          <w:lang w:eastAsia="zh-CN"/>
        </w:rPr>
        <w:t xml:space="preserve">I </w:t>
      </w:r>
      <w:r w:rsidRPr="00C44D8C">
        <w:rPr>
          <w:rFonts w:asciiTheme="minorHAnsi" w:eastAsia="Calibri" w:hAnsiTheme="minorHAnsi" w:cs="Calibri"/>
          <w:color w:val="000000"/>
          <w:sz w:val="22"/>
          <w:szCs w:val="22"/>
          <w:lang w:eastAsia="zh-CN"/>
        </w:rPr>
        <w:t>is the ionic concentration in terms of molarity.</w:t>
      </w:r>
    </w:p>
    <w:p w14:paraId="4DFF4582" w14:textId="296C0D55"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polar AB interactions originate from the electron-donating and electron-accepting interactions between polar moieties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"10.1016/0927-7757(93)80308-2", "ISSN" : "09277757", "author" : [ { "dropping-particle" : "", "family" : "Oss", "given" : "C.J.", "non-dropping-particle" : "van", "parse-names" : false, "suffix" : "" } ], "container-title" : "Colloids and Surfaces A: Physicochemical and Engineering Aspects", "id" : "ITEM-1", "issued" : { "date-parts" : [ [ "1993", "10" ] ] }, "page" : "1-49", "title" : "Acid\u2014base interfacial interactions in aqueous media", "type" : "article-journal", "volume" : "78" }, "uris" : [ "http://www.mendeley.com/documents/?uuid=e55f482c-7ee5-4f8b-a8f7-2743388a4569" ] } ], "mendeley" : { "formattedCitation" : "[71]", "plainTextFormattedCitation" : "[71]", "previouslyFormattedCitation" : "[71]"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[71]</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The AB interactions </w:t>
      </w:r>
      <w:r w:rsidR="00DF48F7">
        <w:rPr>
          <w:rFonts w:asciiTheme="minorHAnsi" w:eastAsia="Calibri" w:hAnsiTheme="minorHAnsi" w:cs="Calibri"/>
          <w:color w:val="000000"/>
          <w:sz w:val="22"/>
          <w:szCs w:val="22"/>
          <w:lang w:eastAsia="zh-CN"/>
        </w:rPr>
        <w:t>we</w:t>
      </w:r>
      <w:r w:rsidRPr="00C44D8C">
        <w:rPr>
          <w:rFonts w:asciiTheme="minorHAnsi" w:eastAsia="Calibri" w:hAnsiTheme="minorHAnsi" w:cs="Calibri"/>
          <w:color w:val="000000"/>
          <w:sz w:val="22"/>
          <w:szCs w:val="22"/>
          <w:lang w:eastAsia="zh-CN"/>
        </w:rPr>
        <w:t xml:space="preserve">re calculated as follows </w:t>
      </w:r>
      <w:r w:rsidR="00E87761">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w:t>
      </w:r>
    </w:p>
    <w:p w14:paraId="551A7114"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7270F8D5" w14:textId="77777777" w:rsidR="00436CD0" w:rsidRPr="00C44D8C" w:rsidRDefault="00A36734" w:rsidP="00436CD0">
      <w:pPr>
        <w:spacing w:line="360" w:lineRule="auto"/>
        <w:jc w:val="center"/>
        <w:rPr>
          <w:rFonts w:asciiTheme="minorHAnsi" w:eastAsia="Calibri" w:hAnsiTheme="minorHAnsi" w:cs="Calibri"/>
          <w:color w:val="000000"/>
          <w:sz w:val="22"/>
          <w:szCs w:val="22"/>
          <w:lang w:eastAsia="zh-CN"/>
        </w:rPr>
      </w:pPr>
      <m:oMath>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G</m:t>
            </m:r>
          </m:e>
          <m:sup>
            <m:r>
              <w:rPr>
                <w:rFonts w:ascii="Cambria Math" w:eastAsia="Cambria" w:hAnsi="Cambria Math" w:cs="Cambria"/>
                <w:color w:val="000000"/>
                <w:sz w:val="22"/>
                <w:szCs w:val="22"/>
                <w:lang w:eastAsia="zh-CN"/>
              </w:rPr>
              <m:t>AB</m:t>
            </m:r>
          </m:sup>
        </m:sSup>
        <m:r>
          <w:rPr>
            <w:rFonts w:ascii="Cambria Math" w:eastAsia="Cambria" w:hAnsi="Cambria Math" w:cs="Cambria"/>
            <w:color w:val="000000"/>
            <w:sz w:val="22"/>
            <w:szCs w:val="22"/>
            <w:lang w:eastAsia="zh-CN"/>
          </w:rPr>
          <m:t>(H)=2πaλ ∆</m:t>
        </m:r>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G</m:t>
            </m:r>
          </m:e>
          <m:sup>
            <m:r>
              <w:rPr>
                <w:rFonts w:ascii="Cambria Math" w:eastAsia="Cambria" w:hAnsi="Cambria Math" w:cs="Cambria"/>
                <w:color w:val="000000"/>
                <w:sz w:val="22"/>
                <w:szCs w:val="22"/>
                <w:lang w:eastAsia="zh-CN"/>
              </w:rPr>
              <m:t>AB</m:t>
            </m:r>
          </m:sup>
        </m:sSup>
        <m:sSup>
          <m:sSupPr>
            <m:ctrlPr>
              <w:rPr>
                <w:rFonts w:ascii="Cambria Math" w:eastAsia="Cambria" w:hAnsi="Cambria Math" w:cs="Cambria"/>
                <w:bCs/>
                <w:i/>
                <w:color w:val="000000"/>
                <w:sz w:val="22"/>
                <w:szCs w:val="22"/>
                <w:lang w:eastAsia="zh-CN"/>
              </w:rPr>
            </m:ctrlPr>
          </m:sSupPr>
          <m:e>
            <m:r>
              <w:rPr>
                <w:rFonts w:ascii="Cambria Math" w:eastAsia="Cambria" w:hAnsi="Cambria Math" w:cs="Cambria"/>
                <w:color w:val="000000"/>
                <w:sz w:val="22"/>
                <w:szCs w:val="22"/>
                <w:lang w:eastAsia="zh-CN"/>
              </w:rPr>
              <m:t>e</m:t>
            </m:r>
          </m:e>
          <m:sup>
            <m:d>
              <m:dPr>
                <m:begChr m:val="["/>
                <m:endChr m:val="]"/>
                <m:ctrlPr>
                  <w:rPr>
                    <w:rFonts w:ascii="Cambria Math" w:eastAsia="Cambria" w:hAnsi="Cambria Math" w:cs="Cambria"/>
                    <w:bCs/>
                    <w:i/>
                    <w:color w:val="000000"/>
                    <w:sz w:val="22"/>
                    <w:szCs w:val="22"/>
                    <w:lang w:eastAsia="zh-CN"/>
                  </w:rPr>
                </m:ctrlPr>
              </m:dPr>
              <m:e>
                <m:d>
                  <m:dPr>
                    <m:ctrlPr>
                      <w:rPr>
                        <w:rFonts w:ascii="Cambria Math" w:eastAsia="Cambria" w:hAnsi="Cambria Math" w:cs="Cambria"/>
                        <w:bCs/>
                        <w:i/>
                        <w:color w:val="000000"/>
                        <w:sz w:val="22"/>
                        <w:szCs w:val="22"/>
                        <w:lang w:eastAsia="zh-CN"/>
                      </w:rPr>
                    </m:ctrlPr>
                  </m:dPr>
                  <m:e>
                    <m:sSub>
                      <m:sSubPr>
                        <m:ctrlPr>
                          <w:rPr>
                            <w:rFonts w:ascii="Cambria Math" w:eastAsia="Cambria" w:hAnsi="Cambria Math" w:cs="Cambria"/>
                            <w:bCs/>
                            <w:i/>
                            <w:color w:val="000000"/>
                            <w:sz w:val="22"/>
                            <w:szCs w:val="22"/>
                            <w:lang w:eastAsia="zh-CN"/>
                          </w:rPr>
                        </m:ctrlPr>
                      </m:sSubPr>
                      <m:e>
                        <m:r>
                          <w:rPr>
                            <w:rFonts w:ascii="Cambria Math" w:eastAsia="Cambria" w:hAnsi="Cambria Math" w:cs="Cambria"/>
                            <w:color w:val="000000"/>
                            <w:sz w:val="22"/>
                            <w:szCs w:val="22"/>
                            <w:lang w:eastAsia="zh-CN"/>
                          </w:rPr>
                          <m:t>d</m:t>
                        </m:r>
                      </m:e>
                      <m:sub>
                        <m:r>
                          <w:rPr>
                            <w:rFonts w:ascii="Cambria Math" w:eastAsia="Cambria" w:hAnsi="Cambria Math" w:cs="Cambria"/>
                            <w:color w:val="000000"/>
                            <w:sz w:val="22"/>
                            <w:szCs w:val="22"/>
                            <w:lang w:eastAsia="zh-CN"/>
                          </w:rPr>
                          <m:t>0</m:t>
                        </m:r>
                      </m:sub>
                    </m:sSub>
                    <m:r>
                      <w:rPr>
                        <w:rFonts w:ascii="Cambria Math" w:eastAsia="Cambria" w:hAnsi="Cambria Math" w:cs="Cambria"/>
                        <w:color w:val="000000"/>
                        <w:sz w:val="22"/>
                        <w:szCs w:val="22"/>
                        <w:lang w:eastAsia="zh-CN"/>
                      </w:rPr>
                      <m:t>-H/λ</m:t>
                    </m:r>
                  </m:e>
                </m:d>
              </m:e>
            </m:d>
          </m:sup>
        </m:sSup>
      </m:oMath>
      <w:r w:rsidR="00436CD0" w:rsidRPr="00C44D8C">
        <w:rPr>
          <w:rFonts w:asciiTheme="minorHAnsi" w:eastAsia="Calibri" w:hAnsiTheme="minorHAnsi" w:cs="Calibri"/>
          <w:color w:val="000000"/>
          <w:sz w:val="22"/>
          <w:szCs w:val="22"/>
          <w:lang w:eastAsia="zh-CN"/>
        </w:rPr>
        <w:tab/>
        <w:t>(Equation 8)</w:t>
      </w:r>
    </w:p>
    <w:p w14:paraId="73070B25"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70438FBC" w14:textId="4C3AB598"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where d</w:t>
      </w:r>
      <w:r w:rsidRPr="00C44D8C">
        <w:rPr>
          <w:rFonts w:asciiTheme="minorHAnsi" w:eastAsia="Calibri" w:hAnsiTheme="minorHAnsi" w:cs="Calibri"/>
          <w:color w:val="000000"/>
          <w:sz w:val="22"/>
          <w:szCs w:val="22"/>
          <w:vertAlign w:val="subscript"/>
          <w:lang w:eastAsia="zh-CN"/>
        </w:rPr>
        <w:t>0</w:t>
      </w:r>
      <w:r w:rsidRPr="00C44D8C">
        <w:rPr>
          <w:rFonts w:asciiTheme="minorHAnsi" w:eastAsia="Calibri" w:hAnsiTheme="minorHAnsi" w:cs="Calibri"/>
          <w:color w:val="000000"/>
          <w:sz w:val="22"/>
          <w:szCs w:val="22"/>
          <w:lang w:eastAsia="zh-CN"/>
        </w:rPr>
        <w:t xml:space="preserve"> is the minimum separation dis</w:t>
      </w:r>
      <w:r w:rsidR="00DF48F7">
        <w:rPr>
          <w:rFonts w:asciiTheme="minorHAnsi" w:eastAsia="Calibri" w:hAnsiTheme="minorHAnsi" w:cs="Calibri"/>
          <w:color w:val="000000"/>
          <w:sz w:val="22"/>
          <w:szCs w:val="22"/>
          <w:lang w:eastAsia="zh-CN"/>
        </w:rPr>
        <w:t>tance between two surfaces and wa</w:t>
      </w:r>
      <w:r w:rsidRPr="00C44D8C">
        <w:rPr>
          <w:rFonts w:asciiTheme="minorHAnsi" w:eastAsia="Calibri" w:hAnsiTheme="minorHAnsi" w:cs="Calibri"/>
          <w:color w:val="000000"/>
          <w:sz w:val="22"/>
          <w:szCs w:val="22"/>
          <w:lang w:eastAsia="zh-CN"/>
        </w:rPr>
        <w:t xml:space="preserve">s taken to be 4.57 in this study, as described previously. λ is the correlation length of molecules in liquid, and </w:t>
      </w:r>
      <w:r w:rsidRPr="00C44D8C">
        <w:rPr>
          <w:rFonts w:asciiTheme="minorHAnsi" w:eastAsia="Calibri" w:hAnsiTheme="minorHAnsi" w:cs="Calibri"/>
          <w:i/>
          <w:color w:val="000000"/>
          <w:sz w:val="22"/>
          <w:szCs w:val="22"/>
          <w:lang w:eastAsia="zh-CN"/>
        </w:rPr>
        <w:t xml:space="preserve">H </w:t>
      </w:r>
      <w:r w:rsidRPr="00C44D8C">
        <w:rPr>
          <w:rFonts w:asciiTheme="minorHAnsi" w:eastAsia="Calibri" w:hAnsiTheme="minorHAnsi" w:cs="Calibri"/>
          <w:color w:val="000000"/>
          <w:sz w:val="22"/>
          <w:szCs w:val="22"/>
          <w:lang w:eastAsia="zh-CN"/>
        </w:rPr>
        <w:t>is the separation distance.</w:t>
      </w:r>
    </w:p>
    <w:p w14:paraId="6AEE24E4"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4D0A39EF" w14:textId="77777777" w:rsidR="00436CD0" w:rsidRPr="00C44D8C" w:rsidRDefault="00436CD0" w:rsidP="00BF3A51">
      <w:pPr>
        <w:pStyle w:val="Heading6"/>
        <w:rPr>
          <w:rFonts w:eastAsia="Cambria" w:cs="Cambria"/>
          <w:lang w:eastAsia="zh-CN"/>
        </w:rPr>
      </w:pPr>
      <w:bookmarkStart w:id="83" w:name="_Toc462575299"/>
      <w:r w:rsidRPr="00C44D8C">
        <w:rPr>
          <w:rFonts w:eastAsia="Calibri"/>
          <w:lang w:eastAsia="zh-CN"/>
        </w:rPr>
        <w:t>3.2.7. Initial adhesion</w:t>
      </w:r>
      <w:bookmarkEnd w:id="83"/>
    </w:p>
    <w:p w14:paraId="1C5D7073" w14:textId="45F2C185"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Static adhesion experiments based on microtiter plate</w:t>
      </w:r>
      <w:r w:rsidR="00DF48F7">
        <w:rPr>
          <w:rFonts w:asciiTheme="minorHAnsi" w:eastAsia="Calibri" w:hAnsiTheme="minorHAnsi" w:cs="Calibri"/>
          <w:color w:val="000000"/>
          <w:sz w:val="22"/>
          <w:szCs w:val="22"/>
          <w:lang w:eastAsia="zh-CN"/>
        </w:rPr>
        <w:t>s</w:t>
      </w:r>
      <w:r w:rsidRPr="00C44D8C">
        <w:rPr>
          <w:rFonts w:asciiTheme="minorHAnsi" w:eastAsia="Calibri" w:hAnsiTheme="minorHAnsi" w:cs="Calibri"/>
          <w:color w:val="000000"/>
          <w:sz w:val="22"/>
          <w:szCs w:val="22"/>
          <w:lang w:eastAsia="zh-CN"/>
        </w:rPr>
        <w:t xml:space="preserve"> allows the rapid analysis of multiple growth conditions or microbial species within an experiment </w:t>
      </w:r>
      <w:r w:rsidR="00E87761">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"10.1128/AEM.68.6.2950", "author" : [ { "dropping-particle" : "", "family" : "Djordjevic", "given" : "D", "non-dropping-particle" : "", "parse-names" : false, "suffix" : "" }, { "dropping-particle" : "", "family" : "Wiedmann", "given" : "M", "non-dropping-particle" : "", "parse-names" : false, "suffix" : "" }, { "dropping-particle" : "", "family" : "Mclandsborough", "given" : "L A", "non-dropping-particle" : "", "parse-names" : false, "suffix" : "" } ], "container-title" : "Applied and environmental microbiology", "id" : "ITEM-1", "issue" : "6", "issued" : { "date-parts" : [ [ "2002" ] ] }, "page" : "2950-2958", "title" : "Microtiter Plate Assay for Assessment of Listeria monocytogenes Biofilm Formation", "type" : "article-journal", "volume" : "68" }, "uris" : [ "http://www.mendeley.com/documents/?uuid=d2568107-7392-4c3f-a004-a377ce6010db" ] } ], "mendeley" : { "formattedCitation" : "[132]", "plainTextFormattedCitation" : "[132]", "previouslyFormattedCitation" : "[132]"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[132]</w:t>
      </w:r>
      <w:r w:rsidR="00E87761">
        <w:rPr>
          <w:rFonts w:asciiTheme="minorHAnsi" w:eastAsia="Calibri" w:hAnsiTheme="minorHAnsi" w:cs="Calibri"/>
          <w:color w:val="000000"/>
          <w:sz w:val="22"/>
          <w:szCs w:val="22"/>
          <w:lang w:eastAsia="zh-CN"/>
        </w:rPr>
        <w:fldChar w:fldCharType="end"/>
      </w:r>
      <w:r w:rsidRPr="00C44D8C">
        <w:rPr>
          <w:rFonts w:asciiTheme="minorHAnsi" w:eastAsia="Cambria" w:hAnsiTheme="minorHAnsi" w:cs="Cambria"/>
          <w:color w:val="000000"/>
          <w:sz w:val="22"/>
          <w:szCs w:val="22"/>
          <w:lang w:eastAsia="zh-CN"/>
        </w:rPr>
        <w:t xml:space="preserve">. </w:t>
      </w:r>
      <w:r w:rsidRPr="00C44D8C">
        <w:rPr>
          <w:rFonts w:asciiTheme="minorHAnsi" w:eastAsia="Calibri" w:hAnsiTheme="minorHAnsi" w:cs="Calibri"/>
          <w:color w:val="000000"/>
          <w:sz w:val="22"/>
          <w:szCs w:val="22"/>
          <w:lang w:eastAsia="zh-CN"/>
        </w:rPr>
        <w:t>Therefore, clean coupons (1 x 1 cm) of each of the support materials were secured into wells of a sterile 24 well plate (Corning Costar, USA) using 10 µl of silicone sealant (Aquarium Sealant, King British, UK), which has been used as a non-toxic adhesive in prev</w:t>
      </w:r>
      <w:r w:rsidR="00E87761">
        <w:rPr>
          <w:rFonts w:asciiTheme="minorHAnsi" w:eastAsia="Calibri" w:hAnsiTheme="minorHAnsi" w:cs="Calibri"/>
          <w:color w:val="000000"/>
          <w:sz w:val="22"/>
          <w:szCs w:val="22"/>
          <w:lang w:eastAsia="zh-CN"/>
        </w:rPr>
        <w:t xml:space="preserve">ious static biofilm studies </w:t>
      </w:r>
      <w:r w:rsidR="00E87761">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"10.1002/9780471729259.mc01b01s00", "abstract" : "Many bacteria can exist as surface-attached aggregations known as biofilms. Presented in this unit are several approaches for the study of these communities. The focus here is on static biofilm systems, which are particularly useful for examination of the early stages of biofilm formation, including initial adherence to the surface and microcolony formation. Furthermore, most of the techniques presented are easily adapted to the study of biofilms under a variety of conditions and are suitable for either small-or relatively large-scale studies. Unlike assays involving continuous-flow systems, the static biofilm assays described here require very little specialized equipment and are relatively simple to execute. In addition, these static biofilm systems allow analysis of biofilm formation with a variety of readouts, including microscopy of live cells, macroscopic visualization of stained bacteria, and viability counts. Used individually or in combination, these assays provide useful means for the study of biofilms.", "author" : [ { "dropping-particle" : "", "family" : "Merritt", "given" : "Judith H", "non-dropping-particle" : "", "parse-names" : false, "suffix" : "" }, { "dropping-particle" : "", "family" : "Kadouri", "given" : "Daniel E", "non-dropping-particle" : "", "parse-names" : false, "suffix" : "" }, { "dropping-particle" : "", "family" : "O'Toole", "given" : "George A", "non-dropping-particle" : "", "parse-names" : false, "suffix" : "" } ], "container-title" : "Current Protocols in Microbiology", "id" : "ITEM-1", "issued" : { "date-parts" : [ [ "2005" ] ] }, "title" : "Growing and Analyzing Static Biofilms", "type" : "article-journal", "volume" : "00:B:1B.1:" }, "uris" : [ "http://www.mendeley.com/documents/?uuid=c2507912-fd42-39ac-90a6-39c313162a29" ] } ], "mendeley" : { "formattedCitation" : "[129]", "plainTextFormattedCitation" : "[129]", "previouslyFormattedCitation" : "[129]" }, "properties" : { "noteIndex" : 0 }, "schema" : "https://github.com/citation-style-language/schema/raw/master/csl-citation.json" }</w:instrText>
      </w:r>
      <w:r w:rsidR="00E87761">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[129]</w:t>
      </w:r>
      <w:r w:rsidR="00E87761">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Experimental plates were prepared in a laminar flow cabinet and UV-sterilised for 3 </w:t>
      </w:r>
      <w:r w:rsidRPr="00C44D8C">
        <w:rPr>
          <w:rFonts w:asciiTheme="minorHAnsi" w:eastAsia="Calibri" w:hAnsiTheme="minorHAnsi" w:cs="Calibri"/>
          <w:color w:val="000000"/>
          <w:sz w:val="22"/>
          <w:szCs w:val="22"/>
          <w:lang w:eastAsia="zh-CN"/>
        </w:rPr>
        <w:lastRenderedPageBreak/>
        <w:t>h before being placed in an anaerobic chamber for at least 48 h prior to the initial adhesion experiment to remove all residual traces of oxygen from plates and coupons.</w:t>
      </w:r>
    </w:p>
    <w:p w14:paraId="47AFB176" w14:textId="5488357F"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Cells of mid-exponential phase</w:t>
      </w:r>
      <w:r w:rsidR="00F741BF">
        <w:rPr>
          <w:rFonts w:asciiTheme="minorHAnsi" w:eastAsia="Calibri" w:hAnsiTheme="minorHAnsi" w:cs="Calibri"/>
          <w:color w:val="000000"/>
          <w:sz w:val="22"/>
          <w:szCs w:val="22"/>
          <w:lang w:eastAsia="zh-CN"/>
        </w:rPr>
        <w:t xml:space="preserve"> (96 h growth)</w:t>
      </w:r>
      <w:r w:rsidRPr="00C44D8C">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cultures were harvested by centrifugation (Heraeus Megafuge 16, Thermo Scientific, U.S.A.) at 6000 x g for 5 minutes in sterile microcentrifuge tubes inside an anaerobic chamber. Cell pellets were rinsed twice and resuspended in 100 mM KCl solution at pH 7.</w:t>
      </w:r>
    </w:p>
    <w:p w14:paraId="04B349C0" w14:textId="77777777" w:rsidR="00DF48F7" w:rsidRDefault="00436CD0" w:rsidP="00DF48F7">
      <w:pPr>
        <w:spacing w:line="360" w:lineRule="auto"/>
        <w:ind w:firstLine="720"/>
        <w:rPr>
          <w:rFonts w:eastAsia="Calibri"/>
          <w:lang w:eastAsia="zh-CN"/>
        </w:rPr>
      </w:pPr>
      <w:r w:rsidRPr="00C44D8C">
        <w:rPr>
          <w:rFonts w:asciiTheme="minorHAnsi" w:eastAsia="Calibri" w:hAnsiTheme="minorHAnsi" w:cs="Calibri"/>
          <w:color w:val="000000"/>
          <w:sz w:val="22"/>
          <w:szCs w:val="22"/>
          <w:lang w:eastAsia="zh-CN"/>
        </w:rPr>
        <w:t xml:space="preserve">Wells of prepared 24 well plates were filled with 2 ml of cell suspension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with an adjusted OD</w:t>
      </w:r>
      <w:r w:rsidRPr="00C44D8C">
        <w:rPr>
          <w:rFonts w:asciiTheme="minorHAnsi" w:eastAsia="Calibri" w:hAnsiTheme="minorHAnsi" w:cs="Calibri"/>
          <w:color w:val="000000"/>
          <w:sz w:val="22"/>
          <w:szCs w:val="22"/>
          <w:vertAlign w:val="subscript"/>
          <w:lang w:eastAsia="zh-CN"/>
        </w:rPr>
        <w:t xml:space="preserve">600 </w:t>
      </w:r>
      <w:r w:rsidRPr="00C44D8C">
        <w:rPr>
          <w:rFonts w:asciiTheme="minorHAnsi" w:eastAsia="Calibri" w:hAnsiTheme="minorHAnsi" w:cs="Calibri"/>
          <w:color w:val="000000"/>
          <w:sz w:val="22"/>
          <w:szCs w:val="22"/>
          <w:lang w:eastAsia="zh-CN"/>
        </w:rPr>
        <w:t>of 0.3. Control wells contained clean plastic coupons in sterile 100 mM KCl, pH 7</w:t>
      </w:r>
      <w:r w:rsidR="00DF48F7">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solution only. Plates were incubated at room temperature (22˚C) and gently shaken at 110 rpm in an incubating mini shaker inside the anaerobic chamber (VWR International, USA) for 2 h. This short duration was chosen to examine initial microbial adhesion and to prevent established biofilm formation from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After 2 h, coupons were rinsed twice with anaerobically prepared 100 mM, pH 7 KCl.</w:t>
      </w:r>
      <w:bookmarkStart w:id="84" w:name="_Toc462575300"/>
      <w:r w:rsidR="00DF48F7">
        <w:rPr>
          <w:rFonts w:eastAsia="Calibri"/>
          <w:lang w:eastAsia="zh-CN"/>
        </w:rPr>
        <w:t xml:space="preserve"> </w:t>
      </w:r>
    </w:p>
    <w:p w14:paraId="26108562" w14:textId="77777777" w:rsidR="00DF48F7" w:rsidRDefault="00DF48F7" w:rsidP="00DF48F7">
      <w:pPr>
        <w:spacing w:line="360" w:lineRule="auto"/>
        <w:rPr>
          <w:rFonts w:eastAsia="Calibri"/>
          <w:lang w:eastAsia="zh-CN"/>
        </w:rPr>
      </w:pPr>
    </w:p>
    <w:p w14:paraId="61094124" w14:textId="6D21002C" w:rsidR="00436CD0" w:rsidRPr="00C44D8C" w:rsidRDefault="00407878" w:rsidP="00DF48F7">
      <w:pPr>
        <w:pStyle w:val="Heading6"/>
        <w:rPr>
          <w:rFonts w:eastAsia="Cambria" w:cs="Cambria"/>
          <w:lang w:eastAsia="zh-CN"/>
        </w:rPr>
      </w:pPr>
      <w:r>
        <w:rPr>
          <w:rFonts w:eastAsia="Calibri"/>
          <w:lang w:eastAsia="zh-CN"/>
        </w:rPr>
        <w:t>3</w:t>
      </w:r>
      <w:r w:rsidR="00436CD0" w:rsidRPr="00C44D8C">
        <w:rPr>
          <w:rFonts w:eastAsia="Calibri"/>
          <w:lang w:eastAsia="zh-CN"/>
        </w:rPr>
        <w:t>.2.8. Biofilm formation</w:t>
      </w:r>
      <w:bookmarkEnd w:id="84"/>
    </w:p>
    <w:p w14:paraId="3B14E86E" w14:textId="48AC6B45"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Cells of mid-exponential phase</w:t>
      </w:r>
      <w:r w:rsidR="00651235">
        <w:rPr>
          <w:rFonts w:asciiTheme="minorHAnsi" w:eastAsia="Calibri" w:hAnsiTheme="minorHAnsi" w:cs="Calibri"/>
          <w:color w:val="000000"/>
          <w:sz w:val="22"/>
          <w:szCs w:val="22"/>
          <w:lang w:eastAsia="zh-CN"/>
        </w:rPr>
        <w:t xml:space="preserve"> (96 h growth)</w:t>
      </w:r>
      <w:r w:rsidRPr="00C44D8C">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cultures were washed and harvested as desc</w:t>
      </w:r>
      <w:r w:rsidR="003463EC">
        <w:rPr>
          <w:rFonts w:asciiTheme="minorHAnsi" w:eastAsia="Calibri" w:hAnsiTheme="minorHAnsi" w:cs="Calibri"/>
          <w:color w:val="000000"/>
          <w:sz w:val="22"/>
          <w:szCs w:val="22"/>
          <w:lang w:eastAsia="zh-CN"/>
        </w:rPr>
        <w:t>ribed earlier (section 3.2.7</w:t>
      </w:r>
      <w:r w:rsidRPr="00C44D8C">
        <w:rPr>
          <w:rFonts w:asciiTheme="minorHAnsi" w:eastAsia="Calibri" w:hAnsiTheme="minorHAnsi" w:cs="Calibri"/>
          <w:color w:val="000000"/>
          <w:sz w:val="22"/>
          <w:szCs w:val="22"/>
          <w:lang w:eastAsia="zh-CN"/>
        </w:rPr>
        <w:t>) and finally resuspended in DSM 120 anaerobic medium at pH 7. The biofilm assay was prepared using the same experimental conditions and in the same 24 well plates as used for the initial adhesion assay, except that adhesion occurred over a duration of 72 h and 96 h at 37°C.</w:t>
      </w:r>
      <w:r w:rsidRPr="00C44D8C">
        <w:rPr>
          <w:rFonts w:asciiTheme="minorHAnsi" w:eastAsia="Cambria" w:hAnsiTheme="minorHAnsi" w:cs="Cambria"/>
          <w:color w:val="000000"/>
          <w:sz w:val="22"/>
          <w:szCs w:val="22"/>
          <w:lang w:eastAsia="zh-CN"/>
        </w:rPr>
        <w:t xml:space="preserve"> </w:t>
      </w:r>
      <w:r w:rsidR="008D0482">
        <w:rPr>
          <w:rFonts w:asciiTheme="minorHAnsi" w:eastAsia="Cambria" w:hAnsiTheme="minorHAnsi" w:cs="Cambria"/>
          <w:color w:val="000000"/>
          <w:sz w:val="22"/>
          <w:szCs w:val="22"/>
          <w:lang w:eastAsia="zh-CN"/>
        </w:rPr>
        <w:t xml:space="preserve">A higher temperature of </w:t>
      </w:r>
      <w:r w:rsidR="008D0482" w:rsidRPr="00C44D8C">
        <w:rPr>
          <w:rFonts w:asciiTheme="minorHAnsi" w:eastAsia="Calibri" w:hAnsiTheme="minorHAnsi" w:cs="Calibri"/>
          <w:color w:val="000000"/>
          <w:sz w:val="22"/>
          <w:szCs w:val="22"/>
          <w:lang w:eastAsia="zh-CN"/>
        </w:rPr>
        <w:t>37°C</w:t>
      </w:r>
      <w:r w:rsidR="008D0482" w:rsidRPr="00C44D8C">
        <w:rPr>
          <w:rFonts w:asciiTheme="minorHAnsi" w:eastAsia="Cambria" w:hAnsiTheme="minorHAnsi" w:cs="Cambria"/>
          <w:color w:val="000000"/>
          <w:sz w:val="22"/>
          <w:szCs w:val="22"/>
          <w:lang w:eastAsia="zh-CN"/>
        </w:rPr>
        <w:t xml:space="preserve"> </w:t>
      </w:r>
      <w:r w:rsidR="008D0482">
        <w:rPr>
          <w:rFonts w:asciiTheme="minorHAnsi" w:eastAsia="Cambria" w:hAnsiTheme="minorHAnsi" w:cs="Cambria"/>
          <w:color w:val="000000"/>
          <w:sz w:val="22"/>
          <w:szCs w:val="22"/>
          <w:lang w:eastAsia="zh-CN"/>
        </w:rPr>
        <w:t xml:space="preserve">was used to enable cells to grow optimally in order to examine their biofilm-forming capabilities. </w:t>
      </w:r>
      <w:r w:rsidRPr="00C44D8C">
        <w:rPr>
          <w:rFonts w:asciiTheme="minorHAnsi" w:eastAsia="Cambria" w:hAnsiTheme="minorHAnsi" w:cs="Cambria"/>
          <w:color w:val="000000"/>
          <w:sz w:val="22"/>
          <w:szCs w:val="22"/>
          <w:lang w:eastAsia="zh-CN"/>
        </w:rPr>
        <w:t xml:space="preserve">After these time points, </w:t>
      </w:r>
      <w:r w:rsidRPr="00C44D8C">
        <w:rPr>
          <w:rFonts w:asciiTheme="minorHAnsi" w:eastAsia="Calibri" w:hAnsiTheme="minorHAnsi" w:cs="Calibri"/>
          <w:color w:val="000000"/>
          <w:sz w:val="22"/>
          <w:szCs w:val="22"/>
          <w:lang w:eastAsia="zh-CN"/>
        </w:rPr>
        <w:t>coupons were rinsed twice with anaerobically prepared 100 mM KCl adjusted to pH 7.</w:t>
      </w:r>
    </w:p>
    <w:p w14:paraId="2C25A272"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3AD5CB20" w14:textId="77777777" w:rsidR="00436CD0" w:rsidRPr="00C44D8C" w:rsidRDefault="00436CD0" w:rsidP="00BF3A51">
      <w:pPr>
        <w:pStyle w:val="Heading6"/>
        <w:rPr>
          <w:rFonts w:eastAsia="Cambria" w:cs="Cambria"/>
          <w:lang w:eastAsia="zh-CN"/>
        </w:rPr>
      </w:pPr>
      <w:bookmarkStart w:id="85" w:name="_Toc462575301"/>
      <w:r w:rsidRPr="00C44D8C">
        <w:rPr>
          <w:rFonts w:eastAsia="Calibri"/>
          <w:lang w:eastAsia="zh-CN"/>
        </w:rPr>
        <w:t>3.2.9. Cell biomass quantification methods</w:t>
      </w:r>
      <w:bookmarkEnd w:id="85"/>
    </w:p>
    <w:p w14:paraId="36DE710E" w14:textId="55FDA801"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Three different methods for detecting and quantifying the abundance of adherent cells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to the support materials were tested to ascertain an optimal biofilm quantification method: ATP bioluminescence, crystal violet and fluorescent staining </w:t>
      </w:r>
      <w:r w:rsidR="00DF48F7">
        <w:rPr>
          <w:rFonts w:asciiTheme="minorHAnsi" w:eastAsia="Calibri" w:hAnsiTheme="minorHAnsi" w:cs="Calibri"/>
          <w:color w:val="000000"/>
          <w:sz w:val="22"/>
          <w:szCs w:val="22"/>
          <w:lang w:eastAsia="zh-CN"/>
        </w:rPr>
        <w:t xml:space="preserve">coupled </w:t>
      </w:r>
      <w:r w:rsidRPr="00C44D8C">
        <w:rPr>
          <w:rFonts w:asciiTheme="minorHAnsi" w:eastAsia="Calibri" w:hAnsiTheme="minorHAnsi" w:cs="Calibri"/>
          <w:color w:val="000000"/>
          <w:sz w:val="22"/>
          <w:szCs w:val="22"/>
          <w:lang w:eastAsia="zh-CN"/>
        </w:rPr>
        <w:t xml:space="preserve">with epifluorescence microscopy. The method that was finally used in this study was fluorescent staining coupled with epifluorescence microscopy method. A </w:t>
      </w:r>
      <w:r w:rsidRPr="00C44D8C">
        <w:rPr>
          <w:rFonts w:asciiTheme="minorHAnsi" w:eastAsia="Cambria" w:hAnsiTheme="minorHAnsi" w:cs="Cambria"/>
          <w:color w:val="000000"/>
          <w:sz w:val="22"/>
          <w:szCs w:val="22"/>
          <w:lang w:eastAsia="zh-CN"/>
        </w:rPr>
        <w:t>finalised general workflow of the initial adhesion and biofilm formation experiments used in this study are shown in Fig. 3.3. Details of each of the 3 tested methods are described in more detail below.</w:t>
      </w:r>
    </w:p>
    <w:p w14:paraId="0EA3E52E"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409BC6F0"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mbria" w:hAnsiTheme="minorHAnsi" w:cs="Cambria"/>
          <w:noProof/>
          <w:color w:val="000000"/>
          <w:sz w:val="22"/>
          <w:szCs w:val="22"/>
          <w:lang w:eastAsia="en-GB"/>
        </w:rPr>
        <w:drawing>
          <wp:inline distT="0" distB="0" distL="0" distR="0" wp14:anchorId="6F0D7B39" wp14:editId="733D2454">
            <wp:extent cx="5383702" cy="2096347"/>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iginal initial adhesion workflow 2.jpg"/>
                    <pic:cNvPicPr/>
                  </pic:nvPicPr>
                  <pic:blipFill>
                    <a:blip r:embed="rId26">
                      <a:extLst>
                        <a:ext uri="{28A0092B-C50C-407E-A947-70E740481C1C}">
                          <a14:useLocalDpi xmlns:a14="http://schemas.microsoft.com/office/drawing/2010/main" val="0"/>
                        </a:ext>
                      </a:extLst>
                    </a:blip>
                    <a:stretch>
                      <a:fillRect/>
                    </a:stretch>
                  </pic:blipFill>
                  <pic:spPr>
                    <a:xfrm>
                      <a:off x="0" y="0"/>
                      <a:ext cx="5395876" cy="2101087"/>
                    </a:xfrm>
                    <a:prstGeom prst="rect">
                      <a:avLst/>
                    </a:prstGeom>
                  </pic:spPr>
                </pic:pic>
              </a:graphicData>
            </a:graphic>
          </wp:inline>
        </w:drawing>
      </w:r>
    </w:p>
    <w:p w14:paraId="332BCBFD" w14:textId="77777777" w:rsidR="00436CD0"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mbria" w:hAnsiTheme="minorHAnsi" w:cs="Cambria"/>
          <w:b/>
          <w:color w:val="000000"/>
          <w:sz w:val="22"/>
          <w:szCs w:val="22"/>
          <w:lang w:eastAsia="zh-CN"/>
        </w:rPr>
        <w:t xml:space="preserve">Fig. 3.3 </w:t>
      </w:r>
      <w:r w:rsidRPr="00C44D8C">
        <w:rPr>
          <w:rFonts w:asciiTheme="minorHAnsi" w:eastAsia="Cambria" w:hAnsiTheme="minorHAnsi" w:cs="Cambria"/>
          <w:color w:val="000000"/>
          <w:sz w:val="22"/>
          <w:szCs w:val="22"/>
          <w:lang w:eastAsia="zh-CN"/>
        </w:rPr>
        <w:t>General workflow of the initial adhesion and biofilm formation experiments used in this study.</w:t>
      </w:r>
    </w:p>
    <w:p w14:paraId="34C5DF82" w14:textId="77777777" w:rsidR="00BF3A51" w:rsidRPr="00C44D8C" w:rsidRDefault="00BF3A51" w:rsidP="00436CD0">
      <w:pPr>
        <w:spacing w:line="360" w:lineRule="auto"/>
        <w:rPr>
          <w:rFonts w:asciiTheme="minorHAnsi" w:eastAsia="Cambria" w:hAnsiTheme="minorHAnsi" w:cs="Cambria"/>
          <w:color w:val="000000"/>
          <w:sz w:val="22"/>
          <w:szCs w:val="22"/>
          <w:lang w:eastAsia="zh-CN"/>
        </w:rPr>
      </w:pPr>
    </w:p>
    <w:p w14:paraId="323D8AD8" w14:textId="77777777" w:rsidR="00436CD0" w:rsidRPr="00C44D8C" w:rsidRDefault="00436CD0" w:rsidP="00BF3A51">
      <w:pPr>
        <w:pStyle w:val="Heading7"/>
        <w:rPr>
          <w:rFonts w:eastAsia="Cambria" w:cs="Cambria"/>
          <w:lang w:eastAsia="zh-CN"/>
        </w:rPr>
      </w:pPr>
      <w:bookmarkStart w:id="86" w:name="_Toc462575302"/>
      <w:r w:rsidRPr="00C44D8C">
        <w:rPr>
          <w:lang w:eastAsia="zh-CN"/>
        </w:rPr>
        <w:t>3.2.9.1. ATP bioluminescence analysis</w:t>
      </w:r>
      <w:bookmarkEnd w:id="86"/>
    </w:p>
    <w:p w14:paraId="7E044374" w14:textId="69664D20" w:rsidR="00114AA3" w:rsidRPr="00C44D8C" w:rsidRDefault="00436CD0" w:rsidP="00FE1A56">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A commercial ATP assay kit, BacTiter-Glo Microbial Cell Viability Assay (Promega, WI, USA) was used to lyse cells and react the released intracellular ATP from cells with an enzymatic luciferin-luciferase solution. A standard curve of the luminescence of known ATP concentrations, as well as of known OD</w:t>
      </w:r>
      <w:r w:rsidRPr="00C44D8C">
        <w:rPr>
          <w:rFonts w:asciiTheme="minorHAnsi" w:eastAsia="Calibri" w:hAnsiTheme="minorHAnsi" w:cs="Calibri"/>
          <w:color w:val="000000"/>
          <w:sz w:val="22"/>
          <w:szCs w:val="22"/>
          <w:vertAlign w:val="subscript"/>
          <w:lang w:eastAsia="zh-CN"/>
        </w:rPr>
        <w:t xml:space="preserve">600 </w:t>
      </w:r>
      <w:r w:rsidR="00DF0408">
        <w:rPr>
          <w:rFonts w:asciiTheme="minorHAnsi" w:eastAsia="Calibri" w:hAnsiTheme="minorHAnsi" w:cs="Calibri"/>
          <w:color w:val="000000"/>
          <w:sz w:val="22"/>
          <w:szCs w:val="22"/>
          <w:lang w:eastAsia="zh-CN"/>
        </w:rPr>
        <w:t>values</w:t>
      </w:r>
      <w:r w:rsidRPr="00C44D8C">
        <w:rPr>
          <w:rFonts w:asciiTheme="minorHAnsi" w:eastAsia="Calibri" w:hAnsiTheme="minorHAnsi" w:cs="Calibri"/>
          <w:color w:val="000000"/>
          <w:sz w:val="22"/>
          <w:szCs w:val="22"/>
          <w:lang w:eastAsia="zh-CN"/>
        </w:rPr>
        <w:t xml:space="preserve">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cells was performed before each experiment, as described as follows: known concentrations of ATP (Promega, USA) were prepared in culture medium ranging from 10</w:t>
      </w:r>
      <w:r w:rsidRPr="00C44D8C">
        <w:rPr>
          <w:rFonts w:asciiTheme="minorHAnsi" w:eastAsia="Calibri" w:hAnsiTheme="minorHAnsi" w:cs="Calibri"/>
          <w:color w:val="000000"/>
          <w:sz w:val="22"/>
          <w:szCs w:val="22"/>
          <w:vertAlign w:val="superscript"/>
          <w:lang w:eastAsia="zh-CN"/>
        </w:rPr>
        <w:t>6</w:t>
      </w:r>
      <w:r w:rsidRPr="00C44D8C">
        <w:rPr>
          <w:rFonts w:asciiTheme="minorHAnsi" w:eastAsia="Calibri" w:hAnsiTheme="minorHAnsi" w:cs="Calibri"/>
          <w:color w:val="000000"/>
          <w:sz w:val="22"/>
          <w:szCs w:val="22"/>
          <w:lang w:eastAsia="zh-CN"/>
        </w:rPr>
        <w:t xml:space="preserve"> pM to 10 pM ATP by preparing 10-fold serial dilutions in culture medium. </w:t>
      </w:r>
    </w:p>
    <w:p w14:paraId="049CA1D2" w14:textId="6ED87FEC" w:rsidR="00436CD0" w:rsidRPr="00C44D8C" w:rsidRDefault="00436CD0" w:rsidP="00114AA3">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Each ATP concentration was pipetted in triplicate into a white 96 well plate (Promega, USA) designed for luminescence measurements within a laminar flow hood. An equal volume of the BacTiter-Glo reagent solution containing the luciferin-luciferase system was added to each ATP concentration, and incubated at room temperature in light for 5 minutes. ATP bioluminescence was measured on a GENios Multi-Detection Multiplate Reader (Tecan, UK) and given as relative light units (RLU). A standard curve correlating the concentration of ATP to RLU could then be generated. A similar standard curve was generated for known OD</w:t>
      </w:r>
      <w:r w:rsidRPr="00C44D8C">
        <w:rPr>
          <w:rFonts w:asciiTheme="minorHAnsi" w:eastAsia="Calibri" w:hAnsiTheme="minorHAnsi" w:cs="Calibri"/>
          <w:color w:val="000000"/>
          <w:sz w:val="22"/>
          <w:szCs w:val="22"/>
          <w:vertAlign w:val="subscript"/>
          <w:lang w:eastAsia="zh-CN"/>
        </w:rPr>
        <w:t xml:space="preserve">600 </w:t>
      </w:r>
      <w:r w:rsidR="00DF48F7">
        <w:rPr>
          <w:rFonts w:asciiTheme="minorHAnsi" w:eastAsia="Calibri" w:hAnsiTheme="minorHAnsi" w:cs="Calibri"/>
          <w:color w:val="000000"/>
          <w:sz w:val="22"/>
          <w:szCs w:val="22"/>
          <w:lang w:eastAsia="zh-CN"/>
        </w:rPr>
        <w:t xml:space="preserve">values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cells (0.05, 0.1, 0.2, 0.3, 0.4, 0.5, 0.6, 0.7 and 0.8) with RLU.</w:t>
      </w:r>
    </w:p>
    <w:p w14:paraId="07F89F54" w14:textId="02B07E3E"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After rinsing within an anaerobic chamber, coupons from both the initial adhesion and biofilm formation assays were left to air dry for 15 minutes. Control samples consisted of DSM 120 anaerobic medium with no cells. 300 µl of phosphate-buffered saline (PBS), consisting of 8 g NaCl, 200 mg KCl, 1.44 g Na</w:t>
      </w:r>
      <w:r w:rsidRPr="00C44D8C">
        <w:rPr>
          <w:rFonts w:asciiTheme="minorHAnsi" w:eastAsia="Calibri" w:hAnsiTheme="minorHAnsi" w:cs="Calibri"/>
          <w:color w:val="000000"/>
          <w:sz w:val="22"/>
          <w:szCs w:val="22"/>
          <w:vertAlign w:val="subscript"/>
          <w:lang w:eastAsia="zh-CN"/>
        </w:rPr>
        <w:t>2</w:t>
      </w:r>
      <w:r w:rsidRPr="00C44D8C">
        <w:rPr>
          <w:rFonts w:asciiTheme="minorHAnsi" w:eastAsia="Calibri" w:hAnsiTheme="minorHAnsi" w:cs="Calibri"/>
          <w:color w:val="000000"/>
          <w:sz w:val="22"/>
          <w:szCs w:val="22"/>
          <w:lang w:eastAsia="zh-CN"/>
        </w:rPr>
        <w:t>HPO</w:t>
      </w:r>
      <w:r w:rsidRPr="00C44D8C">
        <w:rPr>
          <w:rFonts w:asciiTheme="minorHAnsi" w:eastAsia="Calibri" w:hAnsiTheme="minorHAnsi" w:cs="Calibri"/>
          <w:color w:val="000000"/>
          <w:sz w:val="22"/>
          <w:szCs w:val="22"/>
          <w:vertAlign w:val="subscript"/>
          <w:lang w:eastAsia="zh-CN"/>
        </w:rPr>
        <w:t>4</w:t>
      </w:r>
      <w:r w:rsidRPr="00C44D8C">
        <w:rPr>
          <w:rFonts w:asciiTheme="minorHAnsi" w:eastAsia="Calibri" w:hAnsiTheme="minorHAnsi" w:cs="Calibri"/>
          <w:color w:val="000000"/>
          <w:sz w:val="22"/>
          <w:szCs w:val="22"/>
          <w:lang w:eastAsia="zh-CN"/>
        </w:rPr>
        <w:t xml:space="preserve"> and 240 mg KH</w:t>
      </w:r>
      <w:r w:rsidRPr="00C44D8C">
        <w:rPr>
          <w:rFonts w:asciiTheme="minorHAnsi" w:eastAsia="Calibri" w:hAnsiTheme="minorHAnsi" w:cs="Calibri"/>
          <w:color w:val="000000"/>
          <w:sz w:val="22"/>
          <w:szCs w:val="22"/>
          <w:vertAlign w:val="subscript"/>
          <w:lang w:eastAsia="zh-CN"/>
        </w:rPr>
        <w:t>2</w:t>
      </w:r>
      <w:r w:rsidRPr="00C44D8C">
        <w:rPr>
          <w:rFonts w:asciiTheme="minorHAnsi" w:eastAsia="Calibri" w:hAnsiTheme="minorHAnsi" w:cs="Calibri"/>
          <w:color w:val="000000"/>
          <w:sz w:val="22"/>
          <w:szCs w:val="22"/>
          <w:lang w:eastAsia="zh-CN"/>
        </w:rPr>
        <w:t>PO</w:t>
      </w:r>
      <w:r w:rsidRPr="00C44D8C">
        <w:rPr>
          <w:rFonts w:asciiTheme="minorHAnsi" w:eastAsia="Calibri" w:hAnsiTheme="minorHAnsi" w:cs="Calibri"/>
          <w:color w:val="000000"/>
          <w:sz w:val="22"/>
          <w:szCs w:val="22"/>
          <w:vertAlign w:val="subscript"/>
          <w:lang w:eastAsia="zh-CN"/>
        </w:rPr>
        <w:t>4</w:t>
      </w:r>
      <w:r w:rsidRPr="00C44D8C">
        <w:rPr>
          <w:rFonts w:asciiTheme="minorHAnsi" w:eastAsia="Calibri" w:hAnsiTheme="minorHAnsi" w:cs="Calibri"/>
          <w:color w:val="000000"/>
          <w:sz w:val="22"/>
          <w:szCs w:val="22"/>
          <w:lang w:eastAsia="zh-CN"/>
        </w:rPr>
        <w:t xml:space="preserve">, and 300 µl of the BacTiter-Glo reagent solution were added to all samples to lyse cells, and thoroughly mixed </w:t>
      </w:r>
      <w:r w:rsidRPr="00C44D8C">
        <w:rPr>
          <w:rFonts w:asciiTheme="minorHAnsi" w:eastAsia="Calibri" w:hAnsiTheme="minorHAnsi" w:cs="Calibri"/>
          <w:color w:val="000000"/>
          <w:sz w:val="22"/>
          <w:szCs w:val="22"/>
          <w:lang w:eastAsia="zh-CN"/>
        </w:rPr>
        <w:lastRenderedPageBreak/>
        <w:t>by aspiration. The solution was left to incubate at room temperature for 5 minutes within the anaerobic chamber. 200 µl of this reactive solution was pipetted into wells of a white 96 well plate and the ATP bioluminescence was measured on a GENios Multi-Detection Multiplate Reader. RLU was correlated to ATP concentration and OD</w:t>
      </w:r>
      <w:r w:rsidRPr="00C44D8C">
        <w:rPr>
          <w:rFonts w:asciiTheme="minorHAnsi" w:eastAsia="Calibri" w:hAnsiTheme="minorHAnsi" w:cs="Calibri"/>
          <w:color w:val="000000"/>
          <w:sz w:val="22"/>
          <w:szCs w:val="22"/>
          <w:vertAlign w:val="subscript"/>
          <w:lang w:eastAsia="zh-CN"/>
        </w:rPr>
        <w:t xml:space="preserve">600 </w:t>
      </w:r>
      <w:r w:rsidRPr="00C44D8C">
        <w:rPr>
          <w:rFonts w:asciiTheme="minorHAnsi" w:eastAsia="Calibri" w:hAnsiTheme="minorHAnsi" w:cs="Calibri"/>
          <w:color w:val="000000"/>
          <w:sz w:val="22"/>
          <w:szCs w:val="22"/>
          <w:lang w:eastAsia="zh-CN"/>
        </w:rPr>
        <w:t>using the standard curves.</w:t>
      </w:r>
    </w:p>
    <w:p w14:paraId="6805092B"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243DA48B" w14:textId="77777777" w:rsidR="00436CD0" w:rsidRPr="00C44D8C" w:rsidRDefault="00436CD0" w:rsidP="000B6618">
      <w:pPr>
        <w:pStyle w:val="Heading7"/>
        <w:rPr>
          <w:rFonts w:eastAsia="Cambria" w:cs="Cambria"/>
          <w:lang w:eastAsia="zh-CN"/>
        </w:rPr>
      </w:pPr>
      <w:bookmarkStart w:id="87" w:name="_Toc462575303"/>
      <w:r w:rsidRPr="00C44D8C">
        <w:rPr>
          <w:lang w:eastAsia="zh-CN"/>
        </w:rPr>
        <w:t>3.2.9.2. Crystal violet analysis</w:t>
      </w:r>
      <w:bookmarkEnd w:id="87"/>
    </w:p>
    <w:p w14:paraId="6BDE2DE1" w14:textId="0BBBDAAF"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Rinsed coupons from both the initial adhesion and biofilm formation assays were stained with 300 μl of 0.001% (w/v) crystal violet for 20 minutes at room temperature. Coupons with adherent cells were then rinsed with sterile Milli-Q water </w:t>
      </w:r>
      <w:r w:rsidR="003463EC">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"10.1007/s00253-010-2919-2", "ISBN" : "0025301029192", "ISSN" : "1432-0614", "PMID" : "20936277", "abstract" : "Microbial biofilms contribute to biofouling in a wide range of processes from medical implants to processed food. The extracellular polymeric substances (EPS) are implicated in imparting biofilms with structural stability and resistance to cleaning products. Still, very little is known about the structural role of the EPS in Gram-positive systems. Here, we have compared the cell surface and EPS of surface-attached (biofilm) and free-floating (planktonic) cells of Bacillus cereus, an organism routinely isolated from within biofilms on different surfaces. Our results indicate that the surface properties of cells change during biofilm formation and that the EPS proteins function as non-specific adhesions during biofilm formation. The physicochemical traits of the cell surface and the EPS proteins give us an insight into the forces that drive biofilm formation and maintenance in B. cereus.", "author" : [ { "dropping-particle" : "", "family" : "Karunakaran", "given" : "Esther", "non-dropping-particle" : "", "parse-names" : false, "suffix" : "" }, { "dropping-particle" : "", "family" : "Biggs", "given" : "Catherine a", "non-dropping-particle" : "", "parse-names" : false, "suffix" : "" } ], "container-title" : "Applied microbiology and biotechnology", "id" : "ITEM-1", "issue" : "4", "issued" : { "date-parts" : [ [ "2011", "2" ] ] }, "page" : "1161-75", "title" : "Mechanisms of Bacillus cereus biofilm formation: an investigation of the physicochemical characteristics of cell surfaces and extracellular proteins.", "type" : "article-journal", "volume" : "89" }, "uris" : [ "http://www.mendeley.com/documents/?uuid=9047155f-6cf2-4a15-bdb8-e8e0fac78d52" ] } ], "mendeley" : { "formattedCitation" : "[133]", "plainTextFormattedCitation" : "[133]", "previouslyFormattedCitation" : "[133]" }, "properties" : { "noteIndex" : 0 }, "schema" : "https://github.com/citation-style-language/schema/raw/master/csl-citation.json" }</w:instrText>
      </w:r>
      <w:r w:rsidR="003463EC">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[133]</w:t>
      </w:r>
      <w:r w:rsidR="003463EC">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The crystal violet dye was solubilised by the addition of 300 μl of 95% ethanol, and the OD</w:t>
      </w:r>
      <w:r w:rsidRPr="00C44D8C">
        <w:rPr>
          <w:rFonts w:asciiTheme="minorHAnsi" w:eastAsia="Calibri" w:hAnsiTheme="minorHAnsi" w:cs="Calibri"/>
          <w:color w:val="000000"/>
          <w:sz w:val="22"/>
          <w:szCs w:val="22"/>
          <w:vertAlign w:val="subscript"/>
          <w:lang w:eastAsia="zh-CN"/>
        </w:rPr>
        <w:t>595</w:t>
      </w:r>
      <w:r w:rsidRPr="00C44D8C">
        <w:rPr>
          <w:rFonts w:asciiTheme="minorHAnsi" w:eastAsia="Calibri" w:hAnsiTheme="minorHAnsi" w:cs="Calibri"/>
          <w:color w:val="000000"/>
          <w:sz w:val="22"/>
          <w:szCs w:val="22"/>
          <w:lang w:eastAsia="zh-CN"/>
        </w:rPr>
        <w:t xml:space="preserve"> of the suspended biofilm solution was measured using a GENios Multi-Detection Multiplate Reader.</w:t>
      </w:r>
    </w:p>
    <w:p w14:paraId="4592F238"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31633453" w14:textId="77777777" w:rsidR="00436CD0" w:rsidRPr="00C44D8C" w:rsidRDefault="00436CD0" w:rsidP="000B6618">
      <w:pPr>
        <w:pStyle w:val="Heading7"/>
        <w:rPr>
          <w:rFonts w:eastAsia="Cambria" w:cs="Cambria"/>
          <w:lang w:eastAsia="zh-CN"/>
        </w:rPr>
      </w:pPr>
      <w:bookmarkStart w:id="88" w:name="_Toc462575304"/>
      <w:r w:rsidRPr="00C44D8C">
        <w:rPr>
          <w:lang w:eastAsia="zh-CN"/>
        </w:rPr>
        <w:t>3.2.9.3. Fluorescent staining and epifluorescence microscopy</w:t>
      </w:r>
      <w:bookmarkEnd w:id="88"/>
      <w:r w:rsidRPr="00C44D8C">
        <w:rPr>
          <w:lang w:eastAsia="zh-CN"/>
        </w:rPr>
        <w:t xml:space="preserve"> </w:t>
      </w:r>
    </w:p>
    <w:p w14:paraId="45DB0FCC"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Rinsed coupons from the initial adhesion and biofilm formation assays were fixed with 4% paraformaldehyde solution (Sigma-Aldrich, UK) for 15 minutes inside an anaerobic chamber. Thereafter, coupons were rinsed twice with PBS. Fixed coupons were stored at 4˚C in PBS for future microscopic imaging.</w:t>
      </w:r>
    </w:p>
    <w:p w14:paraId="7FF9CF0F"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Paraformaldehyde-fixed coupons from both adhesion assays were labelled with 1 μg/ml DAPI solution (Sigma-Aldrich, UK) for 10 minutes at room temperature in the dark, and rinsed twice with PBS.</w:t>
      </w:r>
    </w:p>
    <w:p w14:paraId="2D897D5E" w14:textId="2F3671A0"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Epifluorescence microscopy was used to ascertain the area covered by adhered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cells. Acquisition was facilitated with a Leica AF6000 inverted microscope (Leica Microsystems GmbH, Germany) attached to a computer with a magnification of 100 in order to obtain a representative surface coverage of coupons. The use of a lower magnification to observe a larger field of view of microbial surface coverage has previously been recommended</w:t>
      </w:r>
      <w:r w:rsidR="003463EC">
        <w:rPr>
          <w:rFonts w:asciiTheme="minorHAnsi" w:eastAsia="Calibri" w:hAnsiTheme="minorHAnsi" w:cs="Calibri"/>
          <w:color w:val="000000"/>
          <w:sz w:val="22"/>
          <w:szCs w:val="22"/>
          <w:lang w:eastAsia="zh-CN"/>
        </w:rPr>
        <w:t xml:space="preserve"> </w:t>
      </w:r>
      <w:r w:rsidR="003463EC">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"10.1128/AEM.68.6.2950", "author" : [ { "dropping-particle" : "", "family" : "Djordjevic", "given" : "D", "non-dropping-particle" : "", "parse-names" : false, "suffix" : "" }, { "dropping-particle" : "", "family" : "Wiedmann", "given" : "M", "non-dropping-particle" : "", "parse-names" : false, "suffix" : "" }, { "dropping-particle" : "", "family" : "Mclandsborough", "given" : "L A", "non-dropping-particle" : "", "parse-names" : false, "suffix" : "" } ], "container-title" : "Applied and environmental microbiology", "id" : "ITEM-1", "issue" : "6", "issued" : { "date-parts" : [ [ "2002" ] ] }, "page" : "2950-2958", "title" : "Microtiter Plate Assay for Assessment of Listeria monocytogenes Biofilm Formation", "type" : "article-journal", "volume" : "68" }, "uris" : [ "http://www.mendeley.com/documents/?uuid=d2568107-7392-4c3f-a004-a377ce6010db" ] } ], "mendeley" : { "formattedCitation" : "[132]", "plainTextFormattedCitation" : "[132]", "previouslyFormattedCitation" : "[132]" }, "properties" : { "noteIndex" : 0 }, "schema" : "https://github.com/citation-style-language/schema/raw/master/csl-citation.json" }</w:instrText>
      </w:r>
      <w:r w:rsidR="003463EC">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[132]</w:t>
      </w:r>
      <w:r w:rsidR="003463EC">
        <w:rPr>
          <w:rFonts w:asciiTheme="minorHAnsi" w:eastAsia="Calibri" w:hAnsiTheme="minorHAnsi" w:cs="Calibri"/>
          <w:color w:val="000000"/>
          <w:sz w:val="22"/>
          <w:szCs w:val="22"/>
          <w:lang w:eastAsia="zh-CN"/>
        </w:rPr>
        <w:fldChar w:fldCharType="end"/>
      </w:r>
      <w:r w:rsidRPr="00C44D8C">
        <w:rPr>
          <w:rFonts w:asciiTheme="minorHAnsi" w:eastAsia="Cambria" w:hAnsiTheme="minorHAnsi" w:cs="Cambria"/>
          <w:color w:val="000000"/>
          <w:sz w:val="22"/>
          <w:szCs w:val="22"/>
          <w:lang w:eastAsia="zh-CN"/>
        </w:rPr>
        <w:t>.</w:t>
      </w:r>
    </w:p>
    <w:p w14:paraId="0E9B5000"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20 microscopic fields (1 mm</w:t>
      </w:r>
      <w:r w:rsidRPr="00C44D8C">
        <w:rPr>
          <w:rFonts w:asciiTheme="minorHAnsi" w:eastAsia="Calibri" w:hAnsiTheme="minorHAnsi" w:cs="Calibri"/>
          <w:color w:val="000000"/>
          <w:sz w:val="22"/>
          <w:szCs w:val="22"/>
          <w:vertAlign w:val="superscript"/>
          <w:lang w:eastAsia="zh-CN"/>
        </w:rPr>
        <w:t xml:space="preserve">2 </w:t>
      </w:r>
      <w:r w:rsidRPr="00C44D8C">
        <w:rPr>
          <w:rFonts w:asciiTheme="minorHAnsi" w:eastAsia="Calibri" w:hAnsiTheme="minorHAnsi" w:cs="Calibri"/>
          <w:color w:val="000000"/>
          <w:sz w:val="22"/>
          <w:szCs w:val="22"/>
          <w:lang w:eastAsia="zh-CN"/>
        </w:rPr>
        <w:t>per field) were randomly selected for each coupon and measured for surface area coverage. Images were analysed with the ImageJ software in ‘Analyse Particles’ mode to calculate the average percentage of area covered by cells after 2 h, 72 h and 96 h.</w:t>
      </w:r>
    </w:p>
    <w:p w14:paraId="7758C319"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p>
    <w:p w14:paraId="234191A4" w14:textId="77777777" w:rsidR="00436CD0" w:rsidRPr="00C44D8C" w:rsidRDefault="00436CD0" w:rsidP="000B6618">
      <w:pPr>
        <w:pStyle w:val="Heading6"/>
        <w:rPr>
          <w:rFonts w:eastAsia="Cambria" w:cs="Cambria"/>
          <w:lang w:eastAsia="zh-CN"/>
        </w:rPr>
      </w:pPr>
      <w:bookmarkStart w:id="89" w:name="_Toc462575305"/>
      <w:r w:rsidRPr="00C44D8C">
        <w:rPr>
          <w:rFonts w:eastAsia="Calibri"/>
          <w:lang w:eastAsia="zh-CN"/>
        </w:rPr>
        <w:lastRenderedPageBreak/>
        <w:t>3.2.10. Scanning electron microscopy (SEM)</w:t>
      </w:r>
      <w:bookmarkEnd w:id="89"/>
    </w:p>
    <w:p w14:paraId="257D0849" w14:textId="22C6F51F"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To visualize cell adhesion after 2 h, 72 h and 96 h, a parallel experiment was run alongside the initial adh</w:t>
      </w:r>
      <w:r w:rsidR="00DF48F7">
        <w:rPr>
          <w:rFonts w:asciiTheme="minorHAnsi" w:eastAsia="Calibri" w:hAnsiTheme="minorHAnsi" w:cs="Calibri"/>
          <w:color w:val="000000"/>
          <w:sz w:val="22"/>
          <w:szCs w:val="22"/>
          <w:lang w:eastAsia="zh-CN"/>
        </w:rPr>
        <w:t>esion and biofilm formation assay</w:t>
      </w:r>
      <w:r w:rsidRPr="00C44D8C">
        <w:rPr>
          <w:rFonts w:asciiTheme="minorHAnsi" w:eastAsia="Calibri" w:hAnsiTheme="minorHAnsi" w:cs="Calibri"/>
          <w:color w:val="000000"/>
          <w:sz w:val="22"/>
          <w:szCs w:val="22"/>
          <w:lang w:eastAsia="zh-CN"/>
        </w:rPr>
        <w:t>s, using the exact same experimental conditions, in which adhering cells on the support materials were viewed under a scanning electron microscope (Electron Microscopy Unit, University of Sheffield, UK).</w:t>
      </w:r>
    </w:p>
    <w:p w14:paraId="48B3ABD7"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Coupons of each support material from both adhesion assays were removed from cell suspensions into sterile 24 well plates and rinsed twice with sterile, anaerobically prepared 100 mM KCl inside an anaerobic chamber. Coupons were then fixed with 2% glutaraldehyde in 0.1 M sodium cacodylate buffer (Sigma-Aldrich, UK) at </w:t>
      </w:r>
      <w:bookmarkStart w:id="90" w:name="OLE_LINK1"/>
      <w:r w:rsidRPr="00C44D8C">
        <w:rPr>
          <w:rFonts w:asciiTheme="minorHAnsi" w:eastAsia="Calibri" w:hAnsiTheme="minorHAnsi" w:cs="Calibri"/>
          <w:color w:val="000000"/>
          <w:sz w:val="22"/>
          <w:szCs w:val="22"/>
          <w:lang w:eastAsia="zh-CN"/>
        </w:rPr>
        <w:t>4˚C for 16 hours</w:t>
      </w:r>
      <w:bookmarkEnd w:id="90"/>
      <w:r w:rsidRPr="00C44D8C">
        <w:rPr>
          <w:rFonts w:asciiTheme="minorHAnsi" w:eastAsia="Calibri" w:hAnsiTheme="minorHAnsi" w:cs="Calibri"/>
          <w:color w:val="000000"/>
          <w:sz w:val="22"/>
          <w:szCs w:val="22"/>
          <w:lang w:eastAsia="zh-CN"/>
        </w:rPr>
        <w:t>. Secondary fixation was carried out in 2% osmium tetroxide solution (Sigma-Aldrich, UK) before fixed samples were dehydrated through a graded series of 75% to 100% ethanol. Fixed samples were sputter-coated with gold before mounted onto stubs and viewed using a Philips XL-20 scanning electron microscope (Philips, Netherlands) at an accelerating voltage of 20 kV.</w:t>
      </w:r>
    </w:p>
    <w:p w14:paraId="2FD43059"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7A4F869E" w14:textId="77777777" w:rsidR="00436CD0" w:rsidRPr="00C44D8C" w:rsidRDefault="00436CD0" w:rsidP="000B6618">
      <w:pPr>
        <w:pStyle w:val="Heading6"/>
        <w:rPr>
          <w:rFonts w:eastAsia="Cambria" w:cs="Cambria"/>
          <w:lang w:eastAsia="zh-CN"/>
        </w:rPr>
      </w:pPr>
      <w:bookmarkStart w:id="91" w:name="_Toc462575306"/>
      <w:r w:rsidRPr="00C44D8C">
        <w:rPr>
          <w:rFonts w:eastAsia="Calibri"/>
          <w:lang w:eastAsia="zh-CN"/>
        </w:rPr>
        <w:t>3.2.11. Statistical analysis</w:t>
      </w:r>
      <w:bookmarkEnd w:id="91"/>
    </w:p>
    <w:p w14:paraId="57EC55C1"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Statistical analysis was performed using GraphPad Prism (GraphPad Software, Inc., USA). The Brown-Forsythe test was used to determine statistical differences between group variances. The non-parametric Kruskal-Wallis test was used to compare percentage adhesion data after 2 h, 72 h and 96 h between the support materials, followed by </w:t>
      </w:r>
      <w:r w:rsidRPr="00C44D8C">
        <w:rPr>
          <w:rFonts w:asciiTheme="minorHAnsi" w:eastAsia="Calibri" w:hAnsiTheme="minorHAnsi" w:cs="Calibri"/>
          <w:i/>
          <w:color w:val="000000"/>
          <w:sz w:val="22"/>
          <w:szCs w:val="22"/>
          <w:lang w:eastAsia="zh-CN"/>
        </w:rPr>
        <w:t>post-hoc</w:t>
      </w:r>
      <w:r w:rsidRPr="00C44D8C">
        <w:rPr>
          <w:rFonts w:asciiTheme="minorHAnsi" w:eastAsia="Calibri" w:hAnsiTheme="minorHAnsi" w:cs="Calibri"/>
          <w:color w:val="000000"/>
          <w:sz w:val="22"/>
          <w:szCs w:val="22"/>
          <w:lang w:eastAsia="zh-CN"/>
        </w:rPr>
        <w:t xml:space="preserve"> analysis using Dunn’s multiple comparison test. The non-parametric Wilcoxon matched-paired test was also used to test whether incubation time had an effect on the biofilm-forming abilities of </w:t>
      </w:r>
      <w:r w:rsidRPr="00C44D8C">
        <w:rPr>
          <w:rFonts w:asciiTheme="minorHAnsi" w:eastAsia="Calibri" w:hAnsiTheme="minorHAnsi" w:cs="Calibri"/>
          <w:i/>
          <w:iCs/>
          <w:color w:val="000000"/>
          <w:sz w:val="22"/>
          <w:szCs w:val="22"/>
          <w:lang w:eastAsia="zh-CN"/>
        </w:rPr>
        <w:t xml:space="preserve">M. barkeri </w:t>
      </w:r>
      <w:r w:rsidRPr="00C44D8C">
        <w:rPr>
          <w:rFonts w:asciiTheme="minorHAnsi" w:eastAsia="Calibri" w:hAnsiTheme="minorHAnsi" w:cs="Calibri"/>
          <w:color w:val="000000"/>
          <w:sz w:val="22"/>
          <w:szCs w:val="22"/>
          <w:lang w:eastAsia="zh-CN"/>
        </w:rPr>
        <w:t>to the support materials from 72 h to 96 h.</w:t>
      </w:r>
    </w:p>
    <w:p w14:paraId="20A2BEC8"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1E7DC730" w14:textId="0C6368A0" w:rsidR="00436CD0" w:rsidRPr="00C44D8C" w:rsidRDefault="00436CD0" w:rsidP="000B6618">
      <w:pPr>
        <w:pStyle w:val="Heading1"/>
        <w:rPr>
          <w:lang w:eastAsia="zh-CN"/>
        </w:rPr>
      </w:pPr>
      <w:bookmarkStart w:id="92" w:name="_Toc462575307"/>
      <w:r w:rsidRPr="00C44D8C">
        <w:rPr>
          <w:lang w:eastAsia="zh-CN"/>
        </w:rPr>
        <w:t>3.3. Results</w:t>
      </w:r>
      <w:bookmarkEnd w:id="92"/>
      <w:r w:rsidRPr="00C44D8C">
        <w:rPr>
          <w:lang w:eastAsia="zh-CN"/>
        </w:rPr>
        <w:t xml:space="preserve"> </w:t>
      </w:r>
    </w:p>
    <w:p w14:paraId="5A4F4FAE" w14:textId="77777777" w:rsidR="00436CD0" w:rsidRPr="00C44D8C" w:rsidRDefault="00436CD0" w:rsidP="000B6618">
      <w:pPr>
        <w:pStyle w:val="Heading6"/>
        <w:rPr>
          <w:rFonts w:eastAsia="Calibri"/>
          <w:lang w:eastAsia="zh-CN"/>
        </w:rPr>
      </w:pPr>
      <w:bookmarkStart w:id="93" w:name="_Toc462575308"/>
      <w:r w:rsidRPr="00C44D8C">
        <w:rPr>
          <w:rFonts w:eastAsia="Calibri"/>
          <w:lang w:eastAsia="zh-CN"/>
        </w:rPr>
        <w:t xml:space="preserve">3.3.1. Preliminary experiments: Growth curves of </w:t>
      </w:r>
      <w:r w:rsidRPr="00C44D8C">
        <w:rPr>
          <w:rFonts w:eastAsia="Calibri"/>
          <w:i/>
          <w:lang w:eastAsia="zh-CN"/>
        </w:rPr>
        <w:t>M. barkeri</w:t>
      </w:r>
      <w:bookmarkEnd w:id="93"/>
      <w:r w:rsidRPr="00C44D8C">
        <w:rPr>
          <w:rFonts w:eastAsia="Calibri"/>
          <w:i/>
          <w:lang w:eastAsia="zh-CN"/>
        </w:rPr>
        <w:t xml:space="preserve"> </w:t>
      </w:r>
    </w:p>
    <w:p w14:paraId="6F417AE4" w14:textId="24A45B22" w:rsidR="000B6618"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mbria" w:hAnsiTheme="minorHAnsi" w:cs="Cambria"/>
          <w:color w:val="000000"/>
          <w:sz w:val="22"/>
          <w:szCs w:val="22"/>
          <w:lang w:eastAsia="zh-CN"/>
        </w:rPr>
        <w:t xml:space="preserve">The growth of </w:t>
      </w:r>
      <w:r w:rsidRPr="00C44D8C">
        <w:rPr>
          <w:rFonts w:asciiTheme="minorHAnsi" w:eastAsia="Cambria" w:hAnsiTheme="minorHAnsi" w:cs="Cambria"/>
          <w:i/>
          <w:color w:val="000000"/>
          <w:sz w:val="22"/>
          <w:szCs w:val="22"/>
          <w:lang w:eastAsia="zh-CN"/>
        </w:rPr>
        <w:t xml:space="preserve">M. barkeri </w:t>
      </w:r>
      <w:r w:rsidRPr="00C44D8C">
        <w:rPr>
          <w:rFonts w:asciiTheme="minorHAnsi" w:eastAsia="Cambria" w:hAnsiTheme="minorHAnsi" w:cs="Cambria"/>
          <w:color w:val="000000"/>
          <w:sz w:val="22"/>
          <w:szCs w:val="22"/>
          <w:lang w:eastAsia="zh-CN"/>
        </w:rPr>
        <w:t xml:space="preserve">was determined over a duration of 8 days as an increase in the optical density at 600 nm and in gas pressure (Fig. 3.4). The growth curve followed a typical pattern of an exponential phase from 48 h to 130 h (2-5 days), followed by a stationary phase after 130 h. The time points for the biofilm formation experiments were selected based on this growth curve, in order to obtain cells in the mid- to late exponential phase of </w:t>
      </w:r>
      <w:r w:rsidRPr="00C44D8C">
        <w:rPr>
          <w:rFonts w:asciiTheme="minorHAnsi" w:eastAsia="Cambria" w:hAnsiTheme="minorHAnsi" w:cs="Cambria"/>
          <w:color w:val="000000"/>
          <w:sz w:val="22"/>
          <w:szCs w:val="22"/>
          <w:lang w:eastAsia="zh-CN"/>
        </w:rPr>
        <w:lastRenderedPageBreak/>
        <w:t>growth when cells were metabolically active. This is driven by the fact that metabolically active cells readily attach to abiotic surfaces</w:t>
      </w:r>
      <w:r w:rsidR="003463EC">
        <w:rPr>
          <w:rFonts w:asciiTheme="minorHAnsi" w:eastAsia="Cambria" w:hAnsiTheme="minorHAnsi" w:cs="Cambria"/>
          <w:color w:val="000000"/>
          <w:sz w:val="22"/>
          <w:szCs w:val="22"/>
          <w:lang w:eastAsia="zh-CN"/>
        </w:rPr>
        <w:t xml:space="preserve"> </w:t>
      </w:r>
      <w:r w:rsidR="003463EC">
        <w:rPr>
          <w:rFonts w:asciiTheme="minorHAnsi" w:eastAsia="Cambria" w:hAnsiTheme="minorHAnsi" w:cs="Cambria"/>
          <w:color w:val="000000"/>
          <w:sz w:val="22"/>
          <w:szCs w:val="22"/>
          <w:lang w:eastAsia="zh-CN"/>
        </w:rPr>
        <w:fldChar w:fldCharType="begin" w:fldLock="1"/>
      </w:r>
      <w:r w:rsidR="003463EC">
        <w:rPr>
          <w:rFonts w:asciiTheme="minorHAnsi" w:eastAsia="Cambria" w:hAnsiTheme="minorHAnsi" w:cs="Cambria"/>
          <w:color w:val="000000"/>
          <w:sz w:val="22"/>
          <w:szCs w:val="22"/>
          <w:lang w:eastAsia="zh-CN"/>
        </w:rPr>
        <w:instrText>ADDIN CSL_CITATION { "citationItems" : [ { "id" : "ITEM-1", "itemData" : { "abstract" : "Direct observations have clearl y shown that biofilm bacteria predominate, numerically and metabolically, in virtually all nutrient-sufficient ecosystems. Therefore, these sessile organisms predominate in most of the environmental, 7ll 0066-4227/9511 00 1-0711 $05.00", "author" : [ { "dropping-particle" : "", "family" : "Costerton", "given" : "J William", "non-dropping-particle" : "", "parse-names" : false, "suffix" : "" }, { "dropping-particle" : "", "family" : "Lewandowski", "given" : "Zbigniew", "non-dropping-particle" : "", "parse-names" : false, "suffix" : "" }, { "dropping-particle" : "", "family" : "Caldwell", "given" : "Douglas E", "non-dropping-particle" : "", "parse-names" : false, "suffix" : "" }, { "dropping-particle" : "", "family" : "Korber", "given" : "Darren R", "non-dropping-particle" : "", "parse-names" : false, "suffix" : "" }, { "dropping-particle" : "", "family" : "Lappin-Scott", "given" : "Hilary M", "non-dropping-particle" : "", "parse-names" : false, "suffix" : "" } ], "container-title" : "Annual review of microbiology", "id" : "ITEM-1", "issued" : { "date-parts" : [ [ "1995" ] ] }, "page" : "711-745", "title" : "MICROBIAL BIOFILMS", "type" : "article-journal", "volume" : "49" }, "uris" : [ "http://www.mendeley.com/documents/?uuid=8aafbc2b-666c-3dce-88ce-d576e45dbb2d" ] } ], "mendeley" : { "formattedCitation" : "[30]", "plainTextFormattedCitation" : "[30]", "previouslyFormattedCitation" : "[30]" }, "properties" : { "noteIndex" : 0 }, "schema" : "https://github.com/citation-style-language/schema/raw/master/csl-citation.json" }</w:instrText>
      </w:r>
      <w:r w:rsidR="003463EC">
        <w:rPr>
          <w:rFonts w:asciiTheme="minorHAnsi" w:eastAsia="Cambria" w:hAnsiTheme="minorHAnsi" w:cs="Cambria"/>
          <w:color w:val="000000"/>
          <w:sz w:val="22"/>
          <w:szCs w:val="22"/>
          <w:lang w:eastAsia="zh-CN"/>
        </w:rPr>
        <w:fldChar w:fldCharType="separate"/>
      </w:r>
      <w:r w:rsidR="003463EC" w:rsidRPr="003463EC">
        <w:rPr>
          <w:rFonts w:asciiTheme="minorHAnsi" w:eastAsia="Cambria" w:hAnsiTheme="minorHAnsi" w:cs="Cambria"/>
          <w:noProof/>
          <w:color w:val="000000"/>
          <w:sz w:val="22"/>
          <w:szCs w:val="22"/>
          <w:lang w:eastAsia="zh-CN"/>
        </w:rPr>
        <w:t>[30]</w:t>
      </w:r>
      <w:r w:rsidR="003463EC">
        <w:rPr>
          <w:rFonts w:asciiTheme="minorHAnsi" w:eastAsia="Cambria" w:hAnsiTheme="minorHAnsi" w:cs="Cambria"/>
          <w:color w:val="000000"/>
          <w:sz w:val="22"/>
          <w:szCs w:val="22"/>
          <w:lang w:eastAsia="zh-CN"/>
        </w:rPr>
        <w:fldChar w:fldCharType="end"/>
      </w:r>
      <w:r w:rsidR="000B6618">
        <w:rPr>
          <w:rFonts w:asciiTheme="minorHAnsi" w:eastAsia="Cambria" w:hAnsiTheme="minorHAnsi" w:cs="Cambria"/>
          <w:color w:val="000000"/>
          <w:sz w:val="22"/>
          <w:szCs w:val="22"/>
          <w:lang w:eastAsia="zh-CN"/>
        </w:rPr>
        <w:t>.</w:t>
      </w:r>
    </w:p>
    <w:p w14:paraId="3E147AB5" w14:textId="77777777" w:rsidR="000B6618" w:rsidRPr="00C44D8C" w:rsidRDefault="000B6618" w:rsidP="00436CD0">
      <w:pPr>
        <w:spacing w:line="360" w:lineRule="auto"/>
        <w:rPr>
          <w:rFonts w:asciiTheme="minorHAnsi" w:eastAsia="Cambria" w:hAnsiTheme="minorHAnsi" w:cs="Cambria"/>
          <w:color w:val="000000"/>
          <w:sz w:val="22"/>
          <w:szCs w:val="22"/>
          <w:lang w:eastAsia="zh-CN"/>
        </w:rPr>
      </w:pPr>
    </w:p>
    <w:p w14:paraId="636AD124" w14:textId="1A1D5B00" w:rsidR="00436CD0" w:rsidRPr="00C44D8C" w:rsidRDefault="005B4620" w:rsidP="003463EC">
      <w:pPr>
        <w:spacing w:line="360" w:lineRule="auto"/>
        <w:jc w:val="center"/>
        <w:rPr>
          <w:rFonts w:asciiTheme="minorHAnsi" w:eastAsia="Cambria" w:hAnsiTheme="minorHAnsi" w:cs="Cambria"/>
          <w:color w:val="000000"/>
          <w:sz w:val="22"/>
          <w:szCs w:val="22"/>
          <w:lang w:eastAsia="zh-CN"/>
        </w:rPr>
      </w:pPr>
      <w:r w:rsidRPr="00C44D8C">
        <w:rPr>
          <w:rFonts w:asciiTheme="minorHAnsi" w:eastAsia="Cambria" w:hAnsiTheme="minorHAnsi" w:cs="Cambria"/>
          <w:color w:val="000000"/>
          <w:sz w:val="22"/>
          <w:szCs w:val="22"/>
          <w:lang w:eastAsia="zh-CN"/>
        </w:rPr>
        <w:object w:dxaOrig="7677" w:dyaOrig="5357" w14:anchorId="30AEDE26">
          <v:shape id="_x0000_i1027" type="#_x0000_t75" style="width:306.5pt;height:213.5pt" o:ole="">
            <v:imagedata r:id="rId27" o:title=""/>
          </v:shape>
          <o:OLEObject Type="Embed" ProgID="Prism6.Document" ShapeID="_x0000_i1027" DrawAspect="Content" ObjectID="_1568973011" r:id="rId28"/>
        </w:object>
      </w:r>
    </w:p>
    <w:p w14:paraId="21FAC880" w14:textId="77777777" w:rsidR="00DF48F7" w:rsidRDefault="00436CD0" w:rsidP="00DF48F7">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b/>
          <w:color w:val="000000"/>
          <w:sz w:val="22"/>
          <w:szCs w:val="22"/>
          <w:lang w:eastAsia="zh-CN"/>
        </w:rPr>
        <w:t xml:space="preserve">Fig. 3.4 </w:t>
      </w:r>
      <w:r w:rsidRPr="00C44D8C">
        <w:rPr>
          <w:rFonts w:asciiTheme="minorHAnsi" w:eastAsia="Calibri" w:hAnsiTheme="minorHAnsi" w:cs="Calibri"/>
          <w:color w:val="000000"/>
          <w:sz w:val="22"/>
          <w:szCs w:val="22"/>
          <w:lang w:eastAsia="zh-CN"/>
        </w:rPr>
        <w:t xml:space="preserve">Growth curve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at 37˚C with methanol as monitored by optical density measurements at 600 nm (</w:t>
      </w:r>
      <w:r w:rsidRPr="00C44D8C">
        <w:rPr>
          <w:rFonts w:asciiTheme="minorHAnsi" w:eastAsia="Yu Gothic UI" w:hAnsiTheme="minorHAnsi" w:cs="Calibri"/>
          <w:color w:val="000000"/>
          <w:sz w:val="22"/>
          <w:szCs w:val="22"/>
          <w:lang w:eastAsia="zh-CN"/>
        </w:rPr>
        <w:sym w:font="Webdings" w:char="F03C"/>
      </w:r>
      <w:r w:rsidRPr="00C44D8C">
        <w:rPr>
          <w:rFonts w:asciiTheme="minorHAnsi" w:eastAsia="Calibri" w:hAnsiTheme="minorHAnsi" w:cs="Calibri"/>
          <w:color w:val="000000"/>
          <w:sz w:val="22"/>
          <w:szCs w:val="22"/>
          <w:lang w:eastAsia="zh-CN"/>
        </w:rPr>
        <w:t>) and gas pressure (</w:t>
      </w:r>
      <w:r w:rsidRPr="00C44D8C">
        <w:rPr>
          <w:rFonts w:asciiTheme="minorHAnsi" w:eastAsia="Calibri" w:hAnsiTheme="minorHAnsi" w:cs="Calibri"/>
          <w:color w:val="000000"/>
          <w:sz w:val="22"/>
          <w:szCs w:val="22"/>
          <w:lang w:eastAsia="zh-CN"/>
        </w:rPr>
        <w:sym w:font="Webdings" w:char="F03D"/>
      </w:r>
      <w:r w:rsidRPr="00C44D8C">
        <w:rPr>
          <w:rFonts w:asciiTheme="minorHAnsi" w:eastAsia="Calibri" w:hAnsiTheme="minorHAnsi" w:cs="Calibri"/>
          <w:color w:val="000000"/>
          <w:sz w:val="22"/>
          <w:szCs w:val="22"/>
          <w:lang w:eastAsia="zh-CN"/>
        </w:rPr>
        <w:t>). Error bars represent the standard deviation of 4 independent growth curve experiments</w:t>
      </w:r>
      <w:r w:rsidR="00407878">
        <w:rPr>
          <w:rFonts w:asciiTheme="minorHAnsi" w:eastAsia="Calibri" w:hAnsiTheme="minorHAnsi" w:cs="Calibri"/>
          <w:color w:val="000000"/>
          <w:sz w:val="22"/>
          <w:szCs w:val="22"/>
          <w:lang w:eastAsia="zh-CN"/>
        </w:rPr>
        <w:t>.</w:t>
      </w:r>
      <w:bookmarkStart w:id="94" w:name="_Toc462575309"/>
    </w:p>
    <w:p w14:paraId="3F962CA5" w14:textId="77777777" w:rsidR="00DF48F7" w:rsidRDefault="00DF48F7" w:rsidP="00DF48F7">
      <w:pPr>
        <w:spacing w:line="360" w:lineRule="auto"/>
        <w:rPr>
          <w:rFonts w:asciiTheme="minorHAnsi" w:eastAsia="Calibri" w:hAnsiTheme="minorHAnsi" w:cs="Calibri"/>
          <w:color w:val="000000"/>
          <w:sz w:val="22"/>
          <w:szCs w:val="22"/>
          <w:lang w:eastAsia="zh-CN"/>
        </w:rPr>
      </w:pPr>
    </w:p>
    <w:p w14:paraId="0B6D1797" w14:textId="7F3B8463" w:rsidR="00436CD0" w:rsidRPr="00C44D8C" w:rsidRDefault="00407878" w:rsidP="00DF48F7">
      <w:pPr>
        <w:pStyle w:val="Heading6"/>
        <w:rPr>
          <w:rFonts w:eastAsia="Cambria" w:cs="Cambria"/>
          <w:lang w:eastAsia="zh-CN"/>
        </w:rPr>
      </w:pPr>
      <w:r>
        <w:rPr>
          <w:rFonts w:eastAsia="Calibri"/>
          <w:lang w:eastAsia="zh-CN"/>
        </w:rPr>
        <w:t>3</w:t>
      </w:r>
      <w:r w:rsidR="00436CD0" w:rsidRPr="00C44D8C">
        <w:rPr>
          <w:rFonts w:eastAsia="Calibri"/>
          <w:lang w:eastAsia="zh-CN"/>
        </w:rPr>
        <w:t>.3.2. Surface characterisation</w:t>
      </w:r>
      <w:bookmarkEnd w:id="94"/>
      <w:r w:rsidR="00436CD0" w:rsidRPr="00C44D8C">
        <w:rPr>
          <w:rFonts w:eastAsia="Calibri"/>
          <w:lang w:eastAsia="zh-CN"/>
        </w:rPr>
        <w:t xml:space="preserve"> </w:t>
      </w:r>
    </w:p>
    <w:p w14:paraId="732EB8FF" w14:textId="77777777" w:rsidR="00436CD0" w:rsidRPr="00C44D8C" w:rsidRDefault="00436CD0" w:rsidP="000B6618">
      <w:pPr>
        <w:pStyle w:val="Heading7"/>
        <w:rPr>
          <w:rFonts w:eastAsia="Cambria" w:cs="Cambria"/>
          <w:lang w:eastAsia="zh-CN"/>
        </w:rPr>
      </w:pPr>
      <w:bookmarkStart w:id="95" w:name="_Toc462575310"/>
      <w:r w:rsidRPr="00C44D8C">
        <w:rPr>
          <w:lang w:eastAsia="zh-CN"/>
        </w:rPr>
        <w:t>3.3.2.1. Contact angle measurement</w:t>
      </w:r>
      <w:bookmarkEnd w:id="95"/>
    </w:p>
    <w:p w14:paraId="627BF0DE" w14:textId="583A33D6"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contact angles of water, formamide and diiodomethane on the surfaces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and the support materials are shown in Table 3.2, and were used to calculate surface free energy. Water contact angles were used as an indication of hydrophobicity</w:t>
      </w:r>
      <w:r w:rsidR="003463EC">
        <w:rPr>
          <w:rFonts w:asciiTheme="minorHAnsi" w:eastAsia="Calibri" w:hAnsiTheme="minorHAnsi" w:cs="Calibri"/>
          <w:color w:val="000000"/>
          <w:sz w:val="22"/>
          <w:szCs w:val="22"/>
          <w:lang w:eastAsia="zh-CN"/>
        </w:rPr>
        <w:t xml:space="preserve"> </w:t>
      </w:r>
      <w:r w:rsidR="003463EC">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3463EC">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[78]</w:t>
      </w:r>
      <w:r w:rsidR="003463EC">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p>
    <w:p w14:paraId="47D45395"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color w:val="000000"/>
          <w:sz w:val="22"/>
          <w:szCs w:val="22"/>
          <w:lang w:eastAsia="zh-CN"/>
        </w:rPr>
        <w:tab/>
        <w:t>The support materials each had similarly low surface free energies. These ranged from 28 mJ.m</w:t>
      </w:r>
      <w:r w:rsidRPr="00C44D8C">
        <w:rPr>
          <w:rFonts w:asciiTheme="minorHAnsi" w:eastAsia="Calibri" w:hAnsiTheme="minorHAnsi" w:cs="Calibri"/>
          <w:color w:val="000000"/>
          <w:sz w:val="22"/>
          <w:szCs w:val="22"/>
          <w:vertAlign w:val="superscript"/>
          <w:lang w:eastAsia="zh-CN"/>
        </w:rPr>
        <w:t>-2</w:t>
      </w:r>
      <w:r w:rsidRPr="00C44D8C">
        <w:rPr>
          <w:rFonts w:asciiTheme="minorHAnsi" w:eastAsia="Calibri" w:hAnsiTheme="minorHAnsi" w:cs="Calibri"/>
          <w:color w:val="000000"/>
          <w:sz w:val="22"/>
          <w:szCs w:val="22"/>
          <w:lang w:eastAsia="zh-CN"/>
        </w:rPr>
        <w:t xml:space="preserve"> to 48 mJ.m</w:t>
      </w:r>
      <w:r w:rsidRPr="00C44D8C">
        <w:rPr>
          <w:rFonts w:asciiTheme="minorHAnsi" w:eastAsia="Calibri" w:hAnsiTheme="minorHAnsi" w:cs="Calibri"/>
          <w:color w:val="000000"/>
          <w:sz w:val="22"/>
          <w:szCs w:val="22"/>
          <w:vertAlign w:val="superscript"/>
          <w:lang w:eastAsia="zh-CN"/>
        </w:rPr>
        <w:t>-2</w:t>
      </w:r>
      <w:r w:rsidRPr="00C44D8C">
        <w:rPr>
          <w:rFonts w:asciiTheme="minorHAnsi" w:eastAsia="Calibri" w:hAnsiTheme="minorHAnsi" w:cs="Calibri"/>
          <w:color w:val="000000"/>
          <w:sz w:val="22"/>
          <w:szCs w:val="22"/>
          <w:lang w:eastAsia="zh-CN"/>
        </w:rPr>
        <w:t>, with PTFE having the lowest total surface free energy and also having the most hydrophobic surface, with a high water contact angle of 116˚. On the other hand, PVC possessed the highest surface free energy and was the most hydrophilic surface with a comparatively lower water contact angle of 72˚. This is a result of PVC’s high polar acid-base (γ</w:t>
      </w:r>
      <w:r w:rsidRPr="00C44D8C">
        <w:rPr>
          <w:rFonts w:asciiTheme="minorHAnsi" w:eastAsia="Calibri" w:hAnsiTheme="minorHAnsi" w:cs="Calibri"/>
          <w:color w:val="000000"/>
          <w:sz w:val="22"/>
          <w:szCs w:val="22"/>
          <w:vertAlign w:val="superscript"/>
          <w:lang w:eastAsia="zh-CN"/>
        </w:rPr>
        <w:t>AB</w:t>
      </w:r>
      <w:r w:rsidRPr="00C44D8C">
        <w:rPr>
          <w:rFonts w:asciiTheme="minorHAnsi" w:eastAsia="Calibri" w:hAnsiTheme="minorHAnsi" w:cs="Calibri"/>
          <w:color w:val="000000"/>
          <w:sz w:val="22"/>
          <w:szCs w:val="22"/>
          <w:lang w:eastAsia="zh-CN"/>
        </w:rPr>
        <w:t>) component, and can be attributable to its high electron-donating (γ</w:t>
      </w:r>
      <w:r w:rsidRPr="00C44D8C">
        <w:rPr>
          <w:rFonts w:asciiTheme="minorHAnsi" w:eastAsia="Calibri" w:hAnsiTheme="minorHAnsi" w:cs="Calibri"/>
          <w:color w:val="000000"/>
          <w:sz w:val="22"/>
          <w:szCs w:val="22"/>
          <w:vertAlign w:val="superscript"/>
          <w:lang w:eastAsia="zh-CN"/>
        </w:rPr>
        <w:t>-</w:t>
      </w:r>
      <w:r w:rsidRPr="00C44D8C">
        <w:rPr>
          <w:rFonts w:asciiTheme="minorHAnsi" w:eastAsia="Calibri" w:hAnsiTheme="minorHAnsi" w:cs="Calibri"/>
          <w:color w:val="000000"/>
          <w:sz w:val="22"/>
          <w:szCs w:val="22"/>
          <w:lang w:eastAsia="zh-CN"/>
        </w:rPr>
        <w:t xml:space="preserve">) nature. In addition to PTFE, PP also possessed a hydrophobic surface, whereas the remaining support materials had hydrophilic surfaces. </w:t>
      </w:r>
    </w:p>
    <w:p w14:paraId="37975A4A" w14:textId="77777777" w:rsidR="00114AA3" w:rsidRPr="00C44D8C" w:rsidRDefault="00114AA3" w:rsidP="00436CD0">
      <w:pPr>
        <w:spacing w:line="360" w:lineRule="auto"/>
        <w:rPr>
          <w:rFonts w:asciiTheme="minorHAnsi" w:eastAsia="Calibri" w:hAnsiTheme="minorHAnsi" w:cs="Calibri"/>
          <w:color w:val="000000"/>
          <w:sz w:val="22"/>
          <w:szCs w:val="22"/>
          <w:lang w:eastAsia="zh-CN"/>
        </w:rPr>
      </w:pPr>
    </w:p>
    <w:p w14:paraId="446F9695" w14:textId="77777777" w:rsidR="00114AA3" w:rsidRPr="00C44D8C" w:rsidRDefault="00114AA3" w:rsidP="00114AA3">
      <w:pPr>
        <w:spacing w:after="120"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b/>
          <w:color w:val="000000"/>
          <w:sz w:val="22"/>
          <w:szCs w:val="22"/>
          <w:lang w:eastAsia="zh-CN"/>
        </w:rPr>
        <w:lastRenderedPageBreak/>
        <w:t xml:space="preserve">Table 3.2 </w:t>
      </w:r>
      <w:r w:rsidRPr="00C44D8C">
        <w:rPr>
          <w:rFonts w:asciiTheme="minorHAnsi" w:eastAsia="Calibri" w:hAnsiTheme="minorHAnsi" w:cs="Calibri"/>
          <w:color w:val="000000"/>
          <w:sz w:val="22"/>
          <w:szCs w:val="22"/>
          <w:lang w:eastAsia="zh-CN"/>
        </w:rPr>
        <w:t xml:space="preserve">Contact angles, hydrophobicity, surface free energy components and zeta potential measurements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and support materials (100 mM, pH 7 potassium chloride). Error values represent standard deviations of 3 independent experiments. </w:t>
      </w:r>
    </w:p>
    <w:tbl>
      <w:tblPr>
        <w:tblW w:w="8342" w:type="dxa"/>
        <w:tblLayout w:type="fixed"/>
        <w:tblLook w:val="0600" w:firstRow="0" w:lastRow="0" w:firstColumn="0" w:lastColumn="0" w:noHBand="1" w:noVBand="1"/>
      </w:tblPr>
      <w:tblGrid>
        <w:gridCol w:w="946"/>
        <w:gridCol w:w="510"/>
        <w:gridCol w:w="224"/>
        <w:gridCol w:w="1559"/>
        <w:gridCol w:w="1276"/>
        <w:gridCol w:w="425"/>
        <w:gridCol w:w="709"/>
        <w:gridCol w:w="708"/>
        <w:gridCol w:w="426"/>
        <w:gridCol w:w="567"/>
        <w:gridCol w:w="992"/>
      </w:tblGrid>
      <w:tr w:rsidR="00114AA3" w:rsidRPr="00C44D8C" w14:paraId="763D1F6E" w14:textId="77777777" w:rsidTr="00407878">
        <w:trPr>
          <w:cantSplit/>
        </w:trPr>
        <w:tc>
          <w:tcPr>
            <w:tcW w:w="1456" w:type="dxa"/>
            <w:gridSpan w:val="2"/>
            <w:tcBorders>
              <w:top w:val="single" w:sz="12" w:space="0" w:color="008000"/>
              <w:left w:val="nil"/>
              <w:bottom w:val="nil"/>
              <w:right w:val="nil"/>
            </w:tcBorders>
            <w:tcMar>
              <w:left w:w="120" w:type="dxa"/>
              <w:right w:w="120" w:type="dxa"/>
            </w:tcMar>
          </w:tcPr>
          <w:p w14:paraId="07F0B9D5"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c>
          <w:tcPr>
            <w:tcW w:w="3059" w:type="dxa"/>
            <w:gridSpan w:val="3"/>
            <w:tcBorders>
              <w:top w:val="single" w:sz="12" w:space="0" w:color="008000"/>
              <w:left w:val="nil"/>
              <w:bottom w:val="nil"/>
              <w:right w:val="single" w:sz="6" w:space="0" w:color="000000"/>
            </w:tcBorders>
            <w:tcMar>
              <w:left w:w="120" w:type="dxa"/>
              <w:right w:w="120" w:type="dxa"/>
            </w:tcMar>
          </w:tcPr>
          <w:p w14:paraId="3915E2D7"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Contact angle (degrees)</w:t>
            </w:r>
          </w:p>
        </w:tc>
        <w:tc>
          <w:tcPr>
            <w:tcW w:w="2835" w:type="dxa"/>
            <w:gridSpan w:val="5"/>
            <w:tcBorders>
              <w:top w:val="single" w:sz="12" w:space="0" w:color="008000"/>
              <w:left w:val="single" w:sz="6" w:space="0" w:color="000000"/>
              <w:bottom w:val="nil"/>
              <w:right w:val="single" w:sz="6" w:space="0" w:color="000000"/>
            </w:tcBorders>
            <w:tcMar>
              <w:left w:w="120" w:type="dxa"/>
              <w:right w:w="120" w:type="dxa"/>
            </w:tcMar>
          </w:tcPr>
          <w:p w14:paraId="17AC305E"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Surface free energy (mJ.m</w:t>
            </w:r>
            <w:r w:rsidRPr="00C44D8C">
              <w:rPr>
                <w:rFonts w:asciiTheme="minorHAnsi" w:eastAsia="Calibri" w:hAnsiTheme="minorHAnsi" w:cs="Calibri"/>
                <w:color w:val="000000"/>
                <w:sz w:val="22"/>
                <w:szCs w:val="22"/>
                <w:vertAlign w:val="superscript"/>
                <w:lang w:eastAsia="zh-CN"/>
              </w:rPr>
              <w:t>-2</w:t>
            </w:r>
            <w:r w:rsidRPr="00C44D8C">
              <w:rPr>
                <w:rFonts w:asciiTheme="minorHAnsi" w:eastAsia="Calibri" w:hAnsiTheme="minorHAnsi" w:cs="Calibri"/>
                <w:color w:val="000000"/>
                <w:sz w:val="22"/>
                <w:szCs w:val="22"/>
                <w:lang w:eastAsia="zh-CN"/>
              </w:rPr>
              <w:t>)</w:t>
            </w:r>
          </w:p>
        </w:tc>
        <w:tc>
          <w:tcPr>
            <w:tcW w:w="992" w:type="dxa"/>
            <w:tcBorders>
              <w:top w:val="single" w:sz="12" w:space="0" w:color="008000"/>
              <w:left w:val="single" w:sz="6" w:space="0" w:color="000000"/>
              <w:bottom w:val="nil"/>
              <w:right w:val="nil"/>
            </w:tcBorders>
            <w:tcMar>
              <w:left w:w="120" w:type="dxa"/>
              <w:right w:w="120" w:type="dxa"/>
            </w:tcMar>
          </w:tcPr>
          <w:p w14:paraId="43C84CF5"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r>
      <w:tr w:rsidR="00114AA3" w:rsidRPr="00C44D8C" w14:paraId="247604B4" w14:textId="77777777" w:rsidTr="00407878">
        <w:trPr>
          <w:cantSplit/>
        </w:trPr>
        <w:tc>
          <w:tcPr>
            <w:tcW w:w="946" w:type="dxa"/>
            <w:tcBorders>
              <w:top w:val="nil"/>
              <w:left w:val="nil"/>
              <w:bottom w:val="single" w:sz="6" w:space="0" w:color="000000"/>
              <w:right w:val="nil"/>
            </w:tcBorders>
            <w:tcMar>
              <w:left w:w="120" w:type="dxa"/>
              <w:right w:w="120" w:type="dxa"/>
            </w:tcMar>
          </w:tcPr>
          <w:p w14:paraId="21EBA34B"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67E4301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Surface</w:t>
            </w:r>
          </w:p>
          <w:p w14:paraId="3816A765"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5820A5E1"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c>
          <w:tcPr>
            <w:tcW w:w="734" w:type="dxa"/>
            <w:gridSpan w:val="2"/>
            <w:tcBorders>
              <w:top w:val="nil"/>
              <w:left w:val="nil"/>
              <w:bottom w:val="single" w:sz="6" w:space="0" w:color="000000"/>
              <w:right w:val="nil"/>
            </w:tcBorders>
            <w:tcMar>
              <w:left w:w="120" w:type="dxa"/>
              <w:right w:w="120" w:type="dxa"/>
            </w:tcMar>
          </w:tcPr>
          <w:p w14:paraId="7788A0EC"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4F92650F"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Water</w:t>
            </w:r>
          </w:p>
          <w:p w14:paraId="3E3BDCDF"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19952A7C"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c>
          <w:tcPr>
            <w:tcW w:w="1559" w:type="dxa"/>
            <w:tcBorders>
              <w:top w:val="nil"/>
              <w:left w:val="nil"/>
              <w:bottom w:val="single" w:sz="6" w:space="0" w:color="000000"/>
              <w:right w:val="nil"/>
            </w:tcBorders>
            <w:tcMar>
              <w:left w:w="120" w:type="dxa"/>
              <w:right w:w="120" w:type="dxa"/>
            </w:tcMar>
          </w:tcPr>
          <w:p w14:paraId="0A8B97D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284DB155"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Diiodomethane</w:t>
            </w:r>
          </w:p>
          <w:p w14:paraId="4798DE9F"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4EA1644F"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20920FC8"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c>
          <w:tcPr>
            <w:tcW w:w="1276" w:type="dxa"/>
            <w:tcBorders>
              <w:top w:val="nil"/>
              <w:left w:val="nil"/>
              <w:bottom w:val="single" w:sz="6" w:space="0" w:color="000000"/>
              <w:right w:val="single" w:sz="6" w:space="0" w:color="000000"/>
            </w:tcBorders>
            <w:tcMar>
              <w:left w:w="120" w:type="dxa"/>
              <w:right w:w="120" w:type="dxa"/>
            </w:tcMar>
          </w:tcPr>
          <w:p w14:paraId="1E742068"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680C0AD3"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Formamide</w:t>
            </w:r>
          </w:p>
          <w:p w14:paraId="310820B6"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1FDBBAB7"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4B96B4B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c>
          <w:tcPr>
            <w:tcW w:w="425" w:type="dxa"/>
            <w:tcBorders>
              <w:top w:val="nil"/>
              <w:left w:val="single" w:sz="6" w:space="0" w:color="000000"/>
              <w:bottom w:val="single" w:sz="6" w:space="0" w:color="000000"/>
              <w:right w:val="nil"/>
            </w:tcBorders>
            <w:tcMar>
              <w:left w:w="120" w:type="dxa"/>
              <w:right w:w="120" w:type="dxa"/>
            </w:tcMar>
          </w:tcPr>
          <w:p w14:paraId="6FA030E3"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6F80753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γ</w:t>
            </w:r>
            <w:r w:rsidRPr="00C44D8C">
              <w:rPr>
                <w:rFonts w:asciiTheme="minorHAnsi" w:eastAsia="Calibri" w:hAnsiTheme="minorHAnsi" w:cs="Calibri"/>
                <w:color w:val="000000"/>
                <w:sz w:val="22"/>
                <w:szCs w:val="22"/>
                <w:vertAlign w:val="superscript"/>
                <w:lang w:eastAsia="zh-CN"/>
              </w:rPr>
              <w:t>LW</w:t>
            </w:r>
          </w:p>
          <w:p w14:paraId="2E1CB50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1E5A0B3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7F6C0002"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c>
          <w:tcPr>
            <w:tcW w:w="709" w:type="dxa"/>
            <w:tcBorders>
              <w:top w:val="nil"/>
              <w:left w:val="nil"/>
              <w:bottom w:val="single" w:sz="6" w:space="0" w:color="000000"/>
              <w:right w:val="nil"/>
            </w:tcBorders>
            <w:tcMar>
              <w:left w:w="120" w:type="dxa"/>
              <w:right w:w="120" w:type="dxa"/>
            </w:tcMar>
          </w:tcPr>
          <w:p w14:paraId="6D49492E"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2F895EA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γ</w:t>
            </w:r>
            <w:r w:rsidRPr="00C44D8C">
              <w:rPr>
                <w:rFonts w:asciiTheme="minorHAnsi" w:eastAsia="Calibri" w:hAnsiTheme="minorHAnsi" w:cs="Calibri"/>
                <w:color w:val="000000"/>
                <w:sz w:val="22"/>
                <w:szCs w:val="22"/>
                <w:vertAlign w:val="superscript"/>
                <w:lang w:eastAsia="zh-CN"/>
              </w:rPr>
              <w:t>AB</w:t>
            </w:r>
          </w:p>
          <w:p w14:paraId="4401DB27"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c>
          <w:tcPr>
            <w:tcW w:w="708" w:type="dxa"/>
            <w:tcBorders>
              <w:top w:val="nil"/>
              <w:left w:val="nil"/>
              <w:bottom w:val="single" w:sz="6" w:space="0" w:color="000000"/>
              <w:right w:val="nil"/>
            </w:tcBorders>
            <w:tcMar>
              <w:left w:w="120" w:type="dxa"/>
              <w:right w:w="120" w:type="dxa"/>
            </w:tcMar>
          </w:tcPr>
          <w:p w14:paraId="16414BE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620888A5"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γ</w:t>
            </w:r>
            <w:r w:rsidRPr="00C44D8C">
              <w:rPr>
                <w:rFonts w:asciiTheme="minorHAnsi" w:eastAsia="Calibri" w:hAnsiTheme="minorHAnsi" w:cs="Calibri"/>
                <w:color w:val="000000"/>
                <w:sz w:val="22"/>
                <w:szCs w:val="22"/>
                <w:vertAlign w:val="superscript"/>
                <w:lang w:eastAsia="zh-CN"/>
              </w:rPr>
              <w:t>+</w:t>
            </w:r>
          </w:p>
          <w:p w14:paraId="7C6F0B96"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4B1C7E0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c>
          <w:tcPr>
            <w:tcW w:w="426" w:type="dxa"/>
            <w:tcBorders>
              <w:top w:val="nil"/>
              <w:left w:val="nil"/>
              <w:bottom w:val="single" w:sz="6" w:space="0" w:color="000000"/>
              <w:right w:val="nil"/>
            </w:tcBorders>
            <w:tcMar>
              <w:left w:w="120" w:type="dxa"/>
              <w:right w:w="120" w:type="dxa"/>
            </w:tcMar>
          </w:tcPr>
          <w:p w14:paraId="1F1C2BE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16CD612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γ</w:t>
            </w:r>
            <w:r w:rsidRPr="00C44D8C">
              <w:rPr>
                <w:rFonts w:asciiTheme="minorHAnsi" w:eastAsia="Calibri" w:hAnsiTheme="minorHAnsi" w:cs="Calibri"/>
                <w:color w:val="000000"/>
                <w:sz w:val="22"/>
                <w:szCs w:val="22"/>
                <w:vertAlign w:val="superscript"/>
                <w:lang w:eastAsia="zh-CN"/>
              </w:rPr>
              <w:t>-</w:t>
            </w:r>
          </w:p>
          <w:p w14:paraId="601541B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tc>
        <w:tc>
          <w:tcPr>
            <w:tcW w:w="567" w:type="dxa"/>
            <w:tcBorders>
              <w:top w:val="nil"/>
              <w:left w:val="nil"/>
              <w:bottom w:val="single" w:sz="6" w:space="0" w:color="000000"/>
              <w:right w:val="single" w:sz="6" w:space="0" w:color="000000"/>
            </w:tcBorders>
            <w:tcMar>
              <w:left w:w="120" w:type="dxa"/>
              <w:right w:w="120" w:type="dxa"/>
            </w:tcMar>
          </w:tcPr>
          <w:p w14:paraId="2A8762A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p>
          <w:p w14:paraId="26DF56B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γ</w:t>
            </w:r>
            <w:r w:rsidRPr="00C44D8C">
              <w:rPr>
                <w:rFonts w:asciiTheme="minorHAnsi" w:eastAsia="Calibri" w:hAnsiTheme="minorHAnsi" w:cs="Calibri"/>
                <w:color w:val="000000"/>
                <w:sz w:val="22"/>
                <w:szCs w:val="22"/>
                <w:vertAlign w:val="superscript"/>
                <w:lang w:eastAsia="zh-CN"/>
              </w:rPr>
              <w:t>total</w:t>
            </w:r>
          </w:p>
        </w:tc>
        <w:tc>
          <w:tcPr>
            <w:tcW w:w="992" w:type="dxa"/>
            <w:tcBorders>
              <w:top w:val="nil"/>
              <w:left w:val="single" w:sz="6" w:space="0" w:color="000000"/>
              <w:bottom w:val="single" w:sz="6" w:space="0" w:color="000000"/>
              <w:right w:val="nil"/>
            </w:tcBorders>
            <w:tcMar>
              <w:left w:w="120" w:type="dxa"/>
              <w:right w:w="120" w:type="dxa"/>
            </w:tcMar>
          </w:tcPr>
          <w:p w14:paraId="610F567E"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Zeta potential (mV)</w:t>
            </w:r>
          </w:p>
        </w:tc>
      </w:tr>
      <w:tr w:rsidR="00114AA3" w:rsidRPr="00C44D8C" w14:paraId="048346D1" w14:textId="77777777" w:rsidTr="00407878">
        <w:trPr>
          <w:cantSplit/>
        </w:trPr>
        <w:tc>
          <w:tcPr>
            <w:tcW w:w="946" w:type="dxa"/>
            <w:tcBorders>
              <w:top w:val="single" w:sz="6" w:space="0" w:color="000000"/>
              <w:left w:val="nil"/>
              <w:bottom w:val="nil"/>
              <w:right w:val="nil"/>
            </w:tcBorders>
            <w:tcMar>
              <w:left w:w="120" w:type="dxa"/>
              <w:right w:w="120" w:type="dxa"/>
            </w:tcMar>
          </w:tcPr>
          <w:p w14:paraId="5E9F3A91"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i/>
                <w:color w:val="000000"/>
                <w:sz w:val="22"/>
                <w:szCs w:val="22"/>
                <w:lang w:eastAsia="zh-CN"/>
              </w:rPr>
              <w:t>M. barkeri</w:t>
            </w:r>
          </w:p>
        </w:tc>
        <w:tc>
          <w:tcPr>
            <w:tcW w:w="734" w:type="dxa"/>
            <w:gridSpan w:val="2"/>
            <w:tcBorders>
              <w:top w:val="single" w:sz="6" w:space="0" w:color="000000"/>
              <w:left w:val="nil"/>
              <w:bottom w:val="nil"/>
              <w:right w:val="nil"/>
            </w:tcBorders>
            <w:tcMar>
              <w:left w:w="120" w:type="dxa"/>
              <w:right w:w="120" w:type="dxa"/>
            </w:tcMar>
          </w:tcPr>
          <w:p w14:paraId="1D96A9F7"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8±2</w:t>
            </w:r>
          </w:p>
        </w:tc>
        <w:tc>
          <w:tcPr>
            <w:tcW w:w="1559" w:type="dxa"/>
            <w:tcBorders>
              <w:top w:val="single" w:sz="6" w:space="0" w:color="000000"/>
              <w:left w:val="nil"/>
              <w:bottom w:val="nil"/>
              <w:right w:val="nil"/>
            </w:tcBorders>
            <w:tcMar>
              <w:left w:w="120" w:type="dxa"/>
              <w:right w:w="120" w:type="dxa"/>
            </w:tcMar>
          </w:tcPr>
          <w:p w14:paraId="380321A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47±5</w:t>
            </w:r>
          </w:p>
        </w:tc>
        <w:tc>
          <w:tcPr>
            <w:tcW w:w="1276" w:type="dxa"/>
            <w:tcBorders>
              <w:top w:val="single" w:sz="6" w:space="0" w:color="000000"/>
              <w:left w:val="nil"/>
              <w:bottom w:val="nil"/>
              <w:right w:val="single" w:sz="6" w:space="0" w:color="000000"/>
            </w:tcBorders>
            <w:tcMar>
              <w:left w:w="120" w:type="dxa"/>
              <w:right w:w="120" w:type="dxa"/>
            </w:tcMar>
          </w:tcPr>
          <w:p w14:paraId="6B2FC57C"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9±1</w:t>
            </w:r>
          </w:p>
        </w:tc>
        <w:tc>
          <w:tcPr>
            <w:tcW w:w="425" w:type="dxa"/>
            <w:tcBorders>
              <w:top w:val="single" w:sz="6" w:space="0" w:color="000000"/>
              <w:left w:val="single" w:sz="6" w:space="0" w:color="000000"/>
              <w:bottom w:val="nil"/>
              <w:right w:val="nil"/>
            </w:tcBorders>
            <w:tcMar>
              <w:left w:w="120" w:type="dxa"/>
              <w:right w:w="120" w:type="dxa"/>
            </w:tcMar>
          </w:tcPr>
          <w:p w14:paraId="22B80582"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36</w:t>
            </w:r>
          </w:p>
        </w:tc>
        <w:tc>
          <w:tcPr>
            <w:tcW w:w="709" w:type="dxa"/>
            <w:tcBorders>
              <w:top w:val="single" w:sz="6" w:space="0" w:color="000000"/>
              <w:left w:val="nil"/>
              <w:bottom w:val="nil"/>
              <w:right w:val="nil"/>
            </w:tcBorders>
            <w:tcMar>
              <w:left w:w="120" w:type="dxa"/>
              <w:right w:w="120" w:type="dxa"/>
            </w:tcMar>
          </w:tcPr>
          <w:p w14:paraId="08B80F97"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21.42</w:t>
            </w:r>
          </w:p>
        </w:tc>
        <w:tc>
          <w:tcPr>
            <w:tcW w:w="708" w:type="dxa"/>
            <w:tcBorders>
              <w:top w:val="single" w:sz="6" w:space="0" w:color="000000"/>
              <w:left w:val="nil"/>
              <w:bottom w:val="nil"/>
              <w:right w:val="nil"/>
            </w:tcBorders>
            <w:tcMar>
              <w:left w:w="120" w:type="dxa"/>
              <w:right w:w="120" w:type="dxa"/>
            </w:tcMar>
          </w:tcPr>
          <w:p w14:paraId="183AD2A6"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2.12</w:t>
            </w:r>
          </w:p>
        </w:tc>
        <w:tc>
          <w:tcPr>
            <w:tcW w:w="426" w:type="dxa"/>
            <w:tcBorders>
              <w:top w:val="single" w:sz="6" w:space="0" w:color="000000"/>
              <w:left w:val="nil"/>
              <w:bottom w:val="nil"/>
              <w:right w:val="nil"/>
            </w:tcBorders>
            <w:tcMar>
              <w:left w:w="120" w:type="dxa"/>
              <w:right w:w="120" w:type="dxa"/>
            </w:tcMar>
          </w:tcPr>
          <w:p w14:paraId="23AFE606"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54</w:t>
            </w:r>
          </w:p>
        </w:tc>
        <w:tc>
          <w:tcPr>
            <w:tcW w:w="567" w:type="dxa"/>
            <w:tcBorders>
              <w:top w:val="single" w:sz="6" w:space="0" w:color="000000"/>
              <w:left w:val="nil"/>
              <w:bottom w:val="nil"/>
              <w:right w:val="single" w:sz="6" w:space="0" w:color="000000"/>
            </w:tcBorders>
            <w:tcMar>
              <w:left w:w="120" w:type="dxa"/>
              <w:right w:w="120" w:type="dxa"/>
            </w:tcMar>
          </w:tcPr>
          <w:p w14:paraId="2E18451B"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57</w:t>
            </w:r>
          </w:p>
        </w:tc>
        <w:tc>
          <w:tcPr>
            <w:tcW w:w="992" w:type="dxa"/>
            <w:tcBorders>
              <w:top w:val="single" w:sz="6" w:space="0" w:color="000000"/>
              <w:left w:val="single" w:sz="6" w:space="0" w:color="000000"/>
              <w:bottom w:val="nil"/>
              <w:right w:val="nil"/>
            </w:tcBorders>
            <w:tcMar>
              <w:left w:w="120" w:type="dxa"/>
              <w:right w:w="120" w:type="dxa"/>
            </w:tcMar>
          </w:tcPr>
          <w:p w14:paraId="741FD6E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-20±3</w:t>
            </w:r>
          </w:p>
        </w:tc>
      </w:tr>
      <w:tr w:rsidR="00114AA3" w:rsidRPr="00C44D8C" w14:paraId="5A6F57A2" w14:textId="77777777" w:rsidTr="00407878">
        <w:trPr>
          <w:cantSplit/>
        </w:trPr>
        <w:tc>
          <w:tcPr>
            <w:tcW w:w="946" w:type="dxa"/>
            <w:tcBorders>
              <w:top w:val="nil"/>
              <w:left w:val="nil"/>
              <w:bottom w:val="nil"/>
              <w:right w:val="nil"/>
            </w:tcBorders>
            <w:tcMar>
              <w:left w:w="120" w:type="dxa"/>
              <w:right w:w="120" w:type="dxa"/>
            </w:tcMar>
          </w:tcPr>
          <w:p w14:paraId="3B4061B8"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PE</w:t>
            </w:r>
          </w:p>
        </w:tc>
        <w:tc>
          <w:tcPr>
            <w:tcW w:w="734" w:type="dxa"/>
            <w:gridSpan w:val="2"/>
            <w:tcBorders>
              <w:top w:val="nil"/>
              <w:left w:val="nil"/>
              <w:bottom w:val="nil"/>
              <w:right w:val="nil"/>
            </w:tcBorders>
            <w:tcMar>
              <w:left w:w="120" w:type="dxa"/>
              <w:right w:w="120" w:type="dxa"/>
            </w:tcMar>
          </w:tcPr>
          <w:p w14:paraId="2FF1A69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77±9</w:t>
            </w:r>
          </w:p>
        </w:tc>
        <w:tc>
          <w:tcPr>
            <w:tcW w:w="1559" w:type="dxa"/>
            <w:tcBorders>
              <w:top w:val="nil"/>
              <w:left w:val="nil"/>
              <w:bottom w:val="nil"/>
              <w:right w:val="nil"/>
            </w:tcBorders>
            <w:tcMar>
              <w:left w:w="120" w:type="dxa"/>
              <w:right w:w="120" w:type="dxa"/>
            </w:tcMar>
          </w:tcPr>
          <w:p w14:paraId="6491958C"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42±4</w:t>
            </w:r>
          </w:p>
        </w:tc>
        <w:tc>
          <w:tcPr>
            <w:tcW w:w="1276" w:type="dxa"/>
            <w:tcBorders>
              <w:top w:val="nil"/>
              <w:left w:val="nil"/>
              <w:bottom w:val="nil"/>
              <w:right w:val="single" w:sz="6" w:space="0" w:color="000000"/>
            </w:tcBorders>
            <w:tcMar>
              <w:left w:w="120" w:type="dxa"/>
              <w:right w:w="120" w:type="dxa"/>
            </w:tcMar>
          </w:tcPr>
          <w:p w14:paraId="402304C2"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59±1</w:t>
            </w:r>
          </w:p>
        </w:tc>
        <w:tc>
          <w:tcPr>
            <w:tcW w:w="425" w:type="dxa"/>
            <w:tcBorders>
              <w:top w:val="nil"/>
              <w:left w:val="single" w:sz="6" w:space="0" w:color="000000"/>
              <w:bottom w:val="nil"/>
              <w:right w:val="nil"/>
            </w:tcBorders>
            <w:tcMar>
              <w:left w:w="120" w:type="dxa"/>
              <w:right w:w="120" w:type="dxa"/>
            </w:tcMar>
          </w:tcPr>
          <w:p w14:paraId="1A7A6BB5"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39</w:t>
            </w:r>
          </w:p>
        </w:tc>
        <w:tc>
          <w:tcPr>
            <w:tcW w:w="709" w:type="dxa"/>
            <w:tcBorders>
              <w:top w:val="nil"/>
              <w:left w:val="nil"/>
              <w:bottom w:val="nil"/>
              <w:right w:val="nil"/>
            </w:tcBorders>
            <w:tcMar>
              <w:left w:w="120" w:type="dxa"/>
              <w:right w:w="120" w:type="dxa"/>
            </w:tcMar>
          </w:tcPr>
          <w:p w14:paraId="6582C17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0.75</w:t>
            </w:r>
          </w:p>
        </w:tc>
        <w:tc>
          <w:tcPr>
            <w:tcW w:w="708" w:type="dxa"/>
            <w:tcBorders>
              <w:top w:val="nil"/>
              <w:left w:val="nil"/>
              <w:bottom w:val="nil"/>
              <w:right w:val="nil"/>
            </w:tcBorders>
            <w:tcMar>
              <w:left w:w="120" w:type="dxa"/>
              <w:right w:w="120" w:type="dxa"/>
            </w:tcMar>
          </w:tcPr>
          <w:p w14:paraId="6443D8D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0.02</w:t>
            </w:r>
          </w:p>
        </w:tc>
        <w:tc>
          <w:tcPr>
            <w:tcW w:w="426" w:type="dxa"/>
            <w:tcBorders>
              <w:top w:val="nil"/>
              <w:left w:val="nil"/>
              <w:bottom w:val="nil"/>
              <w:right w:val="nil"/>
            </w:tcBorders>
            <w:tcMar>
              <w:left w:w="120" w:type="dxa"/>
              <w:right w:w="120" w:type="dxa"/>
            </w:tcMar>
          </w:tcPr>
          <w:p w14:paraId="19E30401"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9</w:t>
            </w:r>
          </w:p>
        </w:tc>
        <w:tc>
          <w:tcPr>
            <w:tcW w:w="567" w:type="dxa"/>
            <w:tcBorders>
              <w:top w:val="nil"/>
              <w:left w:val="nil"/>
              <w:bottom w:val="nil"/>
              <w:right w:val="single" w:sz="6" w:space="0" w:color="000000"/>
            </w:tcBorders>
            <w:tcMar>
              <w:left w:w="120" w:type="dxa"/>
              <w:right w:w="120" w:type="dxa"/>
            </w:tcMar>
          </w:tcPr>
          <w:p w14:paraId="351D67E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39</w:t>
            </w:r>
          </w:p>
        </w:tc>
        <w:tc>
          <w:tcPr>
            <w:tcW w:w="992" w:type="dxa"/>
            <w:tcBorders>
              <w:top w:val="nil"/>
              <w:left w:val="single" w:sz="6" w:space="0" w:color="000000"/>
              <w:bottom w:val="nil"/>
              <w:right w:val="nil"/>
            </w:tcBorders>
            <w:tcMar>
              <w:left w:w="120" w:type="dxa"/>
              <w:right w:w="120" w:type="dxa"/>
            </w:tcMar>
          </w:tcPr>
          <w:p w14:paraId="442855C6"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-20±5</w:t>
            </w:r>
          </w:p>
        </w:tc>
      </w:tr>
      <w:tr w:rsidR="00114AA3" w:rsidRPr="00C44D8C" w14:paraId="1A7798B7" w14:textId="77777777" w:rsidTr="00407878">
        <w:trPr>
          <w:cantSplit/>
        </w:trPr>
        <w:tc>
          <w:tcPr>
            <w:tcW w:w="946" w:type="dxa"/>
            <w:tcBorders>
              <w:top w:val="nil"/>
              <w:left w:val="nil"/>
              <w:bottom w:val="nil"/>
              <w:right w:val="nil"/>
            </w:tcBorders>
            <w:tcMar>
              <w:left w:w="120" w:type="dxa"/>
              <w:right w:w="120" w:type="dxa"/>
            </w:tcMar>
          </w:tcPr>
          <w:p w14:paraId="7C81BF5C"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PP</w:t>
            </w:r>
          </w:p>
        </w:tc>
        <w:tc>
          <w:tcPr>
            <w:tcW w:w="734" w:type="dxa"/>
            <w:gridSpan w:val="2"/>
            <w:tcBorders>
              <w:top w:val="nil"/>
              <w:left w:val="nil"/>
              <w:bottom w:val="nil"/>
              <w:right w:val="nil"/>
            </w:tcBorders>
            <w:tcMar>
              <w:left w:w="120" w:type="dxa"/>
              <w:right w:w="120" w:type="dxa"/>
            </w:tcMar>
          </w:tcPr>
          <w:p w14:paraId="189720A3"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91±7</w:t>
            </w:r>
          </w:p>
        </w:tc>
        <w:tc>
          <w:tcPr>
            <w:tcW w:w="1559" w:type="dxa"/>
            <w:tcBorders>
              <w:top w:val="nil"/>
              <w:left w:val="nil"/>
              <w:bottom w:val="nil"/>
              <w:right w:val="nil"/>
            </w:tcBorders>
            <w:tcMar>
              <w:left w:w="120" w:type="dxa"/>
              <w:right w:w="120" w:type="dxa"/>
            </w:tcMar>
          </w:tcPr>
          <w:p w14:paraId="78CBDC9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42±3</w:t>
            </w:r>
          </w:p>
        </w:tc>
        <w:tc>
          <w:tcPr>
            <w:tcW w:w="1276" w:type="dxa"/>
            <w:tcBorders>
              <w:top w:val="nil"/>
              <w:left w:val="nil"/>
              <w:bottom w:val="nil"/>
              <w:right w:val="single" w:sz="6" w:space="0" w:color="000000"/>
            </w:tcBorders>
            <w:tcMar>
              <w:left w:w="120" w:type="dxa"/>
              <w:right w:w="120" w:type="dxa"/>
            </w:tcMar>
          </w:tcPr>
          <w:p w14:paraId="3FD967D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67±3</w:t>
            </w:r>
          </w:p>
        </w:tc>
        <w:tc>
          <w:tcPr>
            <w:tcW w:w="425" w:type="dxa"/>
            <w:tcBorders>
              <w:top w:val="nil"/>
              <w:left w:val="single" w:sz="6" w:space="0" w:color="000000"/>
              <w:bottom w:val="nil"/>
              <w:right w:val="nil"/>
            </w:tcBorders>
            <w:tcMar>
              <w:left w:w="120" w:type="dxa"/>
              <w:right w:w="120" w:type="dxa"/>
            </w:tcMar>
          </w:tcPr>
          <w:p w14:paraId="12726453"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39</w:t>
            </w:r>
          </w:p>
        </w:tc>
        <w:tc>
          <w:tcPr>
            <w:tcW w:w="709" w:type="dxa"/>
            <w:tcBorders>
              <w:top w:val="nil"/>
              <w:left w:val="nil"/>
              <w:bottom w:val="nil"/>
              <w:right w:val="nil"/>
            </w:tcBorders>
            <w:tcMar>
              <w:left w:w="120" w:type="dxa"/>
              <w:right w:w="120" w:type="dxa"/>
            </w:tcMar>
          </w:tcPr>
          <w:p w14:paraId="497F923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0.40</w:t>
            </w:r>
          </w:p>
        </w:tc>
        <w:tc>
          <w:tcPr>
            <w:tcW w:w="708" w:type="dxa"/>
            <w:tcBorders>
              <w:top w:val="nil"/>
              <w:left w:val="nil"/>
              <w:bottom w:val="nil"/>
              <w:right w:val="nil"/>
            </w:tcBorders>
            <w:tcMar>
              <w:left w:w="120" w:type="dxa"/>
              <w:right w:w="120" w:type="dxa"/>
            </w:tcMar>
          </w:tcPr>
          <w:p w14:paraId="3E199F4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0.02</w:t>
            </w:r>
          </w:p>
        </w:tc>
        <w:tc>
          <w:tcPr>
            <w:tcW w:w="426" w:type="dxa"/>
            <w:tcBorders>
              <w:top w:val="nil"/>
              <w:left w:val="nil"/>
              <w:bottom w:val="nil"/>
              <w:right w:val="nil"/>
            </w:tcBorders>
            <w:tcMar>
              <w:left w:w="120" w:type="dxa"/>
              <w:right w:w="120" w:type="dxa"/>
            </w:tcMar>
          </w:tcPr>
          <w:p w14:paraId="77FF2E77"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w:t>
            </w:r>
          </w:p>
        </w:tc>
        <w:tc>
          <w:tcPr>
            <w:tcW w:w="567" w:type="dxa"/>
            <w:tcBorders>
              <w:top w:val="nil"/>
              <w:left w:val="nil"/>
              <w:bottom w:val="nil"/>
              <w:right w:val="single" w:sz="6" w:space="0" w:color="000000"/>
            </w:tcBorders>
            <w:tcMar>
              <w:left w:w="120" w:type="dxa"/>
              <w:right w:w="120" w:type="dxa"/>
            </w:tcMar>
          </w:tcPr>
          <w:p w14:paraId="13A691BB"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39</w:t>
            </w:r>
          </w:p>
        </w:tc>
        <w:tc>
          <w:tcPr>
            <w:tcW w:w="992" w:type="dxa"/>
            <w:tcBorders>
              <w:top w:val="nil"/>
              <w:left w:val="single" w:sz="6" w:space="0" w:color="000000"/>
              <w:bottom w:val="nil"/>
              <w:right w:val="nil"/>
            </w:tcBorders>
            <w:tcMar>
              <w:left w:w="120" w:type="dxa"/>
              <w:right w:w="120" w:type="dxa"/>
            </w:tcMar>
          </w:tcPr>
          <w:p w14:paraId="78316834"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-12±3</w:t>
            </w:r>
          </w:p>
        </w:tc>
      </w:tr>
      <w:tr w:rsidR="00114AA3" w:rsidRPr="00C44D8C" w14:paraId="52C11E35" w14:textId="77777777" w:rsidTr="00407878">
        <w:trPr>
          <w:cantSplit/>
        </w:trPr>
        <w:tc>
          <w:tcPr>
            <w:tcW w:w="946" w:type="dxa"/>
            <w:tcBorders>
              <w:top w:val="nil"/>
              <w:left w:val="nil"/>
              <w:bottom w:val="nil"/>
              <w:right w:val="nil"/>
            </w:tcBorders>
            <w:tcMar>
              <w:left w:w="120" w:type="dxa"/>
              <w:right w:w="120" w:type="dxa"/>
            </w:tcMar>
          </w:tcPr>
          <w:p w14:paraId="792A67D6"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PVC</w:t>
            </w:r>
          </w:p>
        </w:tc>
        <w:tc>
          <w:tcPr>
            <w:tcW w:w="734" w:type="dxa"/>
            <w:gridSpan w:val="2"/>
            <w:tcBorders>
              <w:top w:val="nil"/>
              <w:left w:val="nil"/>
              <w:bottom w:val="nil"/>
              <w:right w:val="nil"/>
            </w:tcBorders>
            <w:tcMar>
              <w:left w:w="120" w:type="dxa"/>
              <w:right w:w="120" w:type="dxa"/>
            </w:tcMar>
          </w:tcPr>
          <w:p w14:paraId="6ADE8842"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72±6</w:t>
            </w:r>
          </w:p>
        </w:tc>
        <w:tc>
          <w:tcPr>
            <w:tcW w:w="1559" w:type="dxa"/>
            <w:tcBorders>
              <w:top w:val="nil"/>
              <w:left w:val="nil"/>
              <w:bottom w:val="nil"/>
              <w:right w:val="nil"/>
            </w:tcBorders>
            <w:tcMar>
              <w:left w:w="120" w:type="dxa"/>
              <w:right w:w="120" w:type="dxa"/>
            </w:tcMar>
          </w:tcPr>
          <w:p w14:paraId="761E2E34"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29±5</w:t>
            </w:r>
          </w:p>
        </w:tc>
        <w:tc>
          <w:tcPr>
            <w:tcW w:w="1276" w:type="dxa"/>
            <w:tcBorders>
              <w:top w:val="nil"/>
              <w:left w:val="nil"/>
              <w:bottom w:val="nil"/>
              <w:right w:val="single" w:sz="6" w:space="0" w:color="000000"/>
            </w:tcBorders>
            <w:tcMar>
              <w:left w:w="120" w:type="dxa"/>
              <w:right w:w="120" w:type="dxa"/>
            </w:tcMar>
          </w:tcPr>
          <w:p w14:paraId="7EDF862F"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58±3</w:t>
            </w:r>
          </w:p>
        </w:tc>
        <w:tc>
          <w:tcPr>
            <w:tcW w:w="425" w:type="dxa"/>
            <w:tcBorders>
              <w:top w:val="nil"/>
              <w:left w:val="single" w:sz="6" w:space="0" w:color="000000"/>
              <w:bottom w:val="nil"/>
              <w:right w:val="nil"/>
            </w:tcBorders>
            <w:tcMar>
              <w:left w:w="120" w:type="dxa"/>
              <w:right w:w="120" w:type="dxa"/>
            </w:tcMar>
          </w:tcPr>
          <w:p w14:paraId="602BBEAB"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45</w:t>
            </w:r>
          </w:p>
        </w:tc>
        <w:tc>
          <w:tcPr>
            <w:tcW w:w="709" w:type="dxa"/>
            <w:tcBorders>
              <w:top w:val="nil"/>
              <w:left w:val="nil"/>
              <w:bottom w:val="nil"/>
              <w:right w:val="nil"/>
            </w:tcBorders>
            <w:tcMar>
              <w:left w:w="120" w:type="dxa"/>
              <w:right w:w="120" w:type="dxa"/>
            </w:tcMar>
          </w:tcPr>
          <w:p w14:paraId="093EA13B"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3.39</w:t>
            </w:r>
          </w:p>
        </w:tc>
        <w:tc>
          <w:tcPr>
            <w:tcW w:w="708" w:type="dxa"/>
            <w:tcBorders>
              <w:top w:val="nil"/>
              <w:left w:val="nil"/>
              <w:bottom w:val="nil"/>
              <w:right w:val="nil"/>
            </w:tcBorders>
            <w:tcMar>
              <w:left w:w="120" w:type="dxa"/>
              <w:right w:w="120" w:type="dxa"/>
            </w:tcMar>
          </w:tcPr>
          <w:p w14:paraId="42BC189E"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0.21</w:t>
            </w:r>
          </w:p>
        </w:tc>
        <w:tc>
          <w:tcPr>
            <w:tcW w:w="426" w:type="dxa"/>
            <w:tcBorders>
              <w:top w:val="nil"/>
              <w:left w:val="nil"/>
              <w:bottom w:val="nil"/>
              <w:right w:val="nil"/>
            </w:tcBorders>
            <w:tcMar>
              <w:left w:w="120" w:type="dxa"/>
              <w:right w:w="120" w:type="dxa"/>
            </w:tcMar>
          </w:tcPr>
          <w:p w14:paraId="45094A7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14</w:t>
            </w:r>
          </w:p>
        </w:tc>
        <w:tc>
          <w:tcPr>
            <w:tcW w:w="567" w:type="dxa"/>
            <w:tcBorders>
              <w:top w:val="nil"/>
              <w:left w:val="nil"/>
              <w:bottom w:val="nil"/>
              <w:right w:val="single" w:sz="6" w:space="0" w:color="000000"/>
            </w:tcBorders>
            <w:tcMar>
              <w:left w:w="120" w:type="dxa"/>
              <w:right w:w="120" w:type="dxa"/>
            </w:tcMar>
          </w:tcPr>
          <w:p w14:paraId="107B057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48</w:t>
            </w:r>
          </w:p>
        </w:tc>
        <w:tc>
          <w:tcPr>
            <w:tcW w:w="992" w:type="dxa"/>
            <w:tcBorders>
              <w:top w:val="nil"/>
              <w:left w:val="single" w:sz="6" w:space="0" w:color="000000"/>
              <w:bottom w:val="nil"/>
              <w:right w:val="nil"/>
            </w:tcBorders>
            <w:tcMar>
              <w:left w:w="120" w:type="dxa"/>
              <w:right w:w="120" w:type="dxa"/>
            </w:tcMar>
          </w:tcPr>
          <w:p w14:paraId="5A8C485E"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-5±3</w:t>
            </w:r>
          </w:p>
        </w:tc>
      </w:tr>
      <w:tr w:rsidR="00114AA3" w:rsidRPr="00C44D8C" w14:paraId="6E1D4873" w14:textId="77777777" w:rsidTr="00407878">
        <w:trPr>
          <w:cantSplit/>
        </w:trPr>
        <w:tc>
          <w:tcPr>
            <w:tcW w:w="946" w:type="dxa"/>
            <w:tcBorders>
              <w:top w:val="nil"/>
              <w:left w:val="nil"/>
              <w:bottom w:val="nil"/>
              <w:right w:val="nil"/>
            </w:tcBorders>
            <w:tcMar>
              <w:left w:w="120" w:type="dxa"/>
              <w:right w:w="120" w:type="dxa"/>
            </w:tcMar>
          </w:tcPr>
          <w:p w14:paraId="55B0ABD9"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PETG</w:t>
            </w:r>
          </w:p>
        </w:tc>
        <w:tc>
          <w:tcPr>
            <w:tcW w:w="734" w:type="dxa"/>
            <w:gridSpan w:val="2"/>
            <w:tcBorders>
              <w:top w:val="nil"/>
              <w:left w:val="nil"/>
              <w:bottom w:val="nil"/>
              <w:right w:val="nil"/>
            </w:tcBorders>
            <w:tcMar>
              <w:left w:w="120" w:type="dxa"/>
              <w:right w:w="120" w:type="dxa"/>
            </w:tcMar>
          </w:tcPr>
          <w:p w14:paraId="75BD8071"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76±1</w:t>
            </w:r>
          </w:p>
        </w:tc>
        <w:tc>
          <w:tcPr>
            <w:tcW w:w="1559" w:type="dxa"/>
            <w:tcBorders>
              <w:top w:val="nil"/>
              <w:left w:val="nil"/>
              <w:bottom w:val="nil"/>
              <w:right w:val="nil"/>
            </w:tcBorders>
            <w:tcMar>
              <w:left w:w="120" w:type="dxa"/>
              <w:right w:w="120" w:type="dxa"/>
            </w:tcMar>
          </w:tcPr>
          <w:p w14:paraId="01F55C6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36±5</w:t>
            </w:r>
          </w:p>
        </w:tc>
        <w:tc>
          <w:tcPr>
            <w:tcW w:w="1276" w:type="dxa"/>
            <w:tcBorders>
              <w:top w:val="nil"/>
              <w:left w:val="nil"/>
              <w:bottom w:val="nil"/>
              <w:right w:val="single" w:sz="6" w:space="0" w:color="000000"/>
            </w:tcBorders>
            <w:tcMar>
              <w:left w:w="120" w:type="dxa"/>
              <w:right w:w="120" w:type="dxa"/>
            </w:tcMar>
          </w:tcPr>
          <w:p w14:paraId="3CE582F3"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60±1</w:t>
            </w:r>
          </w:p>
        </w:tc>
        <w:tc>
          <w:tcPr>
            <w:tcW w:w="425" w:type="dxa"/>
            <w:tcBorders>
              <w:top w:val="nil"/>
              <w:left w:val="single" w:sz="6" w:space="0" w:color="000000"/>
              <w:bottom w:val="nil"/>
              <w:right w:val="nil"/>
            </w:tcBorders>
            <w:tcMar>
              <w:left w:w="120" w:type="dxa"/>
              <w:right w:w="120" w:type="dxa"/>
            </w:tcMar>
          </w:tcPr>
          <w:p w14:paraId="4BDD8756"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42</w:t>
            </w:r>
          </w:p>
        </w:tc>
        <w:tc>
          <w:tcPr>
            <w:tcW w:w="709" w:type="dxa"/>
            <w:tcBorders>
              <w:top w:val="nil"/>
              <w:left w:val="nil"/>
              <w:bottom w:val="nil"/>
              <w:right w:val="nil"/>
            </w:tcBorders>
            <w:tcMar>
              <w:left w:w="120" w:type="dxa"/>
              <w:right w:w="120" w:type="dxa"/>
            </w:tcMar>
          </w:tcPr>
          <w:p w14:paraId="0C9DBDAB"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1.80</w:t>
            </w:r>
          </w:p>
        </w:tc>
        <w:tc>
          <w:tcPr>
            <w:tcW w:w="708" w:type="dxa"/>
            <w:tcBorders>
              <w:top w:val="nil"/>
              <w:left w:val="nil"/>
              <w:bottom w:val="nil"/>
              <w:right w:val="nil"/>
            </w:tcBorders>
            <w:tcMar>
              <w:left w:w="120" w:type="dxa"/>
              <w:right w:w="120" w:type="dxa"/>
            </w:tcMar>
          </w:tcPr>
          <w:p w14:paraId="1A821148"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0.08</w:t>
            </w:r>
          </w:p>
        </w:tc>
        <w:tc>
          <w:tcPr>
            <w:tcW w:w="426" w:type="dxa"/>
            <w:tcBorders>
              <w:top w:val="nil"/>
              <w:left w:val="nil"/>
              <w:bottom w:val="nil"/>
              <w:right w:val="nil"/>
            </w:tcBorders>
            <w:tcMar>
              <w:left w:w="120" w:type="dxa"/>
              <w:right w:w="120" w:type="dxa"/>
            </w:tcMar>
          </w:tcPr>
          <w:p w14:paraId="0ADDA79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11</w:t>
            </w:r>
          </w:p>
        </w:tc>
        <w:tc>
          <w:tcPr>
            <w:tcW w:w="567" w:type="dxa"/>
            <w:tcBorders>
              <w:top w:val="nil"/>
              <w:left w:val="nil"/>
              <w:bottom w:val="nil"/>
              <w:right w:val="single" w:sz="6" w:space="0" w:color="000000"/>
            </w:tcBorders>
            <w:tcMar>
              <w:left w:w="120" w:type="dxa"/>
              <w:right w:w="120" w:type="dxa"/>
            </w:tcMar>
          </w:tcPr>
          <w:p w14:paraId="7471FFD3"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44</w:t>
            </w:r>
          </w:p>
        </w:tc>
        <w:tc>
          <w:tcPr>
            <w:tcW w:w="992" w:type="dxa"/>
            <w:tcBorders>
              <w:top w:val="nil"/>
              <w:left w:val="single" w:sz="6" w:space="0" w:color="000000"/>
              <w:bottom w:val="nil"/>
              <w:right w:val="nil"/>
            </w:tcBorders>
            <w:tcMar>
              <w:left w:w="120" w:type="dxa"/>
              <w:right w:w="120" w:type="dxa"/>
            </w:tcMar>
          </w:tcPr>
          <w:p w14:paraId="54702A8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-11±5</w:t>
            </w:r>
          </w:p>
        </w:tc>
      </w:tr>
      <w:tr w:rsidR="00114AA3" w:rsidRPr="00C44D8C" w14:paraId="1A2E9DA4" w14:textId="77777777" w:rsidTr="00407878">
        <w:trPr>
          <w:cantSplit/>
        </w:trPr>
        <w:tc>
          <w:tcPr>
            <w:tcW w:w="946" w:type="dxa"/>
            <w:tcBorders>
              <w:top w:val="nil"/>
              <w:left w:val="nil"/>
              <w:bottom w:val="nil"/>
              <w:right w:val="nil"/>
            </w:tcBorders>
            <w:tcMar>
              <w:left w:w="120" w:type="dxa"/>
              <w:right w:w="120" w:type="dxa"/>
            </w:tcMar>
          </w:tcPr>
          <w:p w14:paraId="74714CD3"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PVDF</w:t>
            </w:r>
          </w:p>
        </w:tc>
        <w:tc>
          <w:tcPr>
            <w:tcW w:w="734" w:type="dxa"/>
            <w:gridSpan w:val="2"/>
            <w:tcBorders>
              <w:top w:val="nil"/>
              <w:left w:val="nil"/>
              <w:bottom w:val="nil"/>
              <w:right w:val="nil"/>
            </w:tcBorders>
            <w:tcMar>
              <w:left w:w="120" w:type="dxa"/>
              <w:right w:w="120" w:type="dxa"/>
            </w:tcMar>
          </w:tcPr>
          <w:p w14:paraId="399D2DF8"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77±6</w:t>
            </w:r>
          </w:p>
        </w:tc>
        <w:tc>
          <w:tcPr>
            <w:tcW w:w="1559" w:type="dxa"/>
            <w:tcBorders>
              <w:top w:val="nil"/>
              <w:left w:val="nil"/>
              <w:bottom w:val="nil"/>
              <w:right w:val="nil"/>
            </w:tcBorders>
            <w:tcMar>
              <w:left w:w="120" w:type="dxa"/>
              <w:right w:w="120" w:type="dxa"/>
            </w:tcMar>
          </w:tcPr>
          <w:p w14:paraId="5DF94B8C"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46±3</w:t>
            </w:r>
          </w:p>
        </w:tc>
        <w:tc>
          <w:tcPr>
            <w:tcW w:w="1276" w:type="dxa"/>
            <w:tcBorders>
              <w:top w:val="nil"/>
              <w:left w:val="nil"/>
              <w:bottom w:val="nil"/>
              <w:right w:val="single" w:sz="6" w:space="0" w:color="000000"/>
            </w:tcBorders>
            <w:tcMar>
              <w:left w:w="120" w:type="dxa"/>
              <w:right w:w="120" w:type="dxa"/>
            </w:tcMar>
          </w:tcPr>
          <w:p w14:paraId="3FD42C80"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64±4</w:t>
            </w:r>
          </w:p>
        </w:tc>
        <w:tc>
          <w:tcPr>
            <w:tcW w:w="425" w:type="dxa"/>
            <w:tcBorders>
              <w:top w:val="nil"/>
              <w:left w:val="single" w:sz="6" w:space="0" w:color="000000"/>
              <w:bottom w:val="nil"/>
              <w:right w:val="nil"/>
            </w:tcBorders>
            <w:tcMar>
              <w:left w:w="120" w:type="dxa"/>
              <w:right w:w="120" w:type="dxa"/>
            </w:tcMar>
          </w:tcPr>
          <w:p w14:paraId="49BC00E4"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36</w:t>
            </w:r>
          </w:p>
        </w:tc>
        <w:tc>
          <w:tcPr>
            <w:tcW w:w="709" w:type="dxa"/>
            <w:tcBorders>
              <w:top w:val="nil"/>
              <w:left w:val="nil"/>
              <w:bottom w:val="nil"/>
              <w:right w:val="nil"/>
            </w:tcBorders>
            <w:tcMar>
              <w:left w:w="120" w:type="dxa"/>
              <w:right w:w="120" w:type="dxa"/>
            </w:tcMar>
          </w:tcPr>
          <w:p w14:paraId="4C7B153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1.00</w:t>
            </w:r>
          </w:p>
        </w:tc>
        <w:tc>
          <w:tcPr>
            <w:tcW w:w="708" w:type="dxa"/>
            <w:tcBorders>
              <w:top w:val="nil"/>
              <w:left w:val="nil"/>
              <w:bottom w:val="nil"/>
              <w:right w:val="nil"/>
            </w:tcBorders>
            <w:tcMar>
              <w:left w:w="120" w:type="dxa"/>
              <w:right w:w="120" w:type="dxa"/>
            </w:tcMar>
          </w:tcPr>
          <w:p w14:paraId="28EA2937"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0.02</w:t>
            </w:r>
          </w:p>
        </w:tc>
        <w:tc>
          <w:tcPr>
            <w:tcW w:w="426" w:type="dxa"/>
            <w:tcBorders>
              <w:top w:val="nil"/>
              <w:left w:val="nil"/>
              <w:bottom w:val="nil"/>
              <w:right w:val="nil"/>
            </w:tcBorders>
            <w:tcMar>
              <w:left w:w="120" w:type="dxa"/>
              <w:right w:w="120" w:type="dxa"/>
            </w:tcMar>
          </w:tcPr>
          <w:p w14:paraId="3A3BDFF9"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11</w:t>
            </w:r>
          </w:p>
        </w:tc>
        <w:tc>
          <w:tcPr>
            <w:tcW w:w="567" w:type="dxa"/>
            <w:tcBorders>
              <w:top w:val="nil"/>
              <w:left w:val="nil"/>
              <w:bottom w:val="nil"/>
              <w:right w:val="single" w:sz="6" w:space="0" w:color="000000"/>
            </w:tcBorders>
            <w:tcMar>
              <w:left w:w="120" w:type="dxa"/>
              <w:right w:w="120" w:type="dxa"/>
            </w:tcMar>
          </w:tcPr>
          <w:p w14:paraId="260C27C1"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37</w:t>
            </w:r>
          </w:p>
        </w:tc>
        <w:tc>
          <w:tcPr>
            <w:tcW w:w="992" w:type="dxa"/>
            <w:tcBorders>
              <w:top w:val="nil"/>
              <w:left w:val="single" w:sz="6" w:space="0" w:color="000000"/>
              <w:bottom w:val="nil"/>
              <w:right w:val="nil"/>
            </w:tcBorders>
            <w:tcMar>
              <w:left w:w="120" w:type="dxa"/>
              <w:right w:w="120" w:type="dxa"/>
            </w:tcMar>
          </w:tcPr>
          <w:p w14:paraId="3B5DD7D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-39±4</w:t>
            </w:r>
          </w:p>
        </w:tc>
      </w:tr>
      <w:tr w:rsidR="00114AA3" w:rsidRPr="00C44D8C" w14:paraId="02F12F44" w14:textId="77777777" w:rsidTr="00407878">
        <w:trPr>
          <w:cantSplit/>
        </w:trPr>
        <w:tc>
          <w:tcPr>
            <w:tcW w:w="946" w:type="dxa"/>
            <w:tcBorders>
              <w:top w:val="nil"/>
              <w:left w:val="nil"/>
              <w:bottom w:val="single" w:sz="12" w:space="0" w:color="008000"/>
              <w:right w:val="nil"/>
            </w:tcBorders>
            <w:tcMar>
              <w:left w:w="120" w:type="dxa"/>
              <w:right w:w="120" w:type="dxa"/>
            </w:tcMar>
          </w:tcPr>
          <w:p w14:paraId="09624F15"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PTFE</w:t>
            </w:r>
          </w:p>
        </w:tc>
        <w:tc>
          <w:tcPr>
            <w:tcW w:w="734" w:type="dxa"/>
            <w:gridSpan w:val="2"/>
            <w:tcBorders>
              <w:top w:val="nil"/>
              <w:left w:val="nil"/>
              <w:bottom w:val="single" w:sz="12" w:space="0" w:color="008000"/>
              <w:right w:val="nil"/>
            </w:tcBorders>
            <w:tcMar>
              <w:left w:w="120" w:type="dxa"/>
              <w:right w:w="120" w:type="dxa"/>
            </w:tcMar>
          </w:tcPr>
          <w:p w14:paraId="1B809C71"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116±2</w:t>
            </w:r>
          </w:p>
        </w:tc>
        <w:tc>
          <w:tcPr>
            <w:tcW w:w="1559" w:type="dxa"/>
            <w:tcBorders>
              <w:top w:val="nil"/>
              <w:left w:val="nil"/>
              <w:bottom w:val="single" w:sz="12" w:space="0" w:color="008000"/>
              <w:right w:val="nil"/>
            </w:tcBorders>
            <w:tcMar>
              <w:left w:w="120" w:type="dxa"/>
              <w:right w:w="120" w:type="dxa"/>
            </w:tcMar>
          </w:tcPr>
          <w:p w14:paraId="2FFE5D4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63±8</w:t>
            </w:r>
          </w:p>
        </w:tc>
        <w:tc>
          <w:tcPr>
            <w:tcW w:w="1276" w:type="dxa"/>
            <w:tcBorders>
              <w:top w:val="nil"/>
              <w:left w:val="nil"/>
              <w:bottom w:val="single" w:sz="12" w:space="0" w:color="008000"/>
              <w:right w:val="single" w:sz="6" w:space="0" w:color="000000"/>
            </w:tcBorders>
            <w:tcMar>
              <w:left w:w="120" w:type="dxa"/>
              <w:right w:w="120" w:type="dxa"/>
            </w:tcMar>
          </w:tcPr>
          <w:p w14:paraId="4C4DA93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81±7</w:t>
            </w:r>
          </w:p>
        </w:tc>
        <w:tc>
          <w:tcPr>
            <w:tcW w:w="425" w:type="dxa"/>
            <w:tcBorders>
              <w:top w:val="nil"/>
              <w:left w:val="single" w:sz="6" w:space="0" w:color="000000"/>
              <w:bottom w:val="single" w:sz="12" w:space="0" w:color="008000"/>
              <w:right w:val="nil"/>
            </w:tcBorders>
            <w:tcMar>
              <w:left w:w="120" w:type="dxa"/>
              <w:right w:w="120" w:type="dxa"/>
            </w:tcMar>
          </w:tcPr>
          <w:p w14:paraId="5A625C54"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27</w:t>
            </w:r>
          </w:p>
        </w:tc>
        <w:tc>
          <w:tcPr>
            <w:tcW w:w="709" w:type="dxa"/>
            <w:tcBorders>
              <w:top w:val="nil"/>
              <w:left w:val="nil"/>
              <w:bottom w:val="single" w:sz="12" w:space="0" w:color="008000"/>
              <w:right w:val="nil"/>
            </w:tcBorders>
            <w:tcMar>
              <w:left w:w="120" w:type="dxa"/>
              <w:right w:w="120" w:type="dxa"/>
            </w:tcMar>
          </w:tcPr>
          <w:p w14:paraId="0A7CF42F"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1.15</w:t>
            </w:r>
          </w:p>
        </w:tc>
        <w:tc>
          <w:tcPr>
            <w:tcW w:w="708" w:type="dxa"/>
            <w:tcBorders>
              <w:top w:val="nil"/>
              <w:left w:val="nil"/>
              <w:bottom w:val="single" w:sz="12" w:space="0" w:color="008000"/>
              <w:right w:val="nil"/>
            </w:tcBorders>
            <w:tcMar>
              <w:left w:w="120" w:type="dxa"/>
              <w:right w:w="120" w:type="dxa"/>
            </w:tcMar>
          </w:tcPr>
          <w:p w14:paraId="76B0779A"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0.23</w:t>
            </w:r>
          </w:p>
        </w:tc>
        <w:tc>
          <w:tcPr>
            <w:tcW w:w="426" w:type="dxa"/>
            <w:tcBorders>
              <w:top w:val="nil"/>
              <w:left w:val="nil"/>
              <w:bottom w:val="single" w:sz="12" w:space="0" w:color="008000"/>
              <w:right w:val="nil"/>
            </w:tcBorders>
            <w:tcMar>
              <w:left w:w="120" w:type="dxa"/>
              <w:right w:w="120" w:type="dxa"/>
            </w:tcMar>
          </w:tcPr>
          <w:p w14:paraId="6AE9488D"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1</w:t>
            </w:r>
          </w:p>
        </w:tc>
        <w:tc>
          <w:tcPr>
            <w:tcW w:w="567" w:type="dxa"/>
            <w:tcBorders>
              <w:top w:val="nil"/>
              <w:left w:val="nil"/>
              <w:bottom w:val="single" w:sz="12" w:space="0" w:color="008000"/>
              <w:right w:val="single" w:sz="6" w:space="0" w:color="000000"/>
            </w:tcBorders>
            <w:tcMar>
              <w:left w:w="120" w:type="dxa"/>
              <w:right w:w="120" w:type="dxa"/>
            </w:tcMar>
          </w:tcPr>
          <w:p w14:paraId="129141EF"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28</w:t>
            </w:r>
          </w:p>
        </w:tc>
        <w:tc>
          <w:tcPr>
            <w:tcW w:w="992" w:type="dxa"/>
            <w:tcBorders>
              <w:top w:val="nil"/>
              <w:left w:val="single" w:sz="6" w:space="0" w:color="000000"/>
              <w:bottom w:val="single" w:sz="12" w:space="0" w:color="008000"/>
              <w:right w:val="nil"/>
            </w:tcBorders>
            <w:tcMar>
              <w:left w:w="120" w:type="dxa"/>
              <w:right w:w="120" w:type="dxa"/>
            </w:tcMar>
          </w:tcPr>
          <w:p w14:paraId="699B3946" w14:textId="77777777" w:rsidR="00114AA3" w:rsidRPr="00C44D8C" w:rsidRDefault="00114AA3" w:rsidP="00C44D8C">
            <w:pPr>
              <w:spacing w:line="360" w:lineRule="auto"/>
              <w:ind w:left="-120"/>
              <w:jc w:val="center"/>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-6±5</w:t>
            </w:r>
          </w:p>
        </w:tc>
      </w:tr>
    </w:tbl>
    <w:p w14:paraId="79AEE857" w14:textId="77777777" w:rsidR="00114AA3" w:rsidRDefault="00114AA3" w:rsidP="00114AA3">
      <w:pPr>
        <w:spacing w:line="360" w:lineRule="auto"/>
        <w:rPr>
          <w:rFonts w:asciiTheme="minorHAnsi" w:eastAsia="Calibri" w:hAnsiTheme="minorHAnsi" w:cs="Calibri"/>
          <w:i/>
          <w:color w:val="000000"/>
          <w:sz w:val="22"/>
          <w:szCs w:val="22"/>
          <w:lang w:eastAsia="zh-CN"/>
        </w:rPr>
      </w:pPr>
    </w:p>
    <w:p w14:paraId="476A57F8" w14:textId="77777777" w:rsidR="00DF48F7" w:rsidRPr="00C44D8C" w:rsidRDefault="00DF48F7" w:rsidP="00114AA3">
      <w:pPr>
        <w:spacing w:line="360" w:lineRule="auto"/>
        <w:rPr>
          <w:rFonts w:asciiTheme="minorHAnsi" w:eastAsia="Calibri" w:hAnsiTheme="minorHAnsi" w:cs="Calibri"/>
          <w:i/>
          <w:color w:val="000000"/>
          <w:sz w:val="22"/>
          <w:szCs w:val="22"/>
          <w:lang w:eastAsia="zh-CN"/>
        </w:rPr>
      </w:pPr>
    </w:p>
    <w:p w14:paraId="138DC6B8" w14:textId="5E0F87E9"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All support materials had a van der Waals component (γ</w:t>
      </w:r>
      <w:r w:rsidRPr="00C44D8C">
        <w:rPr>
          <w:rFonts w:asciiTheme="minorHAnsi" w:eastAsia="Calibri" w:hAnsiTheme="minorHAnsi" w:cs="Calibri"/>
          <w:color w:val="000000"/>
          <w:sz w:val="22"/>
          <w:szCs w:val="22"/>
          <w:vertAlign w:val="superscript"/>
          <w:lang w:eastAsia="zh-CN"/>
        </w:rPr>
        <w:t>LW</w:t>
      </w:r>
      <w:r w:rsidRPr="00C44D8C">
        <w:rPr>
          <w:rFonts w:asciiTheme="minorHAnsi" w:eastAsia="Calibri" w:hAnsiTheme="minorHAnsi" w:cs="Calibri"/>
          <w:color w:val="000000"/>
          <w:sz w:val="22"/>
          <w:szCs w:val="22"/>
          <w:lang w:eastAsia="zh-CN"/>
        </w:rPr>
        <w:t>) that far exceeded the polar acid-base component (γ</w:t>
      </w:r>
      <w:r w:rsidRPr="00C44D8C">
        <w:rPr>
          <w:rFonts w:asciiTheme="minorHAnsi" w:eastAsia="Calibri" w:hAnsiTheme="minorHAnsi" w:cs="Calibri"/>
          <w:color w:val="000000"/>
          <w:sz w:val="22"/>
          <w:szCs w:val="22"/>
          <w:vertAlign w:val="superscript"/>
          <w:lang w:eastAsia="zh-CN"/>
        </w:rPr>
        <w:t>AB</w:t>
      </w:r>
      <w:r w:rsidRPr="003463EC">
        <w:rPr>
          <w:rFonts w:asciiTheme="minorHAnsi" w:eastAsia="Calibri" w:hAnsiTheme="minorHAnsi" w:cs="Calibri"/>
          <w:color w:val="000000"/>
          <w:sz w:val="22"/>
          <w:szCs w:val="22"/>
          <w:lang w:eastAsia="zh-CN"/>
        </w:rPr>
        <w:t>). Van Oss et al. (1988)</w:t>
      </w:r>
      <w:r w:rsidRPr="00C44D8C">
        <w:rPr>
          <w:rFonts w:asciiTheme="minorHAnsi" w:eastAsia="Calibri" w:hAnsiTheme="minorHAnsi" w:cs="Calibri"/>
          <w:color w:val="000000"/>
          <w:sz w:val="22"/>
          <w:szCs w:val="22"/>
          <w:lang w:eastAsia="zh-CN"/>
        </w:rPr>
        <w:t xml:space="preserve"> </w:t>
      </w:r>
      <w:r w:rsidR="00313A45">
        <w:rPr>
          <w:rFonts w:asciiTheme="minorHAnsi" w:eastAsia="Calibri" w:hAnsiTheme="minorHAnsi" w:cs="Calibri"/>
          <w:color w:val="000000"/>
          <w:sz w:val="22"/>
          <w:szCs w:val="22"/>
          <w:lang w:eastAsia="zh-CN"/>
        </w:rPr>
        <w:t>showed that</w:t>
      </w:r>
      <w:r w:rsidRPr="00C44D8C">
        <w:rPr>
          <w:rFonts w:asciiTheme="minorHAnsi" w:eastAsia="Calibri" w:hAnsiTheme="minorHAnsi" w:cs="Calibri"/>
          <w:color w:val="000000"/>
          <w:sz w:val="22"/>
          <w:szCs w:val="22"/>
          <w:lang w:eastAsia="zh-CN"/>
        </w:rPr>
        <w:t xml:space="preserve"> </w:t>
      </w:r>
      <w:r w:rsidR="00313A45">
        <w:rPr>
          <w:rFonts w:asciiTheme="minorHAnsi" w:eastAsia="Calibri" w:hAnsiTheme="minorHAnsi" w:cs="Calibri"/>
          <w:color w:val="000000"/>
          <w:sz w:val="22"/>
          <w:szCs w:val="22"/>
          <w:lang w:eastAsia="zh-CN"/>
        </w:rPr>
        <w:t>organic materials, such as plastics</w:t>
      </w:r>
      <w:r w:rsidRPr="00C44D8C">
        <w:rPr>
          <w:rFonts w:asciiTheme="minorHAnsi" w:eastAsia="Calibri" w:hAnsiTheme="minorHAnsi" w:cs="Calibri"/>
          <w:color w:val="000000"/>
          <w:sz w:val="22"/>
          <w:szCs w:val="22"/>
          <w:lang w:eastAsia="zh-CN"/>
        </w:rPr>
        <w:t xml:space="preserve"> </w:t>
      </w:r>
      <w:r w:rsidR="00313A45">
        <w:rPr>
          <w:rFonts w:asciiTheme="minorHAnsi" w:eastAsia="Calibri" w:hAnsiTheme="minorHAnsi" w:cs="Calibri"/>
          <w:color w:val="000000"/>
          <w:sz w:val="22"/>
          <w:szCs w:val="22"/>
          <w:lang w:eastAsia="zh-CN"/>
        </w:rPr>
        <w:t>typically possessed</w:t>
      </w:r>
      <w:r w:rsidRPr="00C44D8C">
        <w:rPr>
          <w:rFonts w:asciiTheme="minorHAnsi" w:eastAsia="Calibri" w:hAnsiTheme="minorHAnsi" w:cs="Calibri"/>
          <w:color w:val="000000"/>
          <w:sz w:val="22"/>
          <w:szCs w:val="22"/>
          <w:lang w:eastAsia="zh-CN"/>
        </w:rPr>
        <w:t xml:space="preserve"> γ</w:t>
      </w:r>
      <w:r w:rsidRPr="00C44D8C">
        <w:rPr>
          <w:rFonts w:asciiTheme="minorHAnsi" w:eastAsia="Calibri" w:hAnsiTheme="minorHAnsi" w:cs="Calibri"/>
          <w:color w:val="000000"/>
          <w:sz w:val="22"/>
          <w:szCs w:val="22"/>
          <w:vertAlign w:val="superscript"/>
          <w:lang w:eastAsia="zh-CN"/>
        </w:rPr>
        <w:t>LW</w:t>
      </w:r>
      <w:r w:rsidRPr="00C44D8C">
        <w:rPr>
          <w:rFonts w:asciiTheme="minorHAnsi" w:eastAsia="Calibri" w:hAnsiTheme="minorHAnsi" w:cs="Calibri"/>
          <w:color w:val="000000"/>
          <w:sz w:val="22"/>
          <w:szCs w:val="22"/>
          <w:lang w:eastAsia="zh-CN"/>
        </w:rPr>
        <w:t xml:space="preserve"> </w:t>
      </w:r>
      <w:r w:rsidR="00313A45">
        <w:rPr>
          <w:rFonts w:asciiTheme="minorHAnsi" w:eastAsia="Calibri" w:hAnsiTheme="minorHAnsi" w:cs="Calibri"/>
          <w:color w:val="000000"/>
          <w:sz w:val="22"/>
          <w:szCs w:val="22"/>
          <w:lang w:eastAsia="zh-CN"/>
        </w:rPr>
        <w:t xml:space="preserve">values </w:t>
      </w:r>
      <w:r w:rsidRPr="00C44D8C">
        <w:rPr>
          <w:rFonts w:asciiTheme="minorHAnsi" w:eastAsia="Calibri" w:hAnsiTheme="minorHAnsi" w:cs="Calibri"/>
          <w:color w:val="000000"/>
          <w:sz w:val="22"/>
          <w:szCs w:val="22"/>
          <w:lang w:eastAsia="zh-CN"/>
        </w:rPr>
        <w:t>of 40 mJ.m</w:t>
      </w:r>
      <w:r w:rsidRPr="00C44D8C">
        <w:rPr>
          <w:rFonts w:asciiTheme="minorHAnsi" w:eastAsia="Calibri" w:hAnsiTheme="minorHAnsi" w:cs="Calibri"/>
          <w:color w:val="000000"/>
          <w:sz w:val="22"/>
          <w:szCs w:val="22"/>
          <w:vertAlign w:val="superscript"/>
          <w:lang w:eastAsia="zh-CN"/>
        </w:rPr>
        <w:t>-2</w:t>
      </w:r>
      <w:r w:rsidR="003463EC">
        <w:rPr>
          <w:rFonts w:asciiTheme="minorHAnsi" w:eastAsia="Calibri" w:hAnsiTheme="minorHAnsi" w:cs="Calibri"/>
          <w:color w:val="000000"/>
          <w:sz w:val="22"/>
          <w:szCs w:val="22"/>
          <w:vertAlign w:val="superscript"/>
          <w:lang w:eastAsia="zh-CN"/>
        </w:rPr>
        <w:t xml:space="preserve"> </w:t>
      </w:r>
      <w:r w:rsidR="003463EC">
        <w:rPr>
          <w:rFonts w:asciiTheme="minorHAnsi" w:eastAsia="Calibri" w:hAnsiTheme="minorHAnsi" w:cs="Calibri"/>
          <w:color w:val="000000"/>
          <w:sz w:val="22"/>
          <w:szCs w:val="22"/>
          <w:vertAlign w:val="superscript"/>
          <w:lang w:eastAsia="zh-CN"/>
        </w:rPr>
        <w:fldChar w:fldCharType="begin" w:fldLock="1"/>
      </w:r>
      <w:r w:rsidR="00AF47D2">
        <w:rPr>
          <w:rFonts w:asciiTheme="minorHAnsi" w:eastAsia="Calibri" w:hAnsiTheme="minorHAnsi" w:cs="Calibri"/>
          <w:color w:val="000000"/>
          <w:sz w:val="22"/>
          <w:szCs w:val="22"/>
          <w:vertAlign w:val="superscript"/>
          <w:lang w:eastAsia="zh-CN"/>
        </w:rPr>
        <w:instrText>ADDIN CSL_CITATION { "citationItems" : [ { "id" : "ITEM-1", "itemData" : { "DOI" : "10.1021/cr00088a006", "ISSN" : "0009-2665", "author" : [ { "dropping-particle" : "", "family" : "Oss", "given" : "Carel J.", "non-dropping-particle" : "Van", "parse-names" : false, "suffix" : "" }, { "dropping-particle" : "", "family" : "Chaudhury", "given" : "Manoj K.", "non-dropping-particle" : "", "parse-names" : false, "suffix" : "" }, { "dropping-particle" : "", "family" : "Good", "given" : "Robert J.", "non-dropping-particle" : "", "parse-names" : false, "suffix" : "" } ], "container-title" : "Chemical Reviews", "id" : "ITEM-1", "issue" : "6", "issued" : { "date-parts" : [ [ "1988", "9" ] ] }, "page" : "927-941", "title" : "Interfacial Lifshitz-van der Waals and polar interactions in macroscopic systems", "type" : "article-journal", "volume" : "88" }, "uris" : [ "http://www.mendeley.com/documents/?uuid=fa5f49bc-e129-4817-9d97-1b55b85315c6" ] } ], "mendeley" : { "formattedCitation" : "[76]", "plainTextFormattedCitation" : "[76]", "previouslyFormattedCitation" : "[76]" }, "properties" : { "noteIndex" : 0 }, "schema" : "https://github.com/citation-style-language/schema/raw/master/csl-citation.json" }</w:instrText>
      </w:r>
      <w:r w:rsidR="003463EC">
        <w:rPr>
          <w:rFonts w:asciiTheme="minorHAnsi" w:eastAsia="Calibri" w:hAnsiTheme="minorHAnsi" w:cs="Calibri"/>
          <w:color w:val="000000"/>
          <w:sz w:val="22"/>
          <w:szCs w:val="22"/>
          <w:vertAlign w:val="superscript"/>
          <w:lang w:eastAsia="zh-CN"/>
        </w:rPr>
        <w:fldChar w:fldCharType="separate"/>
      </w:r>
      <w:r w:rsidR="00AF47D2" w:rsidRPr="00AF47D2">
        <w:rPr>
          <w:rFonts w:asciiTheme="minorHAnsi" w:eastAsia="Calibri" w:hAnsiTheme="minorHAnsi" w:cs="Calibri"/>
          <w:noProof/>
          <w:color w:val="000000"/>
          <w:sz w:val="22"/>
          <w:szCs w:val="22"/>
          <w:lang w:eastAsia="zh-CN"/>
        </w:rPr>
        <w:t>[76]</w:t>
      </w:r>
      <w:r w:rsidR="003463EC">
        <w:rPr>
          <w:rFonts w:asciiTheme="minorHAnsi" w:eastAsia="Calibri" w:hAnsiTheme="minorHAnsi" w:cs="Calibri"/>
          <w:color w:val="000000"/>
          <w:sz w:val="22"/>
          <w:szCs w:val="22"/>
          <w:vertAlign w:val="superscript"/>
          <w:lang w:eastAsia="zh-CN"/>
        </w:rPr>
        <w:fldChar w:fldCharType="end"/>
      </w:r>
      <w:r w:rsidRPr="00C44D8C">
        <w:rPr>
          <w:rFonts w:asciiTheme="minorHAnsi" w:eastAsia="Calibri" w:hAnsiTheme="minorHAnsi" w:cs="Calibri"/>
          <w:color w:val="000000"/>
          <w:sz w:val="22"/>
          <w:szCs w:val="22"/>
          <w:lang w:eastAsia="zh-CN"/>
        </w:rPr>
        <w:t>, which is in accordance with these results.</w:t>
      </w:r>
    </w:p>
    <w:p w14:paraId="410D4F85" w14:textId="5DAB9B8A" w:rsidR="00436CD0" w:rsidRPr="00C44D8C" w:rsidRDefault="00313A45" w:rsidP="00436CD0">
      <w:pPr>
        <w:spacing w:line="360" w:lineRule="auto"/>
        <w:ind w:firstLine="720"/>
        <w:rPr>
          <w:rFonts w:asciiTheme="minorHAnsi" w:eastAsia="Calibri" w:hAnsiTheme="minorHAnsi" w:cs="Calibri"/>
          <w:color w:val="000000"/>
          <w:sz w:val="22"/>
          <w:szCs w:val="22"/>
          <w:lang w:eastAsia="zh-CN"/>
        </w:rPr>
      </w:pPr>
      <w:r>
        <w:rPr>
          <w:rFonts w:asciiTheme="minorHAnsi" w:eastAsia="Calibri" w:hAnsiTheme="minorHAnsi" w:cs="Calibri"/>
          <w:color w:val="000000"/>
          <w:sz w:val="22"/>
          <w:szCs w:val="22"/>
          <w:lang w:eastAsia="zh-CN"/>
        </w:rPr>
        <w:t>H</w:t>
      </w:r>
      <w:r w:rsidR="00436CD0" w:rsidRPr="00C44D8C">
        <w:rPr>
          <w:rFonts w:asciiTheme="minorHAnsi" w:eastAsia="Calibri" w:hAnsiTheme="minorHAnsi" w:cs="Calibri"/>
          <w:color w:val="000000"/>
          <w:sz w:val="22"/>
          <w:szCs w:val="22"/>
          <w:lang w:eastAsia="zh-CN"/>
        </w:rPr>
        <w:t>aving a water contact angle of 8</w:t>
      </w:r>
      <w:r w:rsidR="00436CD0" w:rsidRPr="00C44D8C">
        <w:rPr>
          <w:rFonts w:asciiTheme="minorHAnsi" w:eastAsia="Calibri" w:hAnsiTheme="minorHAnsi" w:cs="Calibri"/>
          <w:color w:val="000000"/>
          <w:sz w:val="22"/>
          <w:szCs w:val="22"/>
          <w:vertAlign w:val="superscript"/>
          <w:lang w:eastAsia="zh-CN"/>
        </w:rPr>
        <w:t>o</w:t>
      </w:r>
      <w:r w:rsidR="00436CD0" w:rsidRPr="00C44D8C">
        <w:rPr>
          <w:rFonts w:asciiTheme="minorHAnsi" w:eastAsia="Calibri" w:hAnsiTheme="minorHAnsi" w:cs="Calibri"/>
          <w:color w:val="000000"/>
          <w:sz w:val="22"/>
          <w:szCs w:val="22"/>
          <w:lang w:eastAsia="zh-CN"/>
        </w:rPr>
        <w:t>,</w:t>
      </w:r>
      <w:r w:rsidR="00436CD0" w:rsidRPr="00C44D8C">
        <w:rPr>
          <w:rFonts w:asciiTheme="minorHAnsi" w:eastAsia="Calibri" w:hAnsiTheme="minorHAnsi" w:cs="Calibri"/>
          <w:color w:val="000000"/>
          <w:sz w:val="22"/>
          <w:szCs w:val="22"/>
          <w:vertAlign w:val="superscript"/>
          <w:lang w:eastAsia="zh-CN"/>
        </w:rPr>
        <w:t xml:space="preserve">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w:t>
      </w:r>
      <w:r w:rsidR="00436CD0" w:rsidRPr="00C44D8C">
        <w:rPr>
          <w:rFonts w:asciiTheme="minorHAnsi" w:eastAsia="Calibri" w:hAnsiTheme="minorHAnsi" w:cs="Calibri"/>
          <w:color w:val="000000"/>
          <w:sz w:val="22"/>
          <w:szCs w:val="22"/>
          <w:lang w:eastAsia="zh-CN"/>
        </w:rPr>
        <w:t xml:space="preserve">had the most hydrophilic surface compared to the support materials. </w:t>
      </w:r>
      <w:r>
        <w:rPr>
          <w:rFonts w:asciiTheme="minorHAnsi" w:eastAsia="Calibri" w:hAnsiTheme="minorHAnsi" w:cs="Calibri"/>
          <w:color w:val="000000"/>
          <w:sz w:val="22"/>
          <w:szCs w:val="22"/>
          <w:lang w:eastAsia="zh-CN"/>
        </w:rPr>
        <w:t>This is in accordance with the finding that m</w:t>
      </w:r>
      <w:r w:rsidR="00436CD0" w:rsidRPr="00C44D8C">
        <w:rPr>
          <w:rFonts w:asciiTheme="minorHAnsi" w:eastAsia="Calibri" w:hAnsiTheme="minorHAnsi" w:cs="Calibri"/>
          <w:color w:val="000000"/>
          <w:sz w:val="22"/>
          <w:szCs w:val="22"/>
          <w:lang w:eastAsia="zh-CN"/>
        </w:rPr>
        <w:t>ost microorganism</w:t>
      </w:r>
      <w:r>
        <w:rPr>
          <w:rFonts w:asciiTheme="minorHAnsi" w:eastAsia="Calibri" w:hAnsiTheme="minorHAnsi" w:cs="Calibri"/>
          <w:color w:val="000000"/>
          <w:sz w:val="22"/>
          <w:szCs w:val="22"/>
          <w:lang w:eastAsia="zh-CN"/>
        </w:rPr>
        <w:t xml:space="preserve">s possess hydrophilic surfaces </w:t>
      </w:r>
      <w:r w:rsidR="00436CD0" w:rsidRPr="00C44D8C">
        <w:rPr>
          <w:rFonts w:asciiTheme="minorHAnsi" w:eastAsia="Calibri" w:hAnsiTheme="minorHAnsi" w:cs="Calibri"/>
          <w:color w:val="000000"/>
          <w:sz w:val="22"/>
          <w:szCs w:val="22"/>
          <w:lang w:eastAsia="zh-CN"/>
        </w:rPr>
        <w:t xml:space="preserve">with water contact angles less than 60˚ </w:t>
      </w:r>
      <w:r w:rsidR="003463EC">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"id" : "ITEM-2", "itemData" : { "DOI" : "10.1099/mic.0.29005-0", "ISSN" : "1350-0872", "PMID" : "16946262", "abstract" : "Most bacterial strains adhere poorly to poly(ethylene oxide) (PEO)-brush coatings, with the exception of a Pseudomonas aeruginosa strain. The aim of this study was to find factors determining whether P. aeruginosa strains do or do not adhere to a PEO-brush coating in a parallel plate flow chamber. On the basis of their adhesion, a distinction could be made between three adhesive and three non-adhesive strains of P. aeruginosa, while bacterial motilities and zeta potentials were comparable for all six strains. However, water contact angles indicated that the adhesive strains were much more hydrophobic than the non-adhesive strains. Furthermore, only adhesive strains released surfactive extracellular substances, which may be engaged in attractive interactions with the PEO chains. Atomic force microscopy showed that the adhesion energy, measured from the retract curves of a bacterial-coated cantilever from a brush coating, was significantly more negative for adhesive strains than for non-adhesive strains (P&lt;0.001). Through surface thermodynamic and extended-DLVO (Derjaguin, Landau, Verwey, Overbeek) analyses, these stronger adhesion energies could be attributed to acid-base interactions. However, the energies of adhesion of all strains to a brush coating were small when compared with their energies of adhesion to a glass surface. Accordingly, even the adhesive P. aeruginosa strains could be easily removed from a PEO-brush coating by the passage of a liquid-air interface. In conclusion, cell surface hydrophobicity and surfactant release are the main factors involved in adhesion of P. aeruginosa strains to PEO-brush coatings.", "author" : [ { "dropping-particle" : "", "family" : "Roosjen", "given" : "Astrid", "non-dropping-particle" : "", "parse-names" : false, "suffix" : "" }, { "dropping-particle" : "", "family" : "Busscher", "given" : "Henk J", "non-dropping-particle" : "", "parse-names" : false, "suffix" : "" }, { "dropping-particle" : "", "family" : "Norde", "given" : "Willem", "non-dropping-particle" : "", "parse-names" : false, "suffix" : "" }, { "dropping-particle" : "", "family" : "Mei", "given" : "Henny C", "non-dropping-particle" : "van der", "parse-names" : false, "suffix" : "" } ], "container-title" : "Microbiology (Reading, England)", "id" : "ITEM-2", "issue" : "Pt 9", "issued" : { "date-parts" : [ [ "2006", "9" ] ] }, "page" : "2673-82", "title" : "Bacterial factors influencing adhesion of Pseudomonas aeruginosa strains to a poly(ethylene oxide) brush.", "type" : "article-journal", "volume" : "152" }, "uris" : [ "http://www.mendeley.com/documents/?uuid=0591c941-3d0e-4f27-a395-032bcca79aaa" ] } ], "mendeley" : { "formattedCitation" : "[78,120]", "plainTextFormattedCitation" : "[78,120]", "previouslyFormattedCitation" : "[78,120]" }, "properties" : { "noteIndex" : 0 }, "schema" : "https://github.com/citation-style-language/schema/raw/master/csl-citation.json" }</w:instrText>
      </w:r>
      <w:r w:rsidR="003463EC">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[78,120]</w:t>
      </w:r>
      <w:r w:rsidR="003463EC">
        <w:rPr>
          <w:rFonts w:asciiTheme="minorHAnsi" w:eastAsia="Calibri" w:hAnsiTheme="minorHAnsi" w:cs="Calibri"/>
          <w:color w:val="000000"/>
          <w:sz w:val="22"/>
          <w:szCs w:val="22"/>
          <w:lang w:eastAsia="zh-CN"/>
        </w:rPr>
        <w:fldChar w:fldCharType="end"/>
      </w:r>
      <w:r w:rsidR="00436CD0" w:rsidRPr="00C44D8C">
        <w:rPr>
          <w:rFonts w:asciiTheme="minorHAnsi" w:eastAsia="Calibri" w:hAnsiTheme="minorHAnsi" w:cs="Calibri"/>
          <w:color w:val="000000"/>
          <w:sz w:val="22"/>
          <w:szCs w:val="22"/>
          <w:lang w:eastAsia="zh-CN"/>
        </w:rPr>
        <w:t xml:space="preserve">. </w:t>
      </w:r>
      <w:r w:rsidR="00436CD0" w:rsidRPr="00C44D8C">
        <w:rPr>
          <w:rFonts w:asciiTheme="minorHAnsi" w:eastAsia="Calibri" w:hAnsiTheme="minorHAnsi" w:cs="Calibri"/>
          <w:i/>
          <w:color w:val="000000"/>
          <w:sz w:val="22"/>
          <w:szCs w:val="22"/>
          <w:lang w:eastAsia="zh-CN"/>
        </w:rPr>
        <w:t xml:space="preserve">M. barkeri </w:t>
      </w:r>
      <w:r w:rsidR="00436CD0" w:rsidRPr="00C44D8C">
        <w:rPr>
          <w:rFonts w:asciiTheme="minorHAnsi" w:eastAsia="Calibri" w:hAnsiTheme="minorHAnsi" w:cs="Calibri"/>
          <w:color w:val="000000"/>
          <w:sz w:val="22"/>
          <w:szCs w:val="22"/>
          <w:lang w:eastAsia="zh-CN"/>
        </w:rPr>
        <w:t>also possessed a more energetic surface than the support materials, with a total surface free energy of 57 mJ.m</w:t>
      </w:r>
      <w:r w:rsidR="00436CD0" w:rsidRPr="00C44D8C">
        <w:rPr>
          <w:rFonts w:asciiTheme="minorHAnsi" w:eastAsia="Calibri" w:hAnsiTheme="minorHAnsi" w:cs="Calibri"/>
          <w:color w:val="000000"/>
          <w:sz w:val="22"/>
          <w:szCs w:val="22"/>
          <w:vertAlign w:val="superscript"/>
          <w:lang w:eastAsia="zh-CN"/>
        </w:rPr>
        <w:t>-2</w:t>
      </w:r>
      <w:r w:rsidR="00436CD0" w:rsidRPr="00C44D8C">
        <w:rPr>
          <w:rFonts w:asciiTheme="minorHAnsi" w:eastAsia="Calibri" w:hAnsiTheme="minorHAnsi" w:cs="Calibri"/>
          <w:color w:val="000000"/>
          <w:sz w:val="22"/>
          <w:szCs w:val="22"/>
          <w:lang w:eastAsia="zh-CN"/>
        </w:rPr>
        <w:t xml:space="preserve">. </w:t>
      </w:r>
      <w:r>
        <w:rPr>
          <w:rFonts w:asciiTheme="minorHAnsi" w:eastAsia="Calibri" w:hAnsiTheme="minorHAnsi" w:cs="Calibri"/>
          <w:color w:val="000000"/>
          <w:sz w:val="22"/>
          <w:szCs w:val="22"/>
          <w:lang w:eastAsia="zh-CN"/>
        </w:rPr>
        <w:t>Having</w:t>
      </w:r>
      <w:r w:rsidR="00436CD0" w:rsidRPr="00C44D8C">
        <w:rPr>
          <w:rFonts w:asciiTheme="minorHAnsi" w:eastAsia="Calibri" w:hAnsiTheme="minorHAnsi" w:cs="Calibri"/>
          <w:color w:val="000000"/>
          <w:sz w:val="22"/>
          <w:szCs w:val="22"/>
          <w:lang w:eastAsia="zh-CN"/>
        </w:rPr>
        <w:t xml:space="preserve"> a higher electron-donating component </w:t>
      </w:r>
      <w:r>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lang w:eastAsia="zh-CN"/>
        </w:rPr>
        <w:t>54 mJ.m</w:t>
      </w:r>
      <w:r w:rsidRPr="00C44D8C">
        <w:rPr>
          <w:rFonts w:asciiTheme="minorHAnsi" w:eastAsia="Calibri" w:hAnsiTheme="minorHAnsi" w:cs="Calibri"/>
          <w:color w:val="000000"/>
          <w:sz w:val="22"/>
          <w:szCs w:val="22"/>
          <w:vertAlign w:val="superscript"/>
          <w:lang w:eastAsia="zh-CN"/>
        </w:rPr>
        <w:t>-2</w:t>
      </w:r>
      <w:r>
        <w:rPr>
          <w:rFonts w:asciiTheme="minorHAnsi" w:eastAsia="Calibri" w:hAnsiTheme="minorHAnsi" w:cs="Calibri"/>
          <w:color w:val="000000"/>
          <w:sz w:val="22"/>
          <w:szCs w:val="22"/>
          <w:lang w:eastAsia="zh-CN"/>
        </w:rPr>
        <w:t xml:space="preserve">) </w:t>
      </w:r>
      <w:r w:rsidR="00436CD0" w:rsidRPr="00C44D8C">
        <w:rPr>
          <w:rFonts w:asciiTheme="minorHAnsi" w:eastAsia="Calibri" w:hAnsiTheme="minorHAnsi" w:cs="Calibri"/>
          <w:color w:val="000000"/>
          <w:sz w:val="22"/>
          <w:szCs w:val="22"/>
          <w:lang w:eastAsia="zh-CN"/>
        </w:rPr>
        <w:t xml:space="preserve">compared to its electron-accepting component, this </w:t>
      </w:r>
      <w:r>
        <w:rPr>
          <w:rFonts w:asciiTheme="minorHAnsi" w:eastAsia="Calibri" w:hAnsiTheme="minorHAnsi" w:cs="Calibri"/>
          <w:color w:val="000000"/>
          <w:sz w:val="22"/>
          <w:szCs w:val="22"/>
          <w:lang w:eastAsia="zh-CN"/>
        </w:rPr>
        <w:t>implies</w:t>
      </w:r>
      <w:r w:rsidR="00436CD0" w:rsidRPr="00C44D8C">
        <w:rPr>
          <w:rFonts w:asciiTheme="minorHAnsi" w:eastAsia="Calibri" w:hAnsiTheme="minorHAnsi" w:cs="Calibri"/>
          <w:color w:val="000000"/>
          <w:sz w:val="22"/>
          <w:szCs w:val="22"/>
          <w:lang w:eastAsia="zh-CN"/>
        </w:rPr>
        <w:t xml:space="preserve"> that </w:t>
      </w:r>
      <w:r w:rsidR="00436CD0" w:rsidRPr="00C44D8C">
        <w:rPr>
          <w:rFonts w:asciiTheme="minorHAnsi" w:eastAsia="Calibri" w:hAnsiTheme="minorHAnsi" w:cs="Calibri"/>
          <w:i/>
          <w:color w:val="000000"/>
          <w:sz w:val="22"/>
          <w:szCs w:val="22"/>
          <w:lang w:eastAsia="zh-CN"/>
        </w:rPr>
        <w:t xml:space="preserve">M. barkeri </w:t>
      </w:r>
      <w:r>
        <w:rPr>
          <w:rFonts w:asciiTheme="minorHAnsi" w:eastAsia="Calibri" w:hAnsiTheme="minorHAnsi" w:cs="Calibri"/>
          <w:color w:val="000000"/>
          <w:sz w:val="22"/>
          <w:szCs w:val="22"/>
          <w:lang w:eastAsia="zh-CN"/>
        </w:rPr>
        <w:t>has</w:t>
      </w:r>
      <w:r w:rsidR="00436CD0" w:rsidRPr="00C44D8C">
        <w:rPr>
          <w:rFonts w:asciiTheme="minorHAnsi" w:eastAsia="Calibri" w:hAnsiTheme="minorHAnsi" w:cs="Calibri"/>
          <w:color w:val="000000"/>
          <w:sz w:val="22"/>
          <w:szCs w:val="22"/>
          <w:lang w:eastAsia="zh-CN"/>
        </w:rPr>
        <w:t xml:space="preserve"> a strong polar surface</w:t>
      </w:r>
      <w:r w:rsidR="003463EC">
        <w:rPr>
          <w:rFonts w:asciiTheme="minorHAnsi" w:eastAsia="Calibri" w:hAnsiTheme="minorHAnsi" w:cs="Calibri"/>
          <w:color w:val="000000"/>
          <w:sz w:val="22"/>
          <w:szCs w:val="22"/>
          <w:lang w:eastAsia="zh-CN"/>
        </w:rPr>
        <w:t xml:space="preserve"> </w:t>
      </w:r>
      <w:r w:rsidR="003463EC">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"10.1099/mic.0.29005-0", "ISSN" : "1350-0872", "PMID" : "16946262", "abstract" : "Most bacterial strains adhere poorly to poly(ethylene oxide) (PEO)-brush coatings, with the exception of a Pseudomonas aeruginosa strain. The aim of this study was to find factors determining whether P. aeruginosa strains do or do not adhere to a PEO-brush coating in a parallel plate flow chamber. On the basis of their adhesion, a distinction could be made between three adhesive and three non-adhesive strains of P. aeruginosa, while bacterial motilities and zeta potentials were comparable for all six strains. However, water contact angles indicated that the adhesive strains were much more hydrophobic than the non-adhesive strains. Furthermore, only adhesive strains released surfactive extracellular substances, which may be engaged in attractive interactions with the PEO chains. Atomic force microscopy showed that the adhesion energy, measured from the retract curves of a bacterial-coated cantilever from a brush coating, was significantly more negative for adhesive strains than for non-adhesive strains (P&lt;0.001). Through surface thermodynamic and extended-DLVO (Derjaguin, Landau, Verwey, Overbeek) analyses, these stronger adhesion energies could be attributed to acid-base interactions. However, the energies of adhesion of all strains to a brush coating were small when compared with their energies of adhesion to a glass surface. Accordingly, even the adhesive P. aeruginosa strains could be easily removed from a PEO-brush coating by the passage of a liquid-air interface. In conclusion, cell surface hydrophobicity and surfactant release are the main factors involved in adhesion of P. aeruginosa strains to PEO-brush coatings.", "author" : [ { "dropping-particle" : "", "family" : "Roosjen", "given" : "Astrid", "non-dropping-particle" : "", "parse-names" : false, "suffix" : "" }, { "dropping-particle" : "", "family" : "Busscher", "given" : "Henk J", "non-dropping-particle" : "", "parse-names" : false, "suffix" : "" }, { "dropping-particle" : "", "family" : "Norde", "given" : "Willem", "non-dropping-particle" : "", "parse-names" : false, "suffix" : "" }, { "dropping-particle" : "", "family" : "Mei", "given" : "Henny C", "non-dropping-particle" : "van der", "parse-names" : false, "suffix" : "" } ], "container-title" : "Microbiology (Reading, England)", "id" : "ITEM-1", "issue" : "Pt 9", "issued" : { "date-parts" : [ [ "2006", "9" ] ] }, "page" : "2673-82", "title" : "Bacterial factors influencing adhesion of Pseudomonas aeruginosa strains to a poly(ethylene oxide) brush.", "type" : "article-journal", "volume" : "152" }, "uris" : [ "http://www.mendeley.com/documents/?uuid=0591c941-3d0e-4f27-a395-032bcca79aaa" ] } ], "mendeley" : { "formattedCitation" : "[120]", "plainTextFormattedCitation" : "[120]", "previouslyFormattedCitation" : "[120]" }, "properties" : { "noteIndex" : 0 }, "schema" : "https://github.com/citation-style-language/schema/raw/master/csl-citation.json" }</w:instrText>
      </w:r>
      <w:r w:rsidR="003463EC">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[120]</w:t>
      </w:r>
      <w:r w:rsidR="003463EC">
        <w:rPr>
          <w:rFonts w:asciiTheme="minorHAnsi" w:eastAsia="Calibri" w:hAnsiTheme="minorHAnsi" w:cs="Calibri"/>
          <w:color w:val="000000"/>
          <w:sz w:val="22"/>
          <w:szCs w:val="22"/>
          <w:lang w:eastAsia="zh-CN"/>
        </w:rPr>
        <w:fldChar w:fldCharType="end"/>
      </w:r>
      <w:r w:rsidR="00436CD0" w:rsidRPr="00C44D8C">
        <w:rPr>
          <w:rFonts w:asciiTheme="minorHAnsi" w:eastAsia="Calibri" w:hAnsiTheme="minorHAnsi" w:cs="Calibri"/>
          <w:color w:val="000000"/>
          <w:sz w:val="22"/>
          <w:szCs w:val="22"/>
          <w:lang w:eastAsia="zh-CN"/>
        </w:rPr>
        <w:t xml:space="preserve">. </w:t>
      </w:r>
      <w:r>
        <w:rPr>
          <w:rFonts w:asciiTheme="minorHAnsi" w:eastAsia="Calibri" w:hAnsiTheme="minorHAnsi" w:cs="Calibri"/>
          <w:color w:val="000000"/>
          <w:sz w:val="22"/>
          <w:szCs w:val="22"/>
          <w:lang w:eastAsia="zh-CN"/>
        </w:rPr>
        <w:t xml:space="preserve">Living surfaces are known to typically have </w:t>
      </w:r>
      <w:r w:rsidR="00436CD0" w:rsidRPr="00C44D8C">
        <w:rPr>
          <w:rFonts w:asciiTheme="minorHAnsi" w:eastAsia="Calibri" w:hAnsiTheme="minorHAnsi" w:cs="Calibri"/>
          <w:color w:val="000000"/>
          <w:sz w:val="22"/>
          <w:szCs w:val="22"/>
          <w:lang w:eastAsia="zh-CN"/>
        </w:rPr>
        <w:t>strong ele</w:t>
      </w:r>
      <w:r>
        <w:rPr>
          <w:rFonts w:asciiTheme="minorHAnsi" w:eastAsia="Calibri" w:hAnsiTheme="minorHAnsi" w:cs="Calibri"/>
          <w:color w:val="000000"/>
          <w:sz w:val="22"/>
          <w:szCs w:val="22"/>
          <w:lang w:eastAsia="zh-CN"/>
        </w:rPr>
        <w:t xml:space="preserve">ctron-donating surface properties </w:t>
      </w:r>
      <w:r w:rsidR="003463EC">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3463EC">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[78]</w:t>
      </w:r>
      <w:r w:rsidR="003463EC">
        <w:rPr>
          <w:rFonts w:asciiTheme="minorHAnsi" w:eastAsia="Calibri" w:hAnsiTheme="minorHAnsi" w:cs="Calibri"/>
          <w:color w:val="000000"/>
          <w:sz w:val="22"/>
          <w:szCs w:val="22"/>
          <w:lang w:eastAsia="zh-CN"/>
        </w:rPr>
        <w:fldChar w:fldCharType="end"/>
      </w:r>
      <w:r w:rsidR="00436CD0" w:rsidRPr="00C44D8C">
        <w:rPr>
          <w:rFonts w:asciiTheme="minorHAnsi" w:eastAsia="Calibri" w:hAnsiTheme="minorHAnsi" w:cs="Calibri"/>
          <w:color w:val="000000"/>
          <w:sz w:val="22"/>
          <w:szCs w:val="22"/>
          <w:lang w:eastAsia="zh-CN"/>
        </w:rPr>
        <w:t>.</w:t>
      </w:r>
    </w:p>
    <w:p w14:paraId="36B07084" w14:textId="77777777" w:rsidR="00436CD0" w:rsidRPr="00C44D8C" w:rsidRDefault="00436CD0" w:rsidP="00114AA3">
      <w:pPr>
        <w:spacing w:line="360" w:lineRule="auto"/>
        <w:rPr>
          <w:rFonts w:asciiTheme="minorHAnsi" w:eastAsia="Cambria" w:hAnsiTheme="minorHAnsi" w:cs="Cambria"/>
          <w:color w:val="000000"/>
          <w:sz w:val="22"/>
          <w:szCs w:val="22"/>
          <w:lang w:eastAsia="zh-CN"/>
        </w:rPr>
      </w:pPr>
    </w:p>
    <w:p w14:paraId="29D95192" w14:textId="77777777" w:rsidR="00436CD0" w:rsidRPr="00C44D8C" w:rsidRDefault="00436CD0" w:rsidP="000B6618">
      <w:pPr>
        <w:pStyle w:val="Heading7"/>
        <w:rPr>
          <w:rFonts w:eastAsia="Cambria" w:cs="Cambria"/>
          <w:lang w:eastAsia="zh-CN"/>
        </w:rPr>
      </w:pPr>
      <w:bookmarkStart w:id="96" w:name="_Toc462575311"/>
      <w:r w:rsidRPr="00C44D8C">
        <w:rPr>
          <w:lang w:eastAsia="zh-CN"/>
        </w:rPr>
        <w:lastRenderedPageBreak/>
        <w:t>3.3.2.2. Zeta potential analysis</w:t>
      </w:r>
      <w:bookmarkEnd w:id="96"/>
      <w:r w:rsidRPr="00C44D8C">
        <w:rPr>
          <w:lang w:eastAsia="zh-CN"/>
        </w:rPr>
        <w:t xml:space="preserve"> </w:t>
      </w:r>
    </w:p>
    <w:p w14:paraId="111B0ACF" w14:textId="568E093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zeta potentials of the support materials determined from streaming potential measurements </w:t>
      </w:r>
      <w:r w:rsidR="00A229FA">
        <w:rPr>
          <w:rFonts w:asciiTheme="minorHAnsi" w:eastAsia="Calibri" w:hAnsiTheme="minorHAnsi" w:cs="Calibri"/>
          <w:color w:val="000000"/>
          <w:sz w:val="22"/>
          <w:szCs w:val="22"/>
          <w:lang w:eastAsia="zh-CN"/>
        </w:rPr>
        <w:t>showed that</w:t>
      </w:r>
      <w:r w:rsidRPr="00C44D8C">
        <w:rPr>
          <w:rFonts w:asciiTheme="minorHAnsi" w:eastAsia="Calibri" w:hAnsiTheme="minorHAnsi" w:cs="Calibri"/>
          <w:color w:val="000000"/>
          <w:sz w:val="22"/>
          <w:szCs w:val="22"/>
          <w:lang w:eastAsia="zh-CN"/>
        </w:rPr>
        <w:t xml:space="preserve"> PVC had the least negative zeta potential at 100 mM KCl and pH 7 (-5 mV), closely followed by PTFE with -6 mV. PVDF had the most negative surface zeta potential with -39 mV (Table 3.1).</w:t>
      </w:r>
    </w:p>
    <w:p w14:paraId="557A6696" w14:textId="368C829D"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All solid surfaces exhibited negative zeta potentials, indicating negative surface charge under the conditions tested. </w:t>
      </w:r>
      <w:r w:rsidRPr="00C44D8C">
        <w:rPr>
          <w:rFonts w:asciiTheme="minorHAnsi" w:eastAsia="Calibri" w:hAnsiTheme="minorHAnsi" w:cs="Calibri"/>
          <w:i/>
          <w:color w:val="000000"/>
          <w:sz w:val="22"/>
          <w:szCs w:val="22"/>
          <w:lang w:eastAsia="zh-CN"/>
        </w:rPr>
        <w:t xml:space="preserve">M. barkeri </w:t>
      </w:r>
      <w:r w:rsidR="00A229FA">
        <w:rPr>
          <w:rFonts w:asciiTheme="minorHAnsi" w:eastAsia="Calibri" w:hAnsiTheme="minorHAnsi" w:cs="Calibri"/>
          <w:color w:val="000000"/>
          <w:sz w:val="22"/>
          <w:szCs w:val="22"/>
          <w:lang w:eastAsia="zh-CN"/>
        </w:rPr>
        <w:t>also possessed an electro</w:t>
      </w:r>
      <w:r w:rsidRPr="00C44D8C">
        <w:rPr>
          <w:rFonts w:asciiTheme="minorHAnsi" w:eastAsia="Calibri" w:hAnsiTheme="minorHAnsi" w:cs="Calibri"/>
          <w:color w:val="000000"/>
          <w:sz w:val="22"/>
          <w:szCs w:val="22"/>
          <w:lang w:eastAsia="zh-CN"/>
        </w:rPr>
        <w:t xml:space="preserve">negative </w:t>
      </w:r>
      <w:r w:rsidR="00A229FA">
        <w:rPr>
          <w:rFonts w:asciiTheme="minorHAnsi" w:eastAsia="Calibri" w:hAnsiTheme="minorHAnsi" w:cs="Calibri"/>
          <w:color w:val="000000"/>
          <w:sz w:val="22"/>
          <w:szCs w:val="22"/>
          <w:lang w:eastAsia="zh-CN"/>
        </w:rPr>
        <w:t xml:space="preserve">surface, with a </w:t>
      </w:r>
      <w:r w:rsidRPr="00C44D8C">
        <w:rPr>
          <w:rFonts w:asciiTheme="minorHAnsi" w:eastAsia="Calibri" w:hAnsiTheme="minorHAnsi" w:cs="Calibri"/>
          <w:color w:val="000000"/>
          <w:sz w:val="22"/>
          <w:szCs w:val="22"/>
          <w:lang w:eastAsia="zh-CN"/>
        </w:rPr>
        <w:t>zeta potential of -20 mV at 100 mM KCl and pH 7.</w:t>
      </w:r>
    </w:p>
    <w:p w14:paraId="53BE7BF5"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4DA63C52" w14:textId="77777777" w:rsidR="00436CD0" w:rsidRPr="00C44D8C" w:rsidRDefault="00436CD0" w:rsidP="000B6618">
      <w:pPr>
        <w:pStyle w:val="Heading6"/>
        <w:rPr>
          <w:rFonts w:eastAsia="Cambria" w:cs="Cambria"/>
          <w:lang w:eastAsia="zh-CN"/>
        </w:rPr>
      </w:pPr>
      <w:bookmarkStart w:id="97" w:name="_Toc462575312"/>
      <w:r w:rsidRPr="00C44D8C">
        <w:rPr>
          <w:rFonts w:eastAsia="Calibri"/>
          <w:lang w:eastAsia="zh-CN"/>
        </w:rPr>
        <w:t>3.3.3. xDLVO energy profiles</w:t>
      </w:r>
      <w:bookmarkEnd w:id="97"/>
      <w:r w:rsidRPr="00C44D8C">
        <w:rPr>
          <w:rFonts w:eastAsia="Calibri"/>
          <w:lang w:eastAsia="zh-CN"/>
        </w:rPr>
        <w:t xml:space="preserve"> </w:t>
      </w:r>
    </w:p>
    <w:p w14:paraId="7D64F937" w14:textId="67615A51"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Assumptions for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with regards to its morphology and surface charge were made when using the xDLVO model.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has</w:t>
      </w:r>
      <w:r w:rsidR="00A229FA">
        <w:rPr>
          <w:rFonts w:asciiTheme="minorHAnsi" w:eastAsia="Calibri" w:hAnsiTheme="minorHAnsi" w:cs="Calibri"/>
          <w:color w:val="000000"/>
          <w:sz w:val="22"/>
          <w:szCs w:val="22"/>
          <w:lang w:eastAsia="zh-CN"/>
        </w:rPr>
        <w:t xml:space="preserve"> a large spherical shape, </w:t>
      </w:r>
      <w:r w:rsidRPr="00C44D8C">
        <w:rPr>
          <w:rFonts w:asciiTheme="minorHAnsi" w:eastAsia="Calibri" w:hAnsiTheme="minorHAnsi" w:cs="Calibri"/>
          <w:color w:val="000000"/>
          <w:sz w:val="22"/>
          <w:szCs w:val="22"/>
          <w:lang w:eastAsia="zh-CN"/>
        </w:rPr>
        <w:t>which falls within the assumptions of the xDLVO m</w:t>
      </w:r>
      <w:r w:rsidR="00253639">
        <w:rPr>
          <w:rFonts w:asciiTheme="minorHAnsi" w:eastAsia="Calibri" w:hAnsiTheme="minorHAnsi" w:cs="Calibri"/>
          <w:color w:val="000000"/>
          <w:sz w:val="22"/>
          <w:szCs w:val="22"/>
          <w:lang w:eastAsia="zh-CN"/>
        </w:rPr>
        <w:t xml:space="preserve">odel of spherical particles </w:t>
      </w:r>
      <w:r w:rsidR="00253639">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"mendeley" : { "formattedCitation" : "[79]", "plainTextFormattedCitation" : "[79]", "previouslyFormattedCitation" : "[79]"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[79]</w:t>
      </w:r>
      <w:r w:rsidR="0025363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Zeta potentials calculated from electrophoretic mobility and streaming potential measurements </w:t>
      </w:r>
      <w:r w:rsidR="00A229FA">
        <w:rPr>
          <w:rFonts w:asciiTheme="minorHAnsi" w:eastAsia="Calibri" w:hAnsiTheme="minorHAnsi" w:cs="Calibri"/>
          <w:color w:val="000000"/>
          <w:sz w:val="22"/>
          <w:szCs w:val="22"/>
          <w:lang w:eastAsia="zh-CN"/>
        </w:rPr>
        <w:t xml:space="preserve">were assumed to be </w:t>
      </w:r>
      <w:r w:rsidRPr="00C44D8C">
        <w:rPr>
          <w:rFonts w:asciiTheme="minorHAnsi" w:eastAsia="Calibri" w:hAnsiTheme="minorHAnsi" w:cs="Calibri"/>
          <w:color w:val="000000"/>
          <w:sz w:val="22"/>
          <w:szCs w:val="22"/>
          <w:lang w:eastAsia="zh-CN"/>
        </w:rPr>
        <w:t xml:space="preserve">surface potentials, as this cannot be experimentally determined.   </w:t>
      </w:r>
    </w:p>
    <w:p w14:paraId="25B9B49C"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 total interaction energy of adhesion as determined by the xDLVO model between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and the support materials was calculated as a function of separation distance, in 100 mM KCl at pH 7 at room temperature (22˚C) (Fig. 3.5). For ease of presentation, the Lifshitz-van der Waals, electrostatic double layer and acid-base interaction energies are also illustrated for each support material with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(Fig. 3.6). </w:t>
      </w:r>
    </w:p>
    <w:p w14:paraId="60528170"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p>
    <w:p w14:paraId="583C8B70"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noProof/>
          <w:color w:val="000000"/>
          <w:sz w:val="22"/>
          <w:szCs w:val="22"/>
          <w:lang w:eastAsia="en-GB"/>
        </w:rPr>
        <w:lastRenderedPageBreak/>
        <w:drawing>
          <wp:inline distT="0" distB="0" distL="0" distR="0" wp14:anchorId="374AC940" wp14:editId="4B177484">
            <wp:extent cx="5396230" cy="35236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 border total interaction energy.tif"/>
                    <pic:cNvPicPr/>
                  </pic:nvPicPr>
                  <pic:blipFill>
                    <a:blip r:embed="rId29">
                      <a:extLst>
                        <a:ext uri="{28A0092B-C50C-407E-A947-70E740481C1C}">
                          <a14:useLocalDpi xmlns:a14="http://schemas.microsoft.com/office/drawing/2010/main" val="0"/>
                        </a:ext>
                      </a:extLst>
                    </a:blip>
                    <a:stretch>
                      <a:fillRect/>
                    </a:stretch>
                  </pic:blipFill>
                  <pic:spPr>
                    <a:xfrm>
                      <a:off x="0" y="0"/>
                      <a:ext cx="5396230" cy="3523615"/>
                    </a:xfrm>
                    <a:prstGeom prst="rect">
                      <a:avLst/>
                    </a:prstGeom>
                  </pic:spPr>
                </pic:pic>
              </a:graphicData>
            </a:graphic>
          </wp:inline>
        </w:drawing>
      </w:r>
    </w:p>
    <w:p w14:paraId="25BE3B27"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b/>
          <w:bCs/>
          <w:color w:val="000000"/>
          <w:sz w:val="22"/>
          <w:szCs w:val="22"/>
          <w:lang w:eastAsia="zh-CN"/>
        </w:rPr>
        <w:t>Fig. 3.5</w:t>
      </w:r>
      <w:r w:rsidRPr="00C44D8C">
        <w:rPr>
          <w:rFonts w:asciiTheme="minorHAnsi" w:eastAsia="Calibri" w:hAnsiTheme="minorHAnsi" w:cs="Calibri"/>
          <w:color w:val="000000"/>
          <w:sz w:val="22"/>
          <w:szCs w:val="22"/>
          <w:lang w:eastAsia="zh-CN"/>
        </w:rPr>
        <w:t xml:space="preserve"> Total interaction energy for the approach of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to the support materials (PE, PP, PVC, PETG, PVDF, PTFE) at 100 mM KCl, pH 7 as a function of separation distance (Å).</w:t>
      </w:r>
    </w:p>
    <w:p w14:paraId="3EF452B9" w14:textId="77777777" w:rsidR="000B6618" w:rsidRDefault="000B6618" w:rsidP="00436CD0">
      <w:pPr>
        <w:spacing w:line="360" w:lineRule="auto"/>
        <w:ind w:firstLine="720"/>
        <w:rPr>
          <w:rFonts w:asciiTheme="minorHAnsi" w:eastAsia="Cambria" w:hAnsiTheme="minorHAnsi" w:cs="Cambria"/>
          <w:color w:val="000000"/>
          <w:sz w:val="22"/>
          <w:szCs w:val="22"/>
          <w:lang w:eastAsia="zh-CN"/>
        </w:rPr>
      </w:pPr>
    </w:p>
    <w:p w14:paraId="3E165ED8" w14:textId="77777777" w:rsidR="000B6618" w:rsidRDefault="000B6618" w:rsidP="00436CD0">
      <w:pPr>
        <w:spacing w:line="360" w:lineRule="auto"/>
        <w:ind w:firstLine="720"/>
        <w:rPr>
          <w:rFonts w:asciiTheme="minorHAnsi" w:eastAsia="Cambria" w:hAnsiTheme="minorHAnsi" w:cs="Cambria"/>
          <w:color w:val="000000"/>
          <w:sz w:val="22"/>
          <w:szCs w:val="22"/>
          <w:lang w:eastAsia="zh-CN"/>
        </w:rPr>
      </w:pPr>
    </w:p>
    <w:p w14:paraId="4FA8017A" w14:textId="4CDD8AD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These predicted </w:t>
      </w:r>
      <w:r w:rsidR="00A229FA">
        <w:rPr>
          <w:rFonts w:asciiTheme="minorHAnsi" w:eastAsia="Calibri" w:hAnsiTheme="minorHAnsi" w:cs="Calibri"/>
          <w:color w:val="000000"/>
          <w:sz w:val="22"/>
          <w:szCs w:val="22"/>
          <w:lang w:eastAsia="zh-CN"/>
        </w:rPr>
        <w:t xml:space="preserve">DLVO </w:t>
      </w:r>
      <w:r w:rsidRPr="00C44D8C">
        <w:rPr>
          <w:rFonts w:asciiTheme="minorHAnsi" w:eastAsia="Calibri" w:hAnsiTheme="minorHAnsi" w:cs="Calibri"/>
          <w:color w:val="000000"/>
          <w:sz w:val="22"/>
          <w:szCs w:val="22"/>
          <w:lang w:eastAsia="zh-CN"/>
        </w:rPr>
        <w:t xml:space="preserve">energy profiles demonstrate that </w:t>
      </w:r>
      <w:r w:rsidR="00A229FA" w:rsidRPr="00C44D8C">
        <w:rPr>
          <w:rFonts w:asciiTheme="minorHAnsi" w:eastAsia="Calibri" w:hAnsiTheme="minorHAnsi" w:cs="Calibri"/>
          <w:color w:val="000000"/>
          <w:sz w:val="22"/>
          <w:szCs w:val="22"/>
          <w:lang w:eastAsia="zh-CN"/>
        </w:rPr>
        <w:t xml:space="preserve">repulsion is predicted between </w:t>
      </w:r>
      <w:r w:rsidR="00A229FA" w:rsidRPr="00C44D8C">
        <w:rPr>
          <w:rFonts w:asciiTheme="minorHAnsi" w:eastAsia="Calibri" w:hAnsiTheme="minorHAnsi" w:cs="Calibri"/>
          <w:i/>
          <w:color w:val="000000"/>
          <w:sz w:val="22"/>
          <w:szCs w:val="22"/>
          <w:lang w:eastAsia="zh-CN"/>
        </w:rPr>
        <w:t xml:space="preserve">M. barkeri </w:t>
      </w:r>
      <w:r w:rsidR="00A229FA" w:rsidRPr="00C44D8C">
        <w:rPr>
          <w:rFonts w:asciiTheme="minorHAnsi" w:eastAsia="Calibri" w:hAnsiTheme="minorHAnsi" w:cs="Calibri"/>
          <w:color w:val="000000"/>
          <w:sz w:val="22"/>
          <w:szCs w:val="22"/>
          <w:lang w:eastAsia="zh-CN"/>
        </w:rPr>
        <w:t xml:space="preserve">and all the support materials </w:t>
      </w:r>
      <w:r w:rsidRPr="00C44D8C">
        <w:rPr>
          <w:rFonts w:asciiTheme="minorHAnsi" w:eastAsia="Calibri" w:hAnsiTheme="minorHAnsi" w:cs="Calibri"/>
          <w:color w:val="000000"/>
          <w:sz w:val="22"/>
          <w:szCs w:val="22"/>
          <w:lang w:eastAsia="zh-CN"/>
        </w:rPr>
        <w:t>at small separation distances, except for PTFE and PP, as a result of repulsive short-range G</w:t>
      </w:r>
      <w:r w:rsidRPr="00C44D8C">
        <w:rPr>
          <w:rFonts w:asciiTheme="minorHAnsi" w:eastAsia="Calibri" w:hAnsiTheme="minorHAnsi" w:cs="Calibri"/>
          <w:color w:val="000000"/>
          <w:sz w:val="22"/>
          <w:szCs w:val="22"/>
          <w:vertAlign w:val="superscript"/>
          <w:lang w:eastAsia="zh-CN"/>
        </w:rPr>
        <w:t xml:space="preserve">AB </w:t>
      </w:r>
      <w:r w:rsidRPr="00C44D8C">
        <w:rPr>
          <w:rFonts w:asciiTheme="minorHAnsi" w:eastAsia="Calibri" w:hAnsiTheme="minorHAnsi" w:cs="Calibri"/>
          <w:color w:val="000000"/>
          <w:sz w:val="22"/>
          <w:szCs w:val="22"/>
          <w:lang w:eastAsia="zh-CN"/>
        </w:rPr>
        <w:t xml:space="preserve">forces (Fig. 3.6). These polar interactions create an energy barrier at the surface and prevent the irreversible adhesion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to PE, PETG, PVDF and PVC. However, these repulsive forces only operate at small separation distances of 30 Ǻ.</w:t>
      </w:r>
    </w:p>
    <w:p w14:paraId="7B4D8094" w14:textId="77777777" w:rsidR="00436CD0" w:rsidRDefault="00436CD0" w:rsidP="00436CD0">
      <w:pPr>
        <w:spacing w:line="360" w:lineRule="auto"/>
        <w:rPr>
          <w:rFonts w:asciiTheme="minorHAnsi" w:eastAsia="Calibri" w:hAnsiTheme="minorHAnsi" w:cs="Calibri"/>
          <w:noProof/>
          <w:color w:val="000000"/>
          <w:sz w:val="22"/>
          <w:szCs w:val="22"/>
          <w:lang w:eastAsia="en-GB"/>
        </w:rPr>
      </w:pPr>
    </w:p>
    <w:p w14:paraId="794DF671" w14:textId="77777777" w:rsidR="000B6618" w:rsidRPr="00C44D8C" w:rsidRDefault="000B6618" w:rsidP="00436CD0">
      <w:pPr>
        <w:spacing w:line="360" w:lineRule="auto"/>
        <w:rPr>
          <w:rFonts w:asciiTheme="minorHAnsi" w:eastAsia="Calibri" w:hAnsiTheme="minorHAnsi" w:cs="Calibri"/>
          <w:noProof/>
          <w:color w:val="000000"/>
          <w:sz w:val="22"/>
          <w:szCs w:val="22"/>
          <w:lang w:eastAsia="en-GB"/>
        </w:rPr>
      </w:pPr>
    </w:p>
    <w:p w14:paraId="674AB71B"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noProof/>
          <w:color w:val="000000"/>
          <w:sz w:val="22"/>
          <w:szCs w:val="22"/>
          <w:lang w:eastAsia="en-GB"/>
        </w:rPr>
        <w:lastRenderedPageBreak/>
        <w:drawing>
          <wp:inline distT="0" distB="0" distL="0" distR="0" wp14:anchorId="5DDDC4BE" wp14:editId="1FD1903B">
            <wp:extent cx="5414286" cy="2667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arate interaction energies.tif"/>
                    <pic:cNvPicPr/>
                  </pic:nvPicPr>
                  <pic:blipFill>
                    <a:blip r:embed="rId30">
                      <a:extLst>
                        <a:ext uri="{28A0092B-C50C-407E-A947-70E740481C1C}">
                          <a14:useLocalDpi xmlns:a14="http://schemas.microsoft.com/office/drawing/2010/main" val="0"/>
                        </a:ext>
                      </a:extLst>
                    </a:blip>
                    <a:stretch>
                      <a:fillRect/>
                    </a:stretch>
                  </pic:blipFill>
                  <pic:spPr>
                    <a:xfrm>
                      <a:off x="0" y="0"/>
                      <a:ext cx="5414286" cy="2667000"/>
                    </a:xfrm>
                    <a:prstGeom prst="rect">
                      <a:avLst/>
                    </a:prstGeom>
                  </pic:spPr>
                </pic:pic>
              </a:graphicData>
            </a:graphic>
          </wp:inline>
        </w:drawing>
      </w:r>
    </w:p>
    <w:p w14:paraId="385F8510"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b/>
          <w:bCs/>
          <w:color w:val="000000"/>
          <w:sz w:val="22"/>
          <w:szCs w:val="22"/>
          <w:lang w:eastAsia="zh-CN"/>
        </w:rPr>
        <w:t>Fig. 3.6</w:t>
      </w:r>
      <w:r w:rsidRPr="00C44D8C">
        <w:rPr>
          <w:rFonts w:asciiTheme="minorHAnsi" w:eastAsia="Calibri" w:hAnsiTheme="minorHAnsi" w:cs="Calibri"/>
          <w:color w:val="000000"/>
          <w:sz w:val="22"/>
          <w:szCs w:val="22"/>
          <w:lang w:eastAsia="zh-CN"/>
        </w:rPr>
        <w:t xml:space="preserve"> Calculated interaction energies for the Lifshitz-van der Waals (</w:t>
      </w:r>
      <w:r w:rsidRPr="00C44D8C">
        <w:rPr>
          <w:rFonts w:asciiTheme="minorHAnsi" w:hAnsiTheme="minorHAnsi"/>
          <w:color w:val="000000"/>
          <w:sz w:val="22"/>
          <w:szCs w:val="22"/>
          <w:lang w:eastAsia="zh-CN"/>
        </w:rPr>
        <w:t>G</w:t>
      </w:r>
      <w:r w:rsidRPr="00C44D8C">
        <w:rPr>
          <w:rFonts w:asciiTheme="minorHAnsi" w:hAnsiTheme="minorHAnsi"/>
          <w:color w:val="000000"/>
          <w:sz w:val="22"/>
          <w:szCs w:val="22"/>
          <w:vertAlign w:val="superscript"/>
          <w:lang w:eastAsia="zh-CN"/>
        </w:rPr>
        <w:t>LW</w:t>
      </w:r>
      <w:r w:rsidRPr="00C44D8C">
        <w:rPr>
          <w:rFonts w:asciiTheme="minorHAnsi" w:eastAsia="Calibri" w:hAnsiTheme="minorHAnsi" w:cs="Calibri"/>
          <w:color w:val="000000"/>
          <w:sz w:val="22"/>
          <w:szCs w:val="22"/>
          <w:lang w:eastAsia="zh-CN"/>
        </w:rPr>
        <w:t>), electrostatic (</w:t>
      </w:r>
      <w:r w:rsidRPr="00C44D8C">
        <w:rPr>
          <w:rFonts w:asciiTheme="minorHAnsi" w:hAnsiTheme="minorHAnsi"/>
          <w:color w:val="000000"/>
          <w:sz w:val="22"/>
          <w:szCs w:val="22"/>
          <w:lang w:eastAsia="zh-CN"/>
        </w:rPr>
        <w:t>G</w:t>
      </w:r>
      <w:r w:rsidRPr="00C44D8C">
        <w:rPr>
          <w:rFonts w:asciiTheme="minorHAnsi" w:hAnsiTheme="minorHAnsi"/>
          <w:color w:val="000000"/>
          <w:sz w:val="22"/>
          <w:szCs w:val="22"/>
          <w:vertAlign w:val="superscript"/>
          <w:lang w:eastAsia="zh-CN"/>
        </w:rPr>
        <w:t>EL</w:t>
      </w:r>
      <w:r w:rsidRPr="00C44D8C">
        <w:rPr>
          <w:rFonts w:asciiTheme="minorHAnsi" w:eastAsia="Calibri" w:hAnsiTheme="minorHAnsi" w:cs="Calibri"/>
          <w:color w:val="000000"/>
          <w:sz w:val="22"/>
          <w:szCs w:val="22"/>
          <w:lang w:eastAsia="zh-CN"/>
        </w:rPr>
        <w:t>), acid-base (</w:t>
      </w:r>
      <w:r w:rsidRPr="00C44D8C">
        <w:rPr>
          <w:rFonts w:asciiTheme="minorHAnsi" w:hAnsiTheme="minorHAnsi"/>
          <w:color w:val="000000"/>
          <w:sz w:val="22"/>
          <w:szCs w:val="22"/>
          <w:lang w:eastAsia="zh-CN"/>
        </w:rPr>
        <w:t>G</w:t>
      </w:r>
      <w:r w:rsidRPr="00C44D8C">
        <w:rPr>
          <w:rFonts w:asciiTheme="minorHAnsi" w:hAnsiTheme="minorHAnsi"/>
          <w:color w:val="000000"/>
          <w:sz w:val="22"/>
          <w:szCs w:val="22"/>
          <w:vertAlign w:val="superscript"/>
          <w:lang w:eastAsia="zh-CN"/>
        </w:rPr>
        <w:t>AB</w:t>
      </w:r>
      <w:r w:rsidRPr="00C44D8C">
        <w:rPr>
          <w:rFonts w:asciiTheme="minorHAnsi" w:eastAsia="Calibri" w:hAnsiTheme="minorHAnsi" w:cs="Calibri"/>
          <w:color w:val="000000"/>
          <w:sz w:val="22"/>
          <w:szCs w:val="22"/>
          <w:lang w:eastAsia="zh-CN"/>
        </w:rPr>
        <w:t>) and total interaction energy (</w:t>
      </w:r>
      <w:r w:rsidRPr="00C44D8C">
        <w:rPr>
          <w:rFonts w:asciiTheme="minorHAnsi" w:eastAsia="Cambria" w:hAnsiTheme="minorHAnsi" w:cs="Cambria"/>
          <w:bCs/>
          <w:color w:val="000000"/>
          <w:sz w:val="22"/>
          <w:szCs w:val="22"/>
          <w:lang w:eastAsia="zh-CN"/>
        </w:rPr>
        <w:t>G</w:t>
      </w:r>
      <w:r w:rsidRPr="00C44D8C">
        <w:rPr>
          <w:rFonts w:asciiTheme="minorHAnsi" w:eastAsia="Cambria" w:hAnsiTheme="minorHAnsi" w:cs="Cambria"/>
          <w:bCs/>
          <w:color w:val="000000"/>
          <w:sz w:val="22"/>
          <w:szCs w:val="22"/>
          <w:vertAlign w:val="superscript"/>
          <w:lang w:eastAsia="zh-CN"/>
        </w:rPr>
        <w:t>TOT</w:t>
      </w:r>
      <w:r w:rsidRPr="00C44D8C">
        <w:rPr>
          <w:rFonts w:asciiTheme="minorHAnsi" w:eastAsia="Calibri" w:hAnsiTheme="minorHAnsi" w:cs="Calibri"/>
          <w:color w:val="000000"/>
          <w:sz w:val="22"/>
          <w:szCs w:val="22"/>
          <w:lang w:eastAsia="zh-CN"/>
        </w:rPr>
        <w:t xml:space="preserve">) of the initial adhesion of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to a) PE, b) PETG, c) PP, d) PTFE, e) PVC and f) PVDF in 100 mM KCl solution, pH 7.</w:t>
      </w:r>
    </w:p>
    <w:p w14:paraId="43809320" w14:textId="77777777" w:rsidR="00436CD0" w:rsidRDefault="00436CD0" w:rsidP="00436CD0">
      <w:pPr>
        <w:spacing w:line="360" w:lineRule="auto"/>
        <w:rPr>
          <w:rFonts w:asciiTheme="minorHAnsi" w:eastAsia="Cambria" w:hAnsiTheme="minorHAnsi" w:cs="Cambria"/>
          <w:color w:val="000000"/>
          <w:sz w:val="22"/>
          <w:szCs w:val="22"/>
          <w:lang w:eastAsia="zh-CN"/>
        </w:rPr>
      </w:pPr>
    </w:p>
    <w:p w14:paraId="6A243FEE" w14:textId="77777777" w:rsidR="00A229FA" w:rsidRPr="00C44D8C" w:rsidRDefault="00A229FA" w:rsidP="00436CD0">
      <w:pPr>
        <w:spacing w:line="360" w:lineRule="auto"/>
        <w:rPr>
          <w:rFonts w:asciiTheme="minorHAnsi" w:eastAsia="Cambria" w:hAnsiTheme="minorHAnsi" w:cs="Cambria"/>
          <w:color w:val="000000"/>
          <w:sz w:val="22"/>
          <w:szCs w:val="22"/>
          <w:lang w:eastAsia="zh-CN"/>
        </w:rPr>
      </w:pPr>
    </w:p>
    <w:p w14:paraId="36990413"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A secondary minimum is present at longer separation distances corresponding to 30 Ǻ from the substratum for PE, PETG and PVC and 45 Ǻ for PVDF (Fig. 3.5). At these separation distances, approaching cells are predicted to reversibly attach to these support materials, but irreversible adhesion is not possible due to the energy barrier. The depths of the secondary minima suggests that irreversible adhesion is more likely to spontaneously occur on PVC with a net attractive interaction energy at secondary minimum of approximately 120 kT, whereas PVDF exhibited the lowest net attractive interaction energy at secondary minimum of approximately 50 kT (Fig. 3.5).</w:t>
      </w:r>
    </w:p>
    <w:p w14:paraId="273E1163" w14:textId="490018EB"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Repulsive electrostatic G</w:t>
      </w:r>
      <w:r w:rsidRPr="00C44D8C">
        <w:rPr>
          <w:rFonts w:asciiTheme="minorHAnsi" w:eastAsia="Calibri" w:hAnsiTheme="minorHAnsi" w:cs="Calibri"/>
          <w:color w:val="000000"/>
          <w:sz w:val="22"/>
          <w:szCs w:val="22"/>
          <w:vertAlign w:val="superscript"/>
          <w:lang w:eastAsia="zh-CN"/>
        </w:rPr>
        <w:t>EL</w:t>
      </w:r>
      <w:r w:rsidRPr="00C44D8C">
        <w:rPr>
          <w:rFonts w:asciiTheme="minorHAnsi" w:eastAsia="Calibri" w:hAnsiTheme="minorHAnsi" w:cs="Calibri"/>
          <w:color w:val="000000"/>
          <w:sz w:val="22"/>
          <w:szCs w:val="22"/>
          <w:lang w:eastAsia="zh-CN"/>
        </w:rPr>
        <w:t xml:space="preserve"> forces were present for all combinations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and support material. </w:t>
      </w:r>
      <w:r w:rsidR="00A229FA">
        <w:rPr>
          <w:rFonts w:asciiTheme="minorHAnsi" w:eastAsia="Calibri" w:hAnsiTheme="minorHAnsi" w:cs="Calibri"/>
          <w:color w:val="000000"/>
          <w:sz w:val="22"/>
          <w:szCs w:val="22"/>
          <w:lang w:eastAsia="zh-CN"/>
        </w:rPr>
        <w:t>As a result of their highly charged surfaces, s</w:t>
      </w:r>
      <w:r w:rsidRPr="00C44D8C">
        <w:rPr>
          <w:rFonts w:asciiTheme="minorHAnsi" w:eastAsia="Calibri" w:hAnsiTheme="minorHAnsi" w:cs="Calibri"/>
          <w:color w:val="000000"/>
          <w:sz w:val="22"/>
          <w:szCs w:val="22"/>
          <w:lang w:eastAsia="zh-CN"/>
        </w:rPr>
        <w:t>trong, long-range G</w:t>
      </w:r>
      <w:r w:rsidRPr="00C44D8C">
        <w:rPr>
          <w:rFonts w:asciiTheme="minorHAnsi" w:eastAsia="Calibri" w:hAnsiTheme="minorHAnsi" w:cs="Calibri"/>
          <w:color w:val="000000"/>
          <w:sz w:val="22"/>
          <w:szCs w:val="22"/>
          <w:vertAlign w:val="superscript"/>
          <w:lang w:eastAsia="zh-CN"/>
        </w:rPr>
        <w:t>EL</w:t>
      </w:r>
      <w:r w:rsidRPr="00C44D8C">
        <w:rPr>
          <w:rFonts w:asciiTheme="minorHAnsi" w:eastAsia="Calibri" w:hAnsiTheme="minorHAnsi" w:cs="Calibri"/>
          <w:color w:val="000000"/>
          <w:sz w:val="22"/>
          <w:szCs w:val="22"/>
          <w:lang w:eastAsia="zh-CN"/>
        </w:rPr>
        <w:t xml:space="preserve"> interactions were predicted between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and PVDF and PE at 70 Ǻ and 50 Ǻ respectively</w:t>
      </w:r>
      <w:r w:rsidR="00DF0408">
        <w:rPr>
          <w:rFonts w:asciiTheme="minorHAnsi" w:eastAsia="Calibri" w:hAnsiTheme="minorHAnsi" w:cs="Calibri"/>
          <w:color w:val="000000"/>
          <w:sz w:val="22"/>
          <w:szCs w:val="22"/>
          <w:lang w:eastAsia="zh-CN"/>
        </w:rPr>
        <w:t xml:space="preserve"> from the substratum (Fig. 3.6; </w:t>
      </w:r>
      <w:r w:rsidRPr="00C44D8C">
        <w:rPr>
          <w:rFonts w:asciiTheme="minorHAnsi" w:eastAsia="Calibri" w:hAnsiTheme="minorHAnsi" w:cs="Calibri"/>
          <w:color w:val="000000"/>
          <w:sz w:val="22"/>
          <w:szCs w:val="22"/>
          <w:lang w:eastAsia="zh-CN"/>
        </w:rPr>
        <w:t xml:space="preserve">Table 3.1). </w:t>
      </w:r>
      <w:r w:rsidR="00E54C6A">
        <w:rPr>
          <w:rFonts w:asciiTheme="minorHAnsi" w:eastAsia="Calibri" w:hAnsiTheme="minorHAnsi" w:cs="Calibri"/>
          <w:color w:val="000000"/>
          <w:sz w:val="22"/>
          <w:szCs w:val="22"/>
          <w:lang w:eastAsia="zh-CN"/>
        </w:rPr>
        <w:t xml:space="preserve">PVC and PTFE had less dominant </w:t>
      </w:r>
      <w:r w:rsidRPr="00C44D8C">
        <w:rPr>
          <w:rFonts w:asciiTheme="minorHAnsi" w:eastAsia="Calibri" w:hAnsiTheme="minorHAnsi" w:cs="Calibri"/>
          <w:color w:val="000000"/>
          <w:sz w:val="22"/>
          <w:szCs w:val="22"/>
          <w:lang w:eastAsia="zh-CN"/>
        </w:rPr>
        <w:t>G</w:t>
      </w:r>
      <w:r w:rsidRPr="00C44D8C">
        <w:rPr>
          <w:rFonts w:asciiTheme="minorHAnsi" w:eastAsia="Calibri" w:hAnsiTheme="minorHAnsi" w:cs="Calibri"/>
          <w:color w:val="000000"/>
          <w:sz w:val="22"/>
          <w:szCs w:val="22"/>
          <w:vertAlign w:val="superscript"/>
          <w:lang w:eastAsia="zh-CN"/>
        </w:rPr>
        <w:t>EL</w:t>
      </w:r>
      <w:r w:rsidRPr="00C44D8C">
        <w:rPr>
          <w:rFonts w:asciiTheme="minorHAnsi" w:eastAsia="Calibri" w:hAnsiTheme="minorHAnsi" w:cs="Calibri"/>
          <w:color w:val="000000"/>
          <w:sz w:val="22"/>
          <w:szCs w:val="22"/>
          <w:lang w:eastAsia="zh-CN"/>
        </w:rPr>
        <w:t xml:space="preserve"> forces due to their low charged surfaces (Table 3.1) and</w:t>
      </w:r>
      <w:r w:rsidR="00E54C6A">
        <w:rPr>
          <w:rFonts w:asciiTheme="minorHAnsi" w:eastAsia="Calibri" w:hAnsiTheme="minorHAnsi" w:cs="Calibri"/>
          <w:color w:val="000000"/>
          <w:sz w:val="22"/>
          <w:szCs w:val="22"/>
          <w:lang w:eastAsia="zh-CN"/>
        </w:rPr>
        <w:t xml:space="preserve"> therefore,</w:t>
      </w:r>
      <w:r w:rsidRPr="00C44D8C">
        <w:rPr>
          <w:rFonts w:asciiTheme="minorHAnsi" w:eastAsia="Calibri" w:hAnsiTheme="minorHAnsi" w:cs="Calibri"/>
          <w:color w:val="000000"/>
          <w:sz w:val="22"/>
          <w:szCs w:val="22"/>
          <w:lang w:eastAsia="zh-CN"/>
        </w:rPr>
        <w:t xml:space="preserve"> a reduced electrostatic repulsion. </w:t>
      </w:r>
      <w:r w:rsidR="00E54C6A">
        <w:rPr>
          <w:rFonts w:asciiTheme="minorHAnsi" w:eastAsia="Calibri" w:hAnsiTheme="minorHAnsi" w:cs="Calibri"/>
          <w:color w:val="000000"/>
          <w:sz w:val="22"/>
          <w:szCs w:val="22"/>
          <w:lang w:eastAsia="zh-CN"/>
        </w:rPr>
        <w:t>A</w:t>
      </w:r>
      <w:r w:rsidRPr="00C44D8C">
        <w:rPr>
          <w:rFonts w:asciiTheme="minorHAnsi" w:eastAsia="Calibri" w:hAnsiTheme="minorHAnsi" w:cs="Calibri"/>
          <w:color w:val="000000"/>
          <w:sz w:val="22"/>
          <w:szCs w:val="22"/>
          <w:lang w:eastAsia="zh-CN"/>
        </w:rPr>
        <w:t>ttractive G</w:t>
      </w:r>
      <w:r w:rsidRPr="00C44D8C">
        <w:rPr>
          <w:rFonts w:asciiTheme="minorHAnsi" w:eastAsia="Calibri" w:hAnsiTheme="minorHAnsi" w:cs="Calibri"/>
          <w:color w:val="000000"/>
          <w:sz w:val="22"/>
          <w:szCs w:val="22"/>
          <w:vertAlign w:val="superscript"/>
          <w:lang w:eastAsia="zh-CN"/>
        </w:rPr>
        <w:t xml:space="preserve">LW </w:t>
      </w:r>
      <w:r w:rsidRPr="00C44D8C">
        <w:rPr>
          <w:rFonts w:asciiTheme="minorHAnsi" w:eastAsia="Calibri" w:hAnsiTheme="minorHAnsi" w:cs="Calibri"/>
          <w:color w:val="000000"/>
          <w:sz w:val="22"/>
          <w:szCs w:val="22"/>
          <w:lang w:eastAsia="zh-CN"/>
        </w:rPr>
        <w:t xml:space="preserve">interactions </w:t>
      </w:r>
      <w:r w:rsidR="00E54C6A">
        <w:rPr>
          <w:rFonts w:asciiTheme="minorHAnsi" w:eastAsia="Calibri" w:hAnsiTheme="minorHAnsi" w:cs="Calibri"/>
          <w:color w:val="000000"/>
          <w:sz w:val="22"/>
          <w:szCs w:val="22"/>
          <w:lang w:eastAsia="zh-CN"/>
        </w:rPr>
        <w:t xml:space="preserve">were experienced by </w:t>
      </w:r>
      <w:r w:rsidR="00E54C6A" w:rsidRPr="00C44D8C">
        <w:rPr>
          <w:rFonts w:asciiTheme="minorHAnsi" w:eastAsia="Calibri" w:hAnsiTheme="minorHAnsi" w:cs="Calibri"/>
          <w:color w:val="000000"/>
          <w:sz w:val="22"/>
          <w:szCs w:val="22"/>
          <w:lang w:eastAsia="zh-CN"/>
        </w:rPr>
        <w:t xml:space="preserve">all combinations of </w:t>
      </w:r>
      <w:r w:rsidR="00E54C6A" w:rsidRPr="00C44D8C">
        <w:rPr>
          <w:rFonts w:asciiTheme="minorHAnsi" w:eastAsia="Calibri" w:hAnsiTheme="minorHAnsi" w:cs="Calibri"/>
          <w:i/>
          <w:color w:val="000000"/>
          <w:sz w:val="22"/>
          <w:szCs w:val="22"/>
          <w:lang w:eastAsia="zh-CN"/>
        </w:rPr>
        <w:t xml:space="preserve">M. barkeri </w:t>
      </w:r>
      <w:r w:rsidR="00E54C6A" w:rsidRPr="00C44D8C">
        <w:rPr>
          <w:rFonts w:asciiTheme="minorHAnsi" w:eastAsia="Calibri" w:hAnsiTheme="minorHAnsi" w:cs="Calibri"/>
          <w:color w:val="000000"/>
          <w:sz w:val="22"/>
          <w:szCs w:val="22"/>
          <w:lang w:eastAsia="zh-CN"/>
        </w:rPr>
        <w:t>and support material</w:t>
      </w:r>
      <w:r w:rsidR="00E54C6A">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color w:val="000000"/>
          <w:sz w:val="22"/>
          <w:szCs w:val="22"/>
          <w:lang w:eastAsia="zh-CN"/>
        </w:rPr>
        <w:t>(Fig. 3.6).</w:t>
      </w:r>
    </w:p>
    <w:p w14:paraId="132DDD8E" w14:textId="325BD1D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PP and PTFE were the only support materials to </w:t>
      </w:r>
      <w:r w:rsidR="00E54C6A">
        <w:rPr>
          <w:rFonts w:asciiTheme="minorHAnsi" w:eastAsia="Calibri" w:hAnsiTheme="minorHAnsi" w:cs="Calibri"/>
          <w:color w:val="000000"/>
          <w:sz w:val="22"/>
          <w:szCs w:val="22"/>
          <w:lang w:eastAsia="zh-CN"/>
        </w:rPr>
        <w:t xml:space="preserve">have </w:t>
      </w:r>
      <w:r w:rsidRPr="00C44D8C">
        <w:rPr>
          <w:rFonts w:asciiTheme="minorHAnsi" w:eastAsia="Calibri" w:hAnsiTheme="minorHAnsi" w:cs="Calibri"/>
          <w:color w:val="000000"/>
          <w:sz w:val="22"/>
          <w:szCs w:val="22"/>
          <w:lang w:eastAsia="zh-CN"/>
        </w:rPr>
        <w:t>both attractive G</w:t>
      </w:r>
      <w:r w:rsidRPr="00C44D8C">
        <w:rPr>
          <w:rFonts w:asciiTheme="minorHAnsi" w:eastAsia="Calibri" w:hAnsiTheme="minorHAnsi" w:cs="Calibri"/>
          <w:color w:val="000000"/>
          <w:sz w:val="22"/>
          <w:szCs w:val="22"/>
          <w:vertAlign w:val="superscript"/>
          <w:lang w:eastAsia="zh-CN"/>
        </w:rPr>
        <w:t>LW</w:t>
      </w:r>
      <w:r w:rsidRPr="00C44D8C">
        <w:rPr>
          <w:rFonts w:asciiTheme="minorHAnsi" w:eastAsia="Calibri" w:hAnsiTheme="minorHAnsi" w:cs="Calibri"/>
          <w:color w:val="000000"/>
          <w:sz w:val="22"/>
          <w:szCs w:val="22"/>
          <w:lang w:eastAsia="zh-CN"/>
        </w:rPr>
        <w:t xml:space="preserve"> and G</w:t>
      </w:r>
      <w:r w:rsidRPr="00C44D8C">
        <w:rPr>
          <w:rFonts w:asciiTheme="minorHAnsi" w:eastAsia="Calibri" w:hAnsiTheme="minorHAnsi" w:cs="Calibri"/>
          <w:color w:val="000000"/>
          <w:sz w:val="22"/>
          <w:szCs w:val="22"/>
          <w:vertAlign w:val="superscript"/>
          <w:lang w:eastAsia="zh-CN"/>
        </w:rPr>
        <w:t>AB</w:t>
      </w:r>
      <w:r w:rsidRPr="00C44D8C">
        <w:rPr>
          <w:rFonts w:asciiTheme="minorHAnsi" w:eastAsia="Calibri" w:hAnsiTheme="minorHAnsi" w:cs="Calibri"/>
          <w:color w:val="000000"/>
          <w:sz w:val="22"/>
          <w:szCs w:val="22"/>
          <w:lang w:eastAsia="zh-CN"/>
        </w:rPr>
        <w:t xml:space="preserve"> interactions (Fig. 3.6). These </w:t>
      </w:r>
      <w:r w:rsidR="00E54C6A">
        <w:rPr>
          <w:rFonts w:asciiTheme="minorHAnsi" w:eastAsia="Calibri" w:hAnsiTheme="minorHAnsi" w:cs="Calibri"/>
          <w:color w:val="000000"/>
          <w:sz w:val="22"/>
          <w:szCs w:val="22"/>
          <w:lang w:eastAsia="zh-CN"/>
        </w:rPr>
        <w:t>overcame</w:t>
      </w:r>
      <w:r w:rsidRPr="00C44D8C">
        <w:rPr>
          <w:rFonts w:asciiTheme="minorHAnsi" w:eastAsia="Calibri" w:hAnsiTheme="minorHAnsi" w:cs="Calibri"/>
          <w:color w:val="000000"/>
          <w:sz w:val="22"/>
          <w:szCs w:val="22"/>
          <w:lang w:eastAsia="zh-CN"/>
        </w:rPr>
        <w:t xml:space="preserve"> the repulsive short-range G</w:t>
      </w:r>
      <w:r w:rsidRPr="00C44D8C">
        <w:rPr>
          <w:rFonts w:asciiTheme="minorHAnsi" w:eastAsia="Calibri" w:hAnsiTheme="minorHAnsi" w:cs="Calibri"/>
          <w:color w:val="000000"/>
          <w:sz w:val="22"/>
          <w:szCs w:val="22"/>
          <w:vertAlign w:val="superscript"/>
          <w:lang w:eastAsia="zh-CN"/>
        </w:rPr>
        <w:t>AB</w:t>
      </w:r>
      <w:r w:rsidRPr="00C44D8C">
        <w:rPr>
          <w:rFonts w:asciiTheme="minorHAnsi" w:eastAsia="Calibri" w:hAnsiTheme="minorHAnsi" w:cs="Calibri"/>
          <w:color w:val="000000"/>
          <w:sz w:val="22"/>
          <w:szCs w:val="22"/>
          <w:lang w:eastAsia="zh-CN"/>
        </w:rPr>
        <w:t xml:space="preserve"> interactions, resulting in a strong net attractive force </w:t>
      </w:r>
      <w:r w:rsidR="00E54C6A">
        <w:rPr>
          <w:rFonts w:asciiTheme="minorHAnsi" w:eastAsia="Calibri" w:hAnsiTheme="minorHAnsi" w:cs="Calibri"/>
          <w:color w:val="000000"/>
          <w:sz w:val="22"/>
          <w:szCs w:val="22"/>
          <w:lang w:eastAsia="zh-CN"/>
        </w:rPr>
        <w:t>at the microbial-abiotic interface</w:t>
      </w:r>
      <w:r w:rsidRPr="00C44D8C">
        <w:rPr>
          <w:rFonts w:asciiTheme="minorHAnsi" w:eastAsia="Calibri" w:hAnsiTheme="minorHAnsi" w:cs="Calibri"/>
          <w:color w:val="000000"/>
          <w:sz w:val="22"/>
          <w:szCs w:val="22"/>
          <w:lang w:eastAsia="zh-CN"/>
        </w:rPr>
        <w:t>. The</w:t>
      </w:r>
      <w:r w:rsidR="00E54C6A">
        <w:rPr>
          <w:rFonts w:asciiTheme="minorHAnsi" w:eastAsia="Calibri" w:hAnsiTheme="minorHAnsi" w:cs="Calibri"/>
          <w:color w:val="000000"/>
          <w:sz w:val="22"/>
          <w:szCs w:val="22"/>
          <w:lang w:eastAsia="zh-CN"/>
        </w:rPr>
        <w:t>refore, the</w:t>
      </w:r>
      <w:r w:rsidRPr="00C44D8C">
        <w:rPr>
          <w:rFonts w:asciiTheme="minorHAnsi" w:eastAsia="Calibri" w:hAnsiTheme="minorHAnsi" w:cs="Calibri"/>
          <w:color w:val="000000"/>
          <w:sz w:val="22"/>
          <w:szCs w:val="22"/>
          <w:lang w:eastAsia="zh-CN"/>
        </w:rPr>
        <w:t xml:space="preserve"> xDLVO model predicted irreversible adhesion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cells to these surfaces.</w:t>
      </w:r>
    </w:p>
    <w:p w14:paraId="534D2386" w14:textId="77777777" w:rsidR="00436CD0" w:rsidRPr="000B6618" w:rsidRDefault="00436CD0" w:rsidP="000B6618">
      <w:pPr>
        <w:pStyle w:val="Heading6"/>
        <w:rPr>
          <w:rFonts w:eastAsia="Calibri"/>
        </w:rPr>
      </w:pPr>
      <w:bookmarkStart w:id="98" w:name="_Toc462575313"/>
      <w:r w:rsidRPr="000B6618">
        <w:rPr>
          <w:rFonts w:eastAsia="Calibri"/>
        </w:rPr>
        <w:lastRenderedPageBreak/>
        <w:t>3.3.4. Cell biomass quantification</w:t>
      </w:r>
      <w:bookmarkEnd w:id="98"/>
    </w:p>
    <w:p w14:paraId="51589DA7" w14:textId="25EFFED9" w:rsidR="00436CD0" w:rsidRPr="00C44D8C" w:rsidRDefault="00436CD0" w:rsidP="00436CD0">
      <w:pPr>
        <w:spacing w:line="360" w:lineRule="auto"/>
        <w:rPr>
          <w:rFonts w:asciiTheme="minorHAnsi" w:eastAsia="Calibri" w:hAnsiTheme="minorHAnsi" w:cs="Calibri"/>
          <w:bCs/>
          <w:color w:val="000000"/>
          <w:sz w:val="22"/>
          <w:szCs w:val="22"/>
          <w:lang w:eastAsia="zh-CN"/>
        </w:rPr>
      </w:pPr>
      <w:r w:rsidRPr="00C44D8C">
        <w:rPr>
          <w:rFonts w:asciiTheme="minorHAnsi" w:eastAsia="Calibri" w:hAnsiTheme="minorHAnsi" w:cs="Calibri"/>
          <w:bCs/>
          <w:color w:val="000000"/>
          <w:sz w:val="22"/>
          <w:szCs w:val="22"/>
          <w:lang w:eastAsia="zh-CN"/>
        </w:rPr>
        <w:t xml:space="preserve">The ATP bioluminescence and crystal violet staining methods for quantifying the amount of cells attached to the six support materials in the initial adhesion and biofilm formation assays were not successful. The results from both these quantification methods </w:t>
      </w:r>
      <w:r w:rsidR="00E54C6A">
        <w:rPr>
          <w:rFonts w:asciiTheme="minorHAnsi" w:eastAsia="Calibri" w:hAnsiTheme="minorHAnsi" w:cs="Calibri"/>
          <w:bCs/>
          <w:color w:val="000000"/>
          <w:sz w:val="22"/>
          <w:szCs w:val="22"/>
          <w:lang w:eastAsia="zh-CN"/>
        </w:rPr>
        <w:t>proved to be</w:t>
      </w:r>
      <w:r w:rsidRPr="00C44D8C">
        <w:rPr>
          <w:rFonts w:asciiTheme="minorHAnsi" w:eastAsia="Calibri" w:hAnsiTheme="minorHAnsi" w:cs="Calibri"/>
          <w:bCs/>
          <w:color w:val="000000"/>
          <w:sz w:val="22"/>
          <w:szCs w:val="22"/>
          <w:lang w:eastAsia="zh-CN"/>
        </w:rPr>
        <w:t xml:space="preserve"> unreliable and inconsistent upon repeat experiments. </w:t>
      </w:r>
    </w:p>
    <w:p w14:paraId="4FA4DE91" w14:textId="5A55A564"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bCs/>
          <w:color w:val="000000"/>
          <w:sz w:val="22"/>
          <w:szCs w:val="22"/>
          <w:lang w:eastAsia="zh-CN"/>
        </w:rPr>
        <w:t>The ATP bioluminescence analysis revealed a large increase in</w:t>
      </w:r>
      <w:r w:rsidRPr="00C44D8C">
        <w:rPr>
          <w:rFonts w:asciiTheme="minorHAnsi" w:eastAsia="Calibri" w:hAnsiTheme="minorHAnsi" w:cs="Calibri"/>
          <w:color w:val="000000"/>
          <w:sz w:val="22"/>
          <w:szCs w:val="22"/>
          <w:lang w:eastAsia="zh-CN"/>
        </w:rPr>
        <w:t xml:space="preserve"> ATP concentration from </w:t>
      </w:r>
      <w:r w:rsidRPr="00C44D8C">
        <w:rPr>
          <w:rFonts w:asciiTheme="minorHAnsi" w:eastAsia="Calibri" w:hAnsiTheme="minorHAnsi" w:cs="Calibri"/>
          <w:i/>
          <w:iCs/>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to all six support materials after 2 h compared to the control, but no significant changes in ATP concentration were detected after 72 h or 96 h (p &gt; 0.05, Student paired t-test). These results were not consistent with SEM images that showed increased cell attachment to some of the support materials at these time points compared to images taken at 2 h (Figs. 3.7-3.9). The ATP bioluminescence findings from this study can be explained by the findings </w:t>
      </w:r>
      <w:r w:rsidRPr="00253639">
        <w:rPr>
          <w:rFonts w:asciiTheme="minorHAnsi" w:eastAsia="Calibri" w:hAnsiTheme="minorHAnsi" w:cs="Calibri"/>
          <w:color w:val="000000"/>
          <w:sz w:val="22"/>
          <w:szCs w:val="22"/>
          <w:lang w:eastAsia="zh-CN"/>
        </w:rPr>
        <w:t>from Blaut &amp; Gottschalk (1984),</w:t>
      </w:r>
      <w:r w:rsidRPr="00C44D8C">
        <w:rPr>
          <w:rFonts w:asciiTheme="minorHAnsi" w:eastAsia="Calibri" w:hAnsiTheme="minorHAnsi" w:cs="Calibri"/>
          <w:color w:val="000000"/>
          <w:sz w:val="22"/>
          <w:szCs w:val="22"/>
          <w:lang w:eastAsia="zh-CN"/>
        </w:rPr>
        <w:t xml:space="preserve"> who found that in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grown on methanol, the initial addition of methanol to the medium was linked to a tenfold increase in intracellular ATP concentrations over a short duration of 2 h, as methanogenesis commenced</w:t>
      </w:r>
      <w:r w:rsidR="00253639">
        <w:rPr>
          <w:rFonts w:asciiTheme="minorHAnsi" w:eastAsia="Calibri" w:hAnsiTheme="minorHAnsi" w:cs="Calibri"/>
          <w:color w:val="000000"/>
          <w:sz w:val="22"/>
          <w:szCs w:val="22"/>
          <w:lang w:eastAsia="zh-CN"/>
        </w:rPr>
        <w:t xml:space="preserve"> </w:t>
      </w:r>
      <w:r w:rsidR="00253639">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"author" : [ { "dropping-particle" : "", "family" : "Blaut", "given" : "Michael", "non-dropping-particle" : "", "parse-names" : false, "suffix" : "" }, { "dropping-particle" : "", "family" : "Gottschalk", "given" : "Gerhard", "non-dropping-particle" : "", "parse-names" : false, "suffix" : "" } ], "container-title" : "European journal of biochemistry", "id" : "ITEM-1", "issued" : { "date-parts" : [ [ "1984" ] ] }, "page" : "217-222", "title" : "Coupling of ATP synthesis and methane formation from methanol and molecular hydrogen in", "type" : "article-journal", "volume" : "222" }, "uris" : [ "http://www.mendeley.com/documents/?uuid=11c9b0ce-04c3-4f7b-bd11-f49ebed1fab1" ] } ], "mendeley" : { "formattedCitation" : "[181]", "plainTextFormattedCitation" : "[181]", "previouslyFormattedCitation" : "[181]"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[181]</w:t>
      </w:r>
      <w:r w:rsidR="0025363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However, intracellular ATP concentrations decreased rapidly after 2 h to approximate original levels as methanol became depleted. It is feasible that the ATP bioluminescence results in this study reflect the results found by </w:t>
      </w:r>
      <w:r w:rsidRPr="00253639">
        <w:rPr>
          <w:rFonts w:asciiTheme="minorHAnsi" w:eastAsia="Calibri" w:hAnsiTheme="minorHAnsi" w:cs="Calibri"/>
          <w:color w:val="000000"/>
          <w:sz w:val="22"/>
          <w:szCs w:val="22"/>
          <w:lang w:eastAsia="zh-CN"/>
        </w:rPr>
        <w:t>Blaut &amp; Gottschalk (1984).</w:t>
      </w:r>
      <w:r w:rsidRPr="00C44D8C">
        <w:rPr>
          <w:rFonts w:asciiTheme="minorHAnsi" w:eastAsia="Calibri" w:hAnsiTheme="minorHAnsi" w:cs="Calibri"/>
          <w:color w:val="000000"/>
          <w:sz w:val="22"/>
          <w:szCs w:val="22"/>
          <w:lang w:eastAsia="zh-CN"/>
        </w:rPr>
        <w:t xml:space="preserve"> </w:t>
      </w:r>
      <w:r w:rsidRPr="00C44D8C">
        <w:rPr>
          <w:rFonts w:asciiTheme="minorHAnsi" w:eastAsia="Cambria" w:hAnsiTheme="minorHAnsi" w:cs="Cambria"/>
          <w:color w:val="000000"/>
          <w:sz w:val="22"/>
          <w:szCs w:val="22"/>
          <w:lang w:eastAsia="zh-CN"/>
        </w:rPr>
        <w:t xml:space="preserve">As a result, </w:t>
      </w:r>
      <w:r w:rsidRPr="00C44D8C">
        <w:rPr>
          <w:rFonts w:asciiTheme="minorHAnsi" w:eastAsia="Calibri" w:hAnsiTheme="minorHAnsi" w:cs="Calibri"/>
          <w:color w:val="000000"/>
          <w:sz w:val="22"/>
          <w:szCs w:val="22"/>
          <w:lang w:eastAsia="zh-CN"/>
        </w:rPr>
        <w:t xml:space="preserve">this method was not used for the time-course quantification of adherent cells of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in both adhesion assays, as it could not give a reliable quantification of the amount of cells attached to the support materials.</w:t>
      </w:r>
    </w:p>
    <w:p w14:paraId="02FB44C9" w14:textId="66949005" w:rsidR="00114AA3"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Secondly, the well-used biofilm quantification method of crystal violet staining was also deemed unsuitable for quantifying the amount of adherent cells in the initial adhesion and biofilm formation experiments</w:t>
      </w:r>
      <w:r w:rsidRPr="00C44D8C">
        <w:rPr>
          <w:rFonts w:asciiTheme="minorHAnsi" w:eastAsia="Calibri" w:hAnsiTheme="minorHAnsi" w:cs="Calibri"/>
          <w:i/>
          <w:color w:val="000000"/>
          <w:sz w:val="22"/>
          <w:szCs w:val="22"/>
          <w:lang w:eastAsia="zh-CN"/>
        </w:rPr>
        <w:t xml:space="preserve">, </w:t>
      </w:r>
      <w:r w:rsidRPr="00C44D8C">
        <w:rPr>
          <w:rFonts w:asciiTheme="minorHAnsi" w:eastAsia="Calibri" w:hAnsiTheme="minorHAnsi" w:cs="Calibri"/>
          <w:iCs/>
          <w:color w:val="000000"/>
          <w:sz w:val="22"/>
          <w:szCs w:val="22"/>
          <w:lang w:eastAsia="zh-CN"/>
        </w:rPr>
        <w:t xml:space="preserve">producing inconsistent and unreproducible results </w:t>
      </w:r>
      <w:r w:rsidRPr="00C44D8C">
        <w:rPr>
          <w:rFonts w:asciiTheme="minorHAnsi" w:eastAsia="Calibri" w:hAnsiTheme="minorHAnsi" w:cs="Calibri"/>
          <w:bCs/>
          <w:color w:val="000000"/>
          <w:sz w:val="22"/>
          <w:szCs w:val="22"/>
          <w:lang w:eastAsia="zh-CN"/>
        </w:rPr>
        <w:t>upon repeat experiments</w:t>
      </w:r>
      <w:r w:rsidRPr="00C44D8C">
        <w:rPr>
          <w:rFonts w:asciiTheme="minorHAnsi" w:eastAsia="Calibri" w:hAnsiTheme="minorHAnsi" w:cs="Calibri"/>
          <w:iCs/>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Archaea possess different cell envelope structures to bacteria, which can cause discrepancies in their response to Gram stains, such as crystal violet </w:t>
      </w:r>
      <w:r w:rsidR="00253639">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"ISSN" : "1350-0872", "PMID" : "8885405", "abstract" : "Archaea possess a broader range of cell envelope structural formats than eubacteria and their cell walls do not contain peptidoglycan. Some archaea have only a single S-layer as their cell wall (e.g. Methanococcus jannaschii and Sulfolobus acidocaldarius), whereas others have multiple layers (e.g. Methanospirillum hungatei). Sometimes there can also be a high proportion of tetraether lipids in membranes to make the envelope more resilient to environmental stress (e.g. Methanococcus jannaschii and Sulfolobus acidocaldarius grown at 70 degrees C). Since the Gram reaction depends on both the structural format and the chemical composition of the cell envelope of eubacteria, it was important to determine if the same is true for archaea. Methanospirillum hungatei, Methanosarcina mazei, Methanobacterium formicicum, Methanococcus jannaschii and Sulfolobus acidocaldarius, chosen because of their different envelope formats and chemistries, were subjected to a Gram stain that can be used for transmission electron microscopy. In this staining regimen, the iodine is replaced by potassium trichloro(eta 2-ethylene)platinate(II) as the mordant, and the platinum of the new compound is the electron-scattering agent for electron microscopy. Of all these archaea, only Methanobacterium formicicum stained Gram-positive since its pseudomurein wall remained intact; the platinum compound formed large electron-dense aggregates with the crystal violet that were located in the vicinity of the cell wall and the plasma membrane. All but the terminal filament cells of Methanospirillum hungatei stained Gram-negative because the limiting porosity of its external sheath was so small that the Gram reagents could not enter the cells. The terminal cells of filaments stained Gram-positive because the staining reagents gained entry through the terminal plugs. All other archaea stained Gram-negative because their cell walls were so disrupted during staining that the crystal violet-platinum complex could not be retained by the cells. Methanococcus jannaschii was grown at both 50 degrees C and 70 degrees C so that the tetraether lipids in its plasma membrane could be increased from 20% (50 degrees C) to 45% (70 degrees C) of the total lipids; in both cases the cells stained Gram-negative.", "author" : [ { "dropping-particle" : "", "family" : "Beveridge", "given" : "T J", "non-dropping-particle" : "", "parse-names" : false, "suffix" : "" }, { "dropping-particle" : "", "family" : "Schultze-Lam", "given" : "S", "non-dropping-particle" : "", "parse-names" : false, "suffix" : "" } ], "container-title" : "Microbiology", "id" : "ITEM-1", "issue" : "1996", "issued" : { "date-parts" : [ [ "1996", "10" ] ] }, "page" : "2887-95", "title" : "The response of selected members of the archaea to the gram stain.", "type" : "article-journal", "volume" : "142" }, "uris" : [ "http://www.mendeley.com/documents/?uuid=be9f98cd-4b63-4af3-ae68-9b5d5e2b2035" ] } ], "mendeley" : { "formattedCitation" : "[182]", "plainTextFormattedCitation" : "[182]", "previouslyFormattedCitation" : "[182]"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[182]</w:t>
      </w:r>
      <w:r w:rsidR="00253639">
        <w:rPr>
          <w:rFonts w:asciiTheme="minorHAnsi" w:eastAsia="Calibri" w:hAnsiTheme="minorHAnsi" w:cs="Calibri"/>
          <w:color w:val="000000"/>
          <w:sz w:val="22"/>
          <w:szCs w:val="22"/>
          <w:lang w:eastAsia="zh-CN"/>
        </w:rPr>
        <w:fldChar w:fldCharType="end"/>
      </w:r>
      <w:r w:rsidR="00253639">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lang w:eastAsia="zh-CN"/>
        </w:rPr>
        <w:t xml:space="preserve"> </w:t>
      </w:r>
    </w:p>
    <w:p w14:paraId="7C8A79E7" w14:textId="7E07E3FC"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i/>
          <w:color w:val="000000"/>
          <w:sz w:val="22"/>
          <w:szCs w:val="22"/>
          <w:lang w:eastAsia="zh-CN"/>
        </w:rPr>
        <w:t xml:space="preserve">Methanosarcina </w:t>
      </w:r>
      <w:r w:rsidRPr="00C44D8C">
        <w:rPr>
          <w:rFonts w:asciiTheme="minorHAnsi" w:eastAsia="Calibri" w:hAnsiTheme="minorHAnsi" w:cs="Calibri"/>
          <w:color w:val="000000"/>
          <w:sz w:val="22"/>
          <w:szCs w:val="22"/>
          <w:lang w:eastAsia="zh-CN"/>
        </w:rPr>
        <w:t>possesses a cell wall structure of variable thickness depending on growth conditions</w:t>
      </w:r>
      <w:r w:rsidR="00253639">
        <w:rPr>
          <w:rFonts w:asciiTheme="minorHAnsi" w:eastAsia="Calibri" w:hAnsiTheme="minorHAnsi" w:cs="Calibri"/>
          <w:color w:val="000000"/>
          <w:sz w:val="22"/>
          <w:szCs w:val="22"/>
          <w:lang w:eastAsia="zh-CN"/>
        </w:rPr>
        <w:t xml:space="preserve"> </w:t>
      </w:r>
      <w:r w:rsidR="00253639">
        <w:rPr>
          <w:rFonts w:asciiTheme="minorHAnsi" w:eastAsia="Calibri" w:hAnsiTheme="minorHAnsi" w:cs="Calibri"/>
          <w:color w:val="000000"/>
          <w:sz w:val="22"/>
          <w:szCs w:val="22"/>
          <w:lang w:eastAsia="zh-CN"/>
        </w:rPr>
        <w:fldChar w:fldCharType="begin" w:fldLock="1"/>
      </w:r>
      <w:r w:rsidR="00F6573E">
        <w:rPr>
          <w:rFonts w:asciiTheme="minorHAnsi" w:eastAsia="Calibri" w:hAnsiTheme="minorHAnsi" w:cs="Calibri"/>
          <w:color w:val="000000"/>
          <w:sz w:val="22"/>
          <w:szCs w:val="22"/>
          <w:lang w:eastAsia="zh-CN"/>
        </w:rPr>
        <w:instrText>ADDIN CSL_CITATION { "citationItems" : [ { "id" : "ITEM-1", "itemData" : { "DOI" : "10.1016/j.colsurfb.2014.12.035", "ISSN" : "09277765", "author" : [ { "dropping-particle" : "", "family" : "Milkevych", "given" : "V.", "non-dropping-particle" : "", "parse-names" : false, "suffix" : "" }, { "dropping-particle" : "", "family" : "Donose", "given" : "B.C.", "non-dropping-particle" : "", "parse-names" : false, "suffix" : "" }, { "dropping-particle" : "", "family" : "Juste-Poinapen", "given" : "N.", "non-dropping-particle" : "", "parse-names" : false, "suffix" : "" }, { "dropping-particle" : "", "family" : "Batstone", "given" : "D.J.", "non-dropping-particle" : "", "parse-names" : false, "suffix" : "" } ], "container-title" : "Colloids and Surfaces B: Biointerfaces", "id" : "ITEM-1", "issued" : { "date-parts" : [ [ "2015" ] ] }, "page" : "303-312", "publisher" : "Elsevier B.V.", "title" : "Mechanical and cell-to-cell adhesive properties of aggregated Methanosarcina", "type" : "article-journal", "volume" : "126" }, "uris" : [ "http://www.mendeley.com/documents/?uuid=68b9cc12-02de-426e-a6b7-9d3bf7b064c3" ] } ], "mendeley" : { "formattedCitation" : "[53]", "plainTextFormattedCitation" : "[53]", "previouslyFormattedCitation" : "[53]"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3250CB" w:rsidRPr="003250CB">
        <w:rPr>
          <w:rFonts w:asciiTheme="minorHAnsi" w:eastAsia="Calibri" w:hAnsiTheme="minorHAnsi" w:cs="Calibri"/>
          <w:noProof/>
          <w:color w:val="000000"/>
          <w:sz w:val="22"/>
          <w:szCs w:val="22"/>
          <w:lang w:eastAsia="zh-CN"/>
        </w:rPr>
        <w:t>[53]</w:t>
      </w:r>
      <w:r w:rsidR="00253639">
        <w:rPr>
          <w:rFonts w:asciiTheme="minorHAnsi" w:eastAsia="Calibri" w:hAnsiTheme="minorHAnsi" w:cs="Calibri"/>
          <w:color w:val="000000"/>
          <w:sz w:val="22"/>
          <w:szCs w:val="22"/>
          <w:lang w:eastAsia="zh-CN"/>
        </w:rPr>
        <w:fldChar w:fldCharType="end"/>
      </w:r>
      <w:r w:rsidR="00253639">
        <w:rPr>
          <w:rFonts w:asciiTheme="minorHAnsi" w:eastAsia="Calibri" w:hAnsiTheme="minorHAnsi" w:cs="Calibri"/>
          <w:color w:val="000000"/>
          <w:sz w:val="22"/>
          <w:szCs w:val="22"/>
          <w:lang w:eastAsia="zh-CN"/>
        </w:rPr>
        <w:t>, which could</w:t>
      </w:r>
      <w:r w:rsidRPr="00C44D8C">
        <w:rPr>
          <w:rFonts w:asciiTheme="minorHAnsi" w:eastAsia="Calibri" w:hAnsiTheme="minorHAnsi" w:cs="Calibri"/>
          <w:color w:val="000000"/>
          <w:sz w:val="22"/>
          <w:szCs w:val="22"/>
          <w:lang w:eastAsia="zh-CN"/>
        </w:rPr>
        <w:t xml:space="preserve"> further affect the results of crystal violet staining. A previous study by </w:t>
      </w:r>
      <w:r w:rsidRPr="00253639">
        <w:rPr>
          <w:rFonts w:asciiTheme="minorHAnsi" w:eastAsia="Calibri" w:hAnsiTheme="minorHAnsi" w:cs="Calibri"/>
          <w:color w:val="000000"/>
          <w:sz w:val="22"/>
          <w:szCs w:val="22"/>
          <w:lang w:eastAsia="zh-CN"/>
        </w:rPr>
        <w:t>Beveridge &amp; Schultze-Lam (1996) showed</w:t>
      </w:r>
      <w:r w:rsidRPr="00C44D8C">
        <w:rPr>
          <w:rFonts w:asciiTheme="minorHAnsi" w:eastAsia="Calibri" w:hAnsiTheme="minorHAnsi" w:cs="Calibri"/>
          <w:color w:val="000000"/>
          <w:sz w:val="22"/>
          <w:szCs w:val="22"/>
          <w:lang w:eastAsia="zh-CN"/>
        </w:rPr>
        <w:t xml:space="preserve"> that the addition of crystal violet to </w:t>
      </w:r>
      <w:r w:rsidRPr="00C44D8C">
        <w:rPr>
          <w:rFonts w:asciiTheme="minorHAnsi" w:eastAsia="Calibri" w:hAnsiTheme="minorHAnsi" w:cs="Calibri"/>
          <w:i/>
          <w:color w:val="000000"/>
          <w:sz w:val="22"/>
          <w:szCs w:val="22"/>
          <w:lang w:eastAsia="zh-CN"/>
        </w:rPr>
        <w:t>Methanosarcina mazei</w:t>
      </w:r>
      <w:r w:rsidRPr="00C44D8C">
        <w:rPr>
          <w:rFonts w:asciiTheme="minorHAnsi" w:eastAsia="Calibri" w:hAnsiTheme="minorHAnsi" w:cs="Calibri"/>
          <w:color w:val="000000"/>
          <w:sz w:val="22"/>
          <w:szCs w:val="22"/>
          <w:lang w:eastAsia="zh-CN"/>
        </w:rPr>
        <w:t xml:space="preserve"> caused cell lysis</w:t>
      </w:r>
      <w:r w:rsidR="00253639">
        <w:rPr>
          <w:rFonts w:asciiTheme="minorHAnsi" w:eastAsia="Calibri" w:hAnsiTheme="minorHAnsi" w:cs="Calibri"/>
          <w:color w:val="000000"/>
          <w:sz w:val="22"/>
          <w:szCs w:val="22"/>
          <w:lang w:eastAsia="zh-CN"/>
        </w:rPr>
        <w:t xml:space="preserve"> </w:t>
      </w:r>
      <w:r w:rsidR="00253639">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"ISSN" : "1350-0872", "PMID" : "8885405", "abstract" : "Archaea possess a broader range of cell envelope structural formats than eubacteria and their cell walls do not contain peptidoglycan. Some archaea have only a single S-layer as their cell wall (e.g. Methanococcus jannaschii and Sulfolobus acidocaldarius), whereas others have multiple layers (e.g. Methanospirillum hungatei). Sometimes there can also be a high proportion of tetraether lipids in membranes to make the envelope more resilient to environmental stress (e.g. Methanococcus jannaschii and Sulfolobus acidocaldarius grown at 70 degrees C). Since the Gram reaction depends on both the structural format and the chemical composition of the cell envelope of eubacteria, it was important to determine if the same is true for archaea. Methanospirillum hungatei, Methanosarcina mazei, Methanobacterium formicicum, Methanococcus jannaschii and Sulfolobus acidocaldarius, chosen because of their different envelope formats and chemistries, were subjected to a Gram stain that can be used for transmission electron microscopy. In this staining regimen, the iodine is replaced by potassium trichloro(eta 2-ethylene)platinate(II) as the mordant, and the platinum of the new compound is the electron-scattering agent for electron microscopy. Of all these archaea, only Methanobacterium formicicum stained Gram-positive since its pseudomurein wall remained intact; the platinum compound formed large electron-dense aggregates with the crystal violet that were located in the vicinity of the cell wall and the plasma membrane. All but the terminal filament cells of Methanospirillum hungatei stained Gram-negative because the limiting porosity of its external sheath was so small that the Gram reagents could not enter the cells. The terminal cells of filaments stained Gram-positive because the staining reagents gained entry through the terminal plugs. All other archaea stained Gram-negative because their cell walls were so disrupted during staining that the crystal violet-platinum complex could not be retained by the cells. Methanococcus jannaschii was grown at both 50 degrees C and 70 degrees C so that the tetraether lipids in its plasma membrane could be increased from 20% (50 degrees C) to 45% (70 degrees C) of the total lipids; in both cases the cells stained Gram-negative.", "author" : [ { "dropping-particle" : "", "family" : "Beveridge", "given" : "T J", "non-dropping-particle" : "", "parse-names" : false, "suffix" : "" }, { "dropping-particle" : "", "family" : "Schultze-Lam", "given" : "S", "non-dropping-particle" : "", "parse-names" : false, "suffix" : "" } ], "container-title" : "Microbiology", "id" : "ITEM-1", "issue" : "1996", "issued" : { "date-parts" : [ [ "1996", "10" ] ] }, "page" : "2887-95", "title" : "The response of selected members of the archaea to the gram stain.", "type" : "article-journal", "volume" : "142" }, "uris" : [ "http://www.mendeley.com/documents/?uuid=be9f98cd-4b63-4af3-ae68-9b5d5e2b2035" ] } ], "mendeley" : { "formattedCitation" : "[182]", "plainTextFormattedCitation" : "[182]", "previouslyFormattedCitation" : "[182]"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[182]</w:t>
      </w:r>
      <w:r w:rsidR="0025363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It is feasible that the crystal violet results in this study reflect the results found in these previous studies. Therefore, crystal violet staining was not used further for cell biomass quantification in this chapter.</w:t>
      </w:r>
    </w:p>
    <w:p w14:paraId="67739D89" w14:textId="77777777" w:rsidR="00436CD0" w:rsidRPr="00C44D8C" w:rsidRDefault="00436CD0" w:rsidP="00436CD0">
      <w:pPr>
        <w:rPr>
          <w:rFonts w:asciiTheme="minorHAnsi" w:eastAsia="Cambria" w:hAnsiTheme="minorHAnsi" w:cs="Cambria"/>
          <w:color w:val="000000"/>
          <w:sz w:val="22"/>
          <w:szCs w:val="22"/>
          <w:lang w:eastAsia="zh-CN"/>
        </w:rPr>
      </w:pPr>
    </w:p>
    <w:p w14:paraId="596F8309" w14:textId="5C163253" w:rsidR="00436CD0" w:rsidRPr="00C44D8C" w:rsidRDefault="000B6618" w:rsidP="000B6618">
      <w:pPr>
        <w:pStyle w:val="Heading6"/>
        <w:rPr>
          <w:rFonts w:eastAsia="Cambria" w:cs="Cambria"/>
          <w:lang w:eastAsia="zh-CN"/>
        </w:rPr>
      </w:pPr>
      <w:bookmarkStart w:id="99" w:name="_Toc462575314"/>
      <w:r>
        <w:rPr>
          <w:lang w:eastAsia="zh-CN"/>
        </w:rPr>
        <w:lastRenderedPageBreak/>
        <w:t>3.3.5.</w:t>
      </w:r>
      <w:r w:rsidR="00436CD0" w:rsidRPr="00C44D8C">
        <w:rPr>
          <w:rFonts w:eastAsia="Calibri"/>
          <w:lang w:eastAsia="zh-CN"/>
        </w:rPr>
        <w:t xml:space="preserve"> Initial adhesion</w:t>
      </w:r>
      <w:bookmarkEnd w:id="99"/>
      <w:r w:rsidR="00436CD0" w:rsidRPr="00C44D8C">
        <w:rPr>
          <w:rFonts w:eastAsia="Calibri"/>
          <w:lang w:eastAsia="zh-CN"/>
        </w:rPr>
        <w:t xml:space="preserve"> </w:t>
      </w:r>
    </w:p>
    <w:p w14:paraId="2602CA2F" w14:textId="50900415"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 initial adhesion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to the support materials after 2 h in 100 mM KCl at pH 7 was quantified in terms of the percentage of the surface area covered by adhering cells per mm</w:t>
      </w:r>
      <w:r w:rsidRPr="00C44D8C">
        <w:rPr>
          <w:rFonts w:asciiTheme="minorHAnsi" w:eastAsia="Calibri" w:hAnsiTheme="minorHAnsi" w:cs="Calibri"/>
          <w:color w:val="000000"/>
          <w:sz w:val="22"/>
          <w:szCs w:val="22"/>
          <w:vertAlign w:val="superscript"/>
          <w:lang w:eastAsia="zh-CN"/>
        </w:rPr>
        <w:t xml:space="preserve">2 </w:t>
      </w:r>
      <w:r w:rsidRPr="00C44D8C">
        <w:rPr>
          <w:rFonts w:asciiTheme="minorHAnsi" w:eastAsia="Calibri" w:hAnsiTheme="minorHAnsi" w:cs="Calibri"/>
          <w:color w:val="000000"/>
          <w:sz w:val="22"/>
          <w:szCs w:val="22"/>
          <w:lang w:eastAsia="zh-CN"/>
        </w:rPr>
        <w:t xml:space="preserve">using DAPI staining </w:t>
      </w:r>
      <w:r w:rsidR="00E54C6A">
        <w:rPr>
          <w:rFonts w:asciiTheme="minorHAnsi" w:eastAsia="Calibri" w:hAnsiTheme="minorHAnsi" w:cs="Calibri"/>
          <w:color w:val="000000"/>
          <w:sz w:val="22"/>
          <w:szCs w:val="22"/>
          <w:lang w:eastAsia="zh-CN"/>
        </w:rPr>
        <w:t>coupled with</w:t>
      </w:r>
      <w:r w:rsidRPr="00C44D8C">
        <w:rPr>
          <w:rFonts w:asciiTheme="minorHAnsi" w:eastAsia="Calibri" w:hAnsiTheme="minorHAnsi" w:cs="Calibri"/>
          <w:color w:val="000000"/>
          <w:sz w:val="22"/>
          <w:szCs w:val="22"/>
          <w:lang w:eastAsia="zh-CN"/>
        </w:rPr>
        <w:t xml:space="preserve"> epifluorescence microscopy (Fig. 3.7a). This method proved to be more reliable and reproducible than both the ATP bioluminescence and crystal violet methods, and was used to quantify </w:t>
      </w:r>
      <w:r w:rsidR="00E54C6A">
        <w:rPr>
          <w:rFonts w:asciiTheme="minorHAnsi" w:eastAsia="Calibri" w:hAnsiTheme="minorHAnsi" w:cs="Calibri"/>
          <w:color w:val="000000"/>
          <w:sz w:val="22"/>
          <w:szCs w:val="22"/>
          <w:lang w:eastAsia="zh-CN"/>
        </w:rPr>
        <w:t>adhered</w:t>
      </w:r>
      <w:r w:rsidRPr="00C44D8C">
        <w:rPr>
          <w:rFonts w:asciiTheme="minorHAnsi" w:eastAsia="Calibri" w:hAnsiTheme="minorHAnsi" w:cs="Calibri"/>
          <w:color w:val="000000"/>
          <w:sz w:val="22"/>
          <w:szCs w:val="22"/>
          <w:lang w:eastAsia="zh-CN"/>
        </w:rPr>
        <w:t xml:space="preserve"> cell biomass in this study.</w:t>
      </w:r>
      <w:r w:rsidR="00E54C6A">
        <w:rPr>
          <w:rFonts w:asciiTheme="minorHAnsi" w:eastAsia="Calibri" w:hAnsiTheme="minorHAnsi" w:cs="Calibri"/>
          <w:color w:val="000000"/>
          <w:sz w:val="22"/>
          <w:szCs w:val="22"/>
          <w:lang w:eastAsia="zh-CN"/>
        </w:rPr>
        <w:t xml:space="preserve"> Epifluorescence microscopy was used instead of CLSM, because preliminary experiments using CLSM revealed that </w:t>
      </w:r>
      <w:r w:rsidR="00E54C6A">
        <w:rPr>
          <w:rFonts w:asciiTheme="minorHAnsi" w:eastAsia="Calibri" w:hAnsiTheme="minorHAnsi" w:cs="Calibri"/>
          <w:i/>
          <w:color w:val="000000"/>
          <w:sz w:val="22"/>
          <w:szCs w:val="22"/>
          <w:lang w:eastAsia="zh-CN"/>
        </w:rPr>
        <w:t xml:space="preserve">M. barkeri </w:t>
      </w:r>
      <w:r w:rsidR="00E54C6A">
        <w:rPr>
          <w:rFonts w:asciiTheme="minorHAnsi" w:eastAsia="Calibri" w:hAnsiTheme="minorHAnsi" w:cs="Calibri"/>
          <w:color w:val="000000"/>
          <w:sz w:val="22"/>
          <w:szCs w:val="22"/>
          <w:lang w:eastAsia="zh-CN"/>
        </w:rPr>
        <w:t>biofilms were sparse and thin. As the thickness of biofilms was not being measured in this study, it was more appropriate to use epifluorescence microscopy.</w:t>
      </w:r>
    </w:p>
    <w:p w14:paraId="541345B7" w14:textId="5ABAF728" w:rsidR="00436CD0" w:rsidRPr="00C44D8C" w:rsidRDefault="00E54C6A" w:rsidP="00436CD0">
      <w:pPr>
        <w:spacing w:line="360" w:lineRule="auto"/>
        <w:ind w:firstLine="720"/>
        <w:rPr>
          <w:rFonts w:asciiTheme="minorHAnsi" w:eastAsia="Cambria" w:hAnsiTheme="minorHAnsi" w:cs="Cambria"/>
          <w:color w:val="000000"/>
          <w:sz w:val="22"/>
          <w:szCs w:val="22"/>
          <w:lang w:eastAsia="zh-CN"/>
        </w:rPr>
      </w:pPr>
      <w:r>
        <w:rPr>
          <w:rFonts w:asciiTheme="minorHAnsi" w:eastAsia="Calibri" w:hAnsiTheme="minorHAnsi" w:cs="Calibri"/>
          <w:color w:val="000000"/>
          <w:sz w:val="22"/>
          <w:szCs w:val="22"/>
          <w:lang w:eastAsia="zh-CN"/>
        </w:rPr>
        <w:t xml:space="preserve">Results showed that </w:t>
      </w:r>
      <w:r w:rsidR="00436CD0" w:rsidRPr="00C44D8C">
        <w:rPr>
          <w:rFonts w:asciiTheme="minorHAnsi" w:eastAsia="Calibri" w:hAnsiTheme="minorHAnsi" w:cs="Calibri"/>
          <w:i/>
          <w:color w:val="000000"/>
          <w:sz w:val="22"/>
          <w:szCs w:val="22"/>
          <w:lang w:eastAsia="zh-CN"/>
        </w:rPr>
        <w:t xml:space="preserve">M. barkeri </w:t>
      </w:r>
      <w:r>
        <w:rPr>
          <w:rFonts w:asciiTheme="minorHAnsi" w:eastAsia="Calibri" w:hAnsiTheme="minorHAnsi" w:cs="Calibri"/>
          <w:color w:val="000000"/>
          <w:sz w:val="22"/>
          <w:szCs w:val="22"/>
          <w:lang w:eastAsia="zh-CN"/>
        </w:rPr>
        <w:t xml:space="preserve">differentially </w:t>
      </w:r>
      <w:r w:rsidR="00436CD0" w:rsidRPr="00C44D8C">
        <w:rPr>
          <w:rFonts w:asciiTheme="minorHAnsi" w:eastAsia="Calibri" w:hAnsiTheme="minorHAnsi" w:cs="Calibri"/>
          <w:color w:val="000000"/>
          <w:sz w:val="22"/>
          <w:szCs w:val="22"/>
          <w:lang w:eastAsia="zh-CN"/>
        </w:rPr>
        <w:t>attach</w:t>
      </w:r>
      <w:r>
        <w:rPr>
          <w:rFonts w:asciiTheme="minorHAnsi" w:eastAsia="Calibri" w:hAnsiTheme="minorHAnsi" w:cs="Calibri"/>
          <w:color w:val="000000"/>
          <w:sz w:val="22"/>
          <w:szCs w:val="22"/>
          <w:lang w:eastAsia="zh-CN"/>
        </w:rPr>
        <w:t>ed</w:t>
      </w:r>
      <w:r w:rsidR="00436CD0" w:rsidRPr="00C44D8C">
        <w:rPr>
          <w:rFonts w:asciiTheme="minorHAnsi" w:eastAsia="Calibri" w:hAnsiTheme="minorHAnsi" w:cs="Calibri"/>
          <w:color w:val="000000"/>
          <w:sz w:val="22"/>
          <w:szCs w:val="22"/>
          <w:lang w:eastAsia="zh-CN"/>
        </w:rPr>
        <w:t xml:space="preserve"> to the support materials after 2 h (Fig. 3.7a), with the type of material strongly influencing the extent of cell adhesion (p &lt; 0.0001, Kruskal-Wallis test).</w:t>
      </w:r>
    </w:p>
    <w:p w14:paraId="026652C1"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percentage of surface coverage varied across all support materials, with PVC performing best in promoting the initial adhesion of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with 12% of the surface area/mm</w:t>
      </w:r>
      <w:r w:rsidRPr="00C44D8C">
        <w:rPr>
          <w:rFonts w:asciiTheme="minorHAnsi" w:eastAsia="Calibri" w:hAnsiTheme="minorHAnsi" w:cs="Calibri"/>
          <w:color w:val="000000"/>
          <w:sz w:val="22"/>
          <w:szCs w:val="22"/>
          <w:vertAlign w:val="superscript"/>
          <w:lang w:eastAsia="zh-CN"/>
        </w:rPr>
        <w:t xml:space="preserve">2 </w:t>
      </w:r>
      <w:r w:rsidRPr="00C44D8C">
        <w:rPr>
          <w:rFonts w:asciiTheme="minorHAnsi" w:eastAsia="Calibri" w:hAnsiTheme="minorHAnsi" w:cs="Calibri"/>
          <w:color w:val="000000"/>
          <w:sz w:val="22"/>
          <w:szCs w:val="22"/>
          <w:lang w:eastAsia="zh-CN"/>
        </w:rPr>
        <w:t xml:space="preserve">colonized by cells after 2 h. PTFE and PP also promoted a high percentage surface coverage from cells of </w:t>
      </w:r>
      <w:r w:rsidRPr="00C44D8C">
        <w:rPr>
          <w:rFonts w:asciiTheme="minorHAnsi" w:eastAsia="Calibri" w:hAnsiTheme="minorHAnsi" w:cs="Calibri"/>
          <w:i/>
          <w:color w:val="000000"/>
          <w:sz w:val="22"/>
          <w:szCs w:val="22"/>
          <w:lang w:eastAsia="zh-CN"/>
        </w:rPr>
        <w:t>M. barkeri.</w:t>
      </w:r>
    </w:p>
    <w:p w14:paraId="19E9332E" w14:textId="2D7F8DA3" w:rsidR="006D58FC" w:rsidRDefault="00436CD0" w:rsidP="006D58FC">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However, PETG, PVDF and PE possessed the poorest surfaces for initial colonization from </w:t>
      </w:r>
      <w:r w:rsidRPr="00C44D8C">
        <w:rPr>
          <w:rFonts w:asciiTheme="minorHAnsi" w:eastAsia="Calibri" w:hAnsiTheme="minorHAnsi" w:cs="Calibri"/>
          <w:i/>
          <w:color w:val="000000"/>
          <w:sz w:val="22"/>
          <w:szCs w:val="22"/>
          <w:lang w:eastAsia="zh-CN"/>
        </w:rPr>
        <w:t xml:space="preserve">M. barker, </w:t>
      </w:r>
      <w:r w:rsidRPr="00C44D8C">
        <w:rPr>
          <w:rFonts w:asciiTheme="minorHAnsi" w:eastAsia="Calibri" w:hAnsiTheme="minorHAnsi" w:cs="Calibri"/>
          <w:color w:val="000000"/>
          <w:sz w:val="22"/>
          <w:szCs w:val="22"/>
          <w:lang w:eastAsia="zh-CN"/>
        </w:rPr>
        <w:t>exhibiting &lt;5% surface coverage per mm</w:t>
      </w:r>
      <w:r w:rsidRPr="00C44D8C">
        <w:rPr>
          <w:rFonts w:asciiTheme="minorHAnsi" w:eastAsia="Calibri" w:hAnsiTheme="minorHAnsi" w:cs="Calibri"/>
          <w:color w:val="000000"/>
          <w:sz w:val="22"/>
          <w:szCs w:val="22"/>
          <w:vertAlign w:val="superscript"/>
          <w:lang w:eastAsia="zh-CN"/>
        </w:rPr>
        <w:t>2</w:t>
      </w:r>
      <w:r w:rsidRPr="00C44D8C">
        <w:rPr>
          <w:rFonts w:asciiTheme="minorHAnsi" w:eastAsia="Calibri" w:hAnsiTheme="minorHAnsi" w:cs="Calibri"/>
          <w: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There was no significant difference in the level of initial adhesion from </w:t>
      </w:r>
      <w:r w:rsidRPr="00C44D8C">
        <w:rPr>
          <w:rFonts w:asciiTheme="minorHAnsi" w:eastAsia="Calibri" w:hAnsiTheme="minorHAnsi" w:cs="Calibri"/>
          <w:i/>
          <w:color w:val="000000"/>
          <w:sz w:val="22"/>
          <w:szCs w:val="22"/>
          <w:lang w:eastAsia="zh-CN"/>
        </w:rPr>
        <w:t xml:space="preserve">M. barkeri to </w:t>
      </w:r>
      <w:r w:rsidRPr="00C44D8C">
        <w:rPr>
          <w:rFonts w:asciiTheme="minorHAnsi" w:eastAsia="Calibri" w:hAnsiTheme="minorHAnsi" w:cs="Calibri"/>
          <w:color w:val="000000"/>
          <w:sz w:val="22"/>
          <w:szCs w:val="22"/>
          <w:lang w:eastAsia="zh-CN"/>
        </w:rPr>
        <w:t xml:space="preserve">these three support materials (p &gt; 0.05, Kruskal-Wallis and Dunn’s multiple comparison test). However, there was a </w:t>
      </w:r>
      <w:r w:rsidR="006D58FC">
        <w:rPr>
          <w:rFonts w:asciiTheme="minorHAnsi" w:eastAsia="Calibri" w:hAnsiTheme="minorHAnsi" w:cs="Calibri"/>
          <w:color w:val="000000"/>
          <w:sz w:val="22"/>
          <w:szCs w:val="22"/>
          <w:lang w:eastAsia="zh-CN"/>
        </w:rPr>
        <w:t>distinct</w:t>
      </w:r>
      <w:r w:rsidRPr="00C44D8C">
        <w:rPr>
          <w:rFonts w:asciiTheme="minorHAnsi" w:eastAsia="Calibri" w:hAnsiTheme="minorHAnsi" w:cs="Calibri"/>
          <w:color w:val="000000"/>
          <w:sz w:val="22"/>
          <w:szCs w:val="22"/>
          <w:lang w:eastAsia="zh-CN"/>
        </w:rPr>
        <w:t xml:space="preserve"> difference between these support materials and PVC, PP and PTFE in their ability to promote initial attachment from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(p &lt; 0.05, Kruskal-Wallis and Du</w:t>
      </w:r>
      <w:r w:rsidR="005B4620">
        <w:rPr>
          <w:rFonts w:asciiTheme="minorHAnsi" w:eastAsia="Calibri" w:hAnsiTheme="minorHAnsi" w:cs="Calibri"/>
          <w:color w:val="000000"/>
          <w:sz w:val="22"/>
          <w:szCs w:val="22"/>
          <w:lang w:eastAsia="zh-CN"/>
        </w:rPr>
        <w:t>nn’s multiple comparison test).</w:t>
      </w:r>
    </w:p>
    <w:p w14:paraId="6C81C394" w14:textId="77777777" w:rsidR="006D58FC" w:rsidRDefault="00436CD0" w:rsidP="006D58FC">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b/>
          <w:bCs/>
          <w:noProof/>
          <w:color w:val="000000"/>
          <w:sz w:val="22"/>
          <w:szCs w:val="22"/>
          <w:lang w:eastAsia="en-GB"/>
        </w:rPr>
        <w:lastRenderedPageBreak/>
        <w:drawing>
          <wp:inline distT="0" distB="0" distL="0" distR="0" wp14:anchorId="78F35217" wp14:editId="2E309C4E">
            <wp:extent cx="5555615" cy="253428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hr, 72h and 96h graphs.tif"/>
                    <pic:cNvPicPr/>
                  </pic:nvPicPr>
                  <pic:blipFill>
                    <a:blip r:embed="rId31">
                      <a:extLst>
                        <a:ext uri="{28A0092B-C50C-407E-A947-70E740481C1C}">
                          <a14:useLocalDpi xmlns:a14="http://schemas.microsoft.com/office/drawing/2010/main" val="0"/>
                        </a:ext>
                      </a:extLst>
                    </a:blip>
                    <a:stretch>
                      <a:fillRect/>
                    </a:stretch>
                  </pic:blipFill>
                  <pic:spPr>
                    <a:xfrm>
                      <a:off x="0" y="0"/>
                      <a:ext cx="5555615" cy="2534285"/>
                    </a:xfrm>
                    <a:prstGeom prst="rect">
                      <a:avLst/>
                    </a:prstGeom>
                  </pic:spPr>
                </pic:pic>
              </a:graphicData>
            </a:graphic>
          </wp:inline>
        </w:drawing>
      </w:r>
      <w:r w:rsidRPr="00C44D8C">
        <w:rPr>
          <w:rFonts w:asciiTheme="minorHAnsi" w:eastAsia="Calibri" w:hAnsiTheme="minorHAnsi" w:cs="Calibri"/>
          <w:b/>
          <w:bCs/>
          <w:color w:val="000000"/>
          <w:sz w:val="22"/>
          <w:szCs w:val="22"/>
          <w:lang w:eastAsia="zh-CN"/>
        </w:rPr>
        <w:t>Fig. 3.7</w:t>
      </w:r>
      <w:r w:rsidRPr="00C44D8C">
        <w:rPr>
          <w:rFonts w:asciiTheme="minorHAnsi" w:eastAsia="Calibri" w:hAnsiTheme="minorHAnsi" w:cs="Calibri"/>
          <w:color w:val="000000"/>
          <w:sz w:val="22"/>
          <w:szCs w:val="22"/>
          <w:lang w:eastAsia="zh-CN"/>
        </w:rPr>
        <w:t xml:space="preserve"> Average percentage surface coverage of support materials from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after an exposure time of a) 2 h in 100 mM pH 7 KCl and b) 72 h and 96 h in basal media after staining with DAPI. Error values represent 95 % confidence intervals from 3 independent experiments. </w:t>
      </w:r>
      <w:bookmarkStart w:id="100" w:name="_Toc462575315"/>
    </w:p>
    <w:p w14:paraId="0DA7B469" w14:textId="77777777" w:rsidR="006D58FC" w:rsidRDefault="006D58FC" w:rsidP="006D58FC">
      <w:pPr>
        <w:spacing w:line="360" w:lineRule="auto"/>
        <w:rPr>
          <w:rFonts w:asciiTheme="minorHAnsi" w:eastAsia="Calibri" w:hAnsiTheme="minorHAnsi" w:cs="Calibri"/>
          <w:color w:val="000000"/>
          <w:sz w:val="22"/>
          <w:szCs w:val="22"/>
          <w:lang w:eastAsia="zh-CN"/>
        </w:rPr>
      </w:pPr>
    </w:p>
    <w:p w14:paraId="75C0DC75" w14:textId="77777777" w:rsidR="006D58FC" w:rsidRDefault="006D58FC" w:rsidP="006D58FC">
      <w:pPr>
        <w:spacing w:line="360" w:lineRule="auto"/>
        <w:rPr>
          <w:rFonts w:asciiTheme="minorHAnsi" w:eastAsia="Calibri" w:hAnsiTheme="minorHAnsi" w:cs="Calibri"/>
          <w:color w:val="000000"/>
          <w:sz w:val="22"/>
          <w:szCs w:val="22"/>
          <w:lang w:eastAsia="zh-CN"/>
        </w:rPr>
      </w:pPr>
    </w:p>
    <w:p w14:paraId="64F09414" w14:textId="4938EA5E" w:rsidR="00436CD0" w:rsidRPr="00C44D8C" w:rsidRDefault="000B6618" w:rsidP="006D58FC">
      <w:pPr>
        <w:pStyle w:val="Heading6"/>
        <w:rPr>
          <w:rFonts w:eastAsia="Cambria" w:cs="Cambria"/>
          <w:lang w:eastAsia="zh-CN"/>
        </w:rPr>
      </w:pPr>
      <w:r>
        <w:rPr>
          <w:rFonts w:eastAsia="Calibri"/>
          <w:lang w:eastAsia="zh-CN"/>
        </w:rPr>
        <w:t>3.3.6</w:t>
      </w:r>
      <w:r w:rsidR="00436CD0" w:rsidRPr="00C44D8C">
        <w:rPr>
          <w:rFonts w:eastAsia="Calibri"/>
          <w:lang w:eastAsia="zh-CN"/>
        </w:rPr>
        <w:t>. Biofilm formation</w:t>
      </w:r>
      <w:bookmarkEnd w:id="100"/>
      <w:r w:rsidR="00436CD0" w:rsidRPr="00C44D8C">
        <w:rPr>
          <w:rFonts w:eastAsia="Calibri"/>
          <w:lang w:eastAsia="zh-CN"/>
        </w:rPr>
        <w:t xml:space="preserve"> </w:t>
      </w:r>
    </w:p>
    <w:p w14:paraId="7C6DB71A" w14:textId="0E7FB219" w:rsidR="00436CD0" w:rsidRPr="00C44D8C" w:rsidRDefault="006D58FC" w:rsidP="00436CD0">
      <w:pPr>
        <w:spacing w:line="360" w:lineRule="auto"/>
        <w:rPr>
          <w:rFonts w:asciiTheme="minorHAnsi" w:eastAsia="Cambria" w:hAnsiTheme="minorHAnsi" w:cs="Cambria"/>
          <w:color w:val="000000"/>
          <w:sz w:val="22"/>
          <w:szCs w:val="22"/>
          <w:lang w:eastAsia="zh-CN"/>
        </w:rPr>
      </w:pPr>
      <w:r>
        <w:rPr>
          <w:rFonts w:asciiTheme="minorHAnsi" w:eastAsia="Calibri" w:hAnsiTheme="minorHAnsi" w:cs="Calibri"/>
          <w:color w:val="000000"/>
          <w:sz w:val="22"/>
          <w:szCs w:val="22"/>
          <w:lang w:eastAsia="zh-CN"/>
        </w:rPr>
        <w:t>The ability of</w:t>
      </w:r>
      <w:r w:rsidR="00436CD0" w:rsidRPr="00C44D8C">
        <w:rPr>
          <w:rFonts w:asciiTheme="minorHAnsi" w:eastAsia="Calibri" w:hAnsiTheme="minorHAnsi" w:cs="Calibri"/>
          <w:color w:val="000000"/>
          <w:sz w:val="22"/>
          <w:szCs w:val="22"/>
          <w:lang w:eastAsia="zh-CN"/>
        </w:rPr>
        <w:t xml:space="preserve"> </w:t>
      </w:r>
      <w:r w:rsidR="00436CD0" w:rsidRPr="00C44D8C">
        <w:rPr>
          <w:rFonts w:asciiTheme="minorHAnsi" w:eastAsia="Calibri" w:hAnsiTheme="minorHAnsi" w:cs="Calibri"/>
          <w:i/>
          <w:color w:val="000000"/>
          <w:sz w:val="22"/>
          <w:szCs w:val="22"/>
          <w:lang w:eastAsia="zh-CN"/>
        </w:rPr>
        <w:t xml:space="preserve">M. barkeri </w:t>
      </w:r>
      <w:r w:rsidR="00436CD0" w:rsidRPr="00C44D8C">
        <w:rPr>
          <w:rFonts w:asciiTheme="minorHAnsi" w:eastAsia="Calibri" w:hAnsiTheme="minorHAnsi" w:cs="Calibri"/>
          <w:color w:val="000000"/>
          <w:sz w:val="22"/>
          <w:szCs w:val="22"/>
          <w:lang w:eastAsia="zh-CN"/>
        </w:rPr>
        <w:t>to</w:t>
      </w:r>
      <w:r>
        <w:rPr>
          <w:rFonts w:asciiTheme="minorHAnsi" w:eastAsia="Calibri" w:hAnsiTheme="minorHAnsi" w:cs="Calibri"/>
          <w:color w:val="000000"/>
          <w:sz w:val="22"/>
          <w:szCs w:val="22"/>
          <w:lang w:eastAsia="zh-CN"/>
        </w:rPr>
        <w:t xml:space="preserve"> form biofilms on</w:t>
      </w:r>
      <w:r w:rsidR="00436CD0" w:rsidRPr="00C44D8C">
        <w:rPr>
          <w:rFonts w:asciiTheme="minorHAnsi" w:eastAsia="Calibri" w:hAnsiTheme="minorHAnsi" w:cs="Calibri"/>
          <w:color w:val="000000"/>
          <w:sz w:val="22"/>
          <w:szCs w:val="22"/>
          <w:lang w:eastAsia="zh-CN"/>
        </w:rPr>
        <w:t xml:space="preserve"> the support materials was tested after 72 h and 96 h in basal media</w:t>
      </w:r>
      <w:r w:rsidR="008D0482">
        <w:rPr>
          <w:rFonts w:asciiTheme="minorHAnsi" w:eastAsia="Calibri" w:hAnsiTheme="minorHAnsi" w:cs="Calibri"/>
          <w:color w:val="000000"/>
          <w:sz w:val="22"/>
          <w:szCs w:val="22"/>
          <w:lang w:eastAsia="zh-CN"/>
        </w:rPr>
        <w:t xml:space="preserve"> (DSM 120 medium)</w:t>
      </w:r>
      <w:r w:rsidR="00436CD0" w:rsidRPr="00C44D8C">
        <w:rPr>
          <w:rFonts w:asciiTheme="minorHAnsi" w:eastAsia="Calibri" w:hAnsiTheme="minorHAnsi" w:cs="Calibri"/>
          <w:color w:val="000000"/>
          <w:sz w:val="22"/>
          <w:szCs w:val="22"/>
          <w:lang w:eastAsia="zh-CN"/>
        </w:rPr>
        <w:t>. The results from the biofilm formation experiments showed different levels of adhesion to the support materials at these time points (Fig. 3.7b), with the type of material strongly influencing the extent of cell adhesion (p &lt; 0.0001, Kruskal-Wallis test).</w:t>
      </w:r>
    </w:p>
    <w:p w14:paraId="2C785E36" w14:textId="22C74774" w:rsidR="00436CD0" w:rsidRPr="006D58FC" w:rsidRDefault="00436CD0" w:rsidP="006D58FC">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Similar to the findings from the initial adhesion test</w:t>
      </w:r>
      <w:r w:rsidRPr="00C44D8C">
        <w:rPr>
          <w:rFonts w:asciiTheme="minorHAnsi" w:eastAsia="Calibri" w:hAnsiTheme="minorHAnsi" w:cs="Calibri"/>
          <w: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PVC, PP and PTFE were shown to promote </w:t>
      </w:r>
      <w:r w:rsidR="006D58FC">
        <w:rPr>
          <w:rFonts w:asciiTheme="minorHAnsi" w:eastAsia="Calibri" w:hAnsiTheme="minorHAnsi" w:cs="Calibri"/>
          <w:color w:val="000000"/>
          <w:sz w:val="22"/>
          <w:szCs w:val="22"/>
          <w:lang w:eastAsia="zh-CN"/>
        </w:rPr>
        <w:t xml:space="preserve">better biofilm </w:t>
      </w:r>
      <w:r w:rsidRPr="00C44D8C">
        <w:rPr>
          <w:rFonts w:asciiTheme="minorHAnsi" w:eastAsia="Calibri" w:hAnsiTheme="minorHAnsi" w:cs="Calibri"/>
          <w:color w:val="000000"/>
          <w:sz w:val="22"/>
          <w:szCs w:val="22"/>
          <w:lang w:eastAsia="zh-CN"/>
        </w:rPr>
        <w:t xml:space="preserve">formation from </w:t>
      </w:r>
      <w:r w:rsidRPr="00C44D8C">
        <w:rPr>
          <w:rFonts w:asciiTheme="minorHAnsi" w:eastAsia="Calibri" w:hAnsiTheme="minorHAnsi" w:cs="Calibri"/>
          <w:i/>
          <w:color w:val="000000"/>
          <w:sz w:val="22"/>
          <w:szCs w:val="22"/>
          <w:lang w:eastAsia="zh-CN"/>
        </w:rPr>
        <w:t xml:space="preserve">M. barkeri </w:t>
      </w:r>
      <w:r w:rsidR="006D58FC">
        <w:rPr>
          <w:rFonts w:asciiTheme="minorHAnsi" w:eastAsia="Calibri" w:hAnsiTheme="minorHAnsi" w:cs="Calibri"/>
          <w:color w:val="000000"/>
          <w:sz w:val="22"/>
          <w:szCs w:val="22"/>
          <w:lang w:eastAsia="zh-CN"/>
        </w:rPr>
        <w:t xml:space="preserve">after 72 h and </w:t>
      </w:r>
      <w:r w:rsidRPr="00C44D8C">
        <w:rPr>
          <w:rFonts w:asciiTheme="minorHAnsi" w:eastAsia="Calibri" w:hAnsiTheme="minorHAnsi" w:cs="Calibri"/>
          <w:color w:val="000000"/>
          <w:sz w:val="22"/>
          <w:szCs w:val="22"/>
          <w:lang w:eastAsia="zh-CN"/>
        </w:rPr>
        <w:t xml:space="preserve">96 h (Fig. 3.7b). There was not a significant difference in the percentage of adherent cells between these three support materials after 72 h and 96 h (p &gt; 0.05, Kruskal-Wallis and Dunn’s multiple comparison test). </w:t>
      </w:r>
    </w:p>
    <w:p w14:paraId="20C2FB5C" w14:textId="62BFE49D"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PETG, PVDF and PE</w:t>
      </w:r>
      <w:r w:rsidR="006D58FC">
        <w:rPr>
          <w:rFonts w:asciiTheme="minorHAnsi" w:eastAsia="Calibri" w:hAnsiTheme="minorHAnsi" w:cs="Calibri"/>
          <w:color w:val="000000"/>
          <w:sz w:val="22"/>
          <w:szCs w:val="22"/>
          <w:lang w:eastAsia="zh-CN"/>
        </w:rPr>
        <w:t xml:space="preserve"> had the poorest surfaces for biofilm formation</w:t>
      </w:r>
      <w:r w:rsidRPr="00C44D8C">
        <w:rPr>
          <w:rFonts w:asciiTheme="minorHAnsi" w:eastAsia="Calibri" w:hAnsiTheme="minorHAnsi" w:cs="Calibri"/>
          <w:color w:val="000000"/>
          <w:sz w:val="22"/>
          <w:szCs w:val="22"/>
          <w:lang w:eastAsia="zh-CN"/>
        </w:rPr>
        <w:t xml:space="preserve">. There was a significant difference between these support materials </w:t>
      </w:r>
      <w:r w:rsidR="006D58FC">
        <w:rPr>
          <w:rFonts w:asciiTheme="minorHAnsi" w:eastAsia="Calibri" w:hAnsiTheme="minorHAnsi" w:cs="Calibri"/>
          <w:color w:val="000000"/>
          <w:sz w:val="22"/>
          <w:szCs w:val="22"/>
          <w:lang w:eastAsia="zh-CN"/>
        </w:rPr>
        <w:t>and</w:t>
      </w:r>
      <w:r w:rsidRPr="00C44D8C">
        <w:rPr>
          <w:rFonts w:asciiTheme="minorHAnsi" w:eastAsia="Calibri" w:hAnsiTheme="minorHAnsi" w:cs="Calibri"/>
          <w:color w:val="000000"/>
          <w:sz w:val="22"/>
          <w:szCs w:val="22"/>
          <w:lang w:eastAsia="zh-CN"/>
        </w:rPr>
        <w:t xml:space="preserve"> PVC, PP and PTFE in the level of biofilm formed after 72 h and 96 h (p &lt; 0.05, Kruskal-Wallis and Dunn’s multiple comparison test).</w:t>
      </w:r>
    </w:p>
    <w:p w14:paraId="7331C5AC" w14:textId="67FE87C5"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Additionally, a significant increase in the percentage of adherent cells was observed from 72 h to 96 h for all six support materials (p &lt; 0.0001, Wilcoxon matched-paired test), suggesting that </w:t>
      </w:r>
      <w:r w:rsidR="006D58FC">
        <w:rPr>
          <w:rFonts w:asciiTheme="minorHAnsi" w:eastAsia="Calibri" w:hAnsiTheme="minorHAnsi" w:cs="Calibri"/>
          <w:color w:val="000000"/>
          <w:sz w:val="22"/>
          <w:szCs w:val="22"/>
          <w:lang w:eastAsia="zh-CN"/>
        </w:rPr>
        <w:t>biofilm formation</w:t>
      </w:r>
      <w:r w:rsidRPr="00C44D8C">
        <w:rPr>
          <w:rFonts w:asciiTheme="minorHAnsi" w:eastAsia="Calibri" w:hAnsiTheme="minorHAnsi" w:cs="Calibri"/>
          <w:color w:val="000000"/>
          <w:sz w:val="22"/>
          <w:szCs w:val="22"/>
          <w:lang w:eastAsia="zh-CN"/>
        </w:rPr>
        <w:t xml:space="preserve"> increased </w:t>
      </w:r>
      <w:r w:rsidR="006D58FC">
        <w:rPr>
          <w:rFonts w:asciiTheme="minorHAnsi" w:eastAsia="Calibri" w:hAnsiTheme="minorHAnsi" w:cs="Calibri"/>
          <w:color w:val="000000"/>
          <w:sz w:val="22"/>
          <w:szCs w:val="22"/>
          <w:lang w:eastAsia="zh-CN"/>
        </w:rPr>
        <w:t>over</w:t>
      </w:r>
      <w:r w:rsidRPr="00C44D8C">
        <w:rPr>
          <w:rFonts w:asciiTheme="minorHAnsi" w:eastAsia="Calibri" w:hAnsiTheme="minorHAnsi" w:cs="Calibri"/>
          <w:color w:val="000000"/>
          <w:sz w:val="22"/>
          <w:szCs w:val="22"/>
          <w:lang w:eastAsia="zh-CN"/>
        </w:rPr>
        <w:t xml:space="preserve"> time.  </w:t>
      </w:r>
    </w:p>
    <w:p w14:paraId="57793BBD" w14:textId="77777777" w:rsidR="00436CD0" w:rsidRPr="00C44D8C" w:rsidRDefault="00436CD0" w:rsidP="00436CD0">
      <w:pPr>
        <w:spacing w:line="360" w:lineRule="auto"/>
        <w:rPr>
          <w:rFonts w:asciiTheme="minorHAnsi" w:eastAsia="Calibri" w:hAnsiTheme="minorHAnsi" w:cs="Calibri"/>
          <w:b/>
          <w:color w:val="000000"/>
          <w:sz w:val="22"/>
          <w:szCs w:val="22"/>
          <w:lang w:eastAsia="zh-CN"/>
        </w:rPr>
      </w:pPr>
    </w:p>
    <w:p w14:paraId="60F59CFF" w14:textId="5921DDD4" w:rsidR="00436CD0" w:rsidRPr="00C44D8C" w:rsidRDefault="000B6618" w:rsidP="000B6618">
      <w:pPr>
        <w:pStyle w:val="Heading6"/>
        <w:rPr>
          <w:rFonts w:eastAsia="Cambria" w:cs="Cambria"/>
          <w:lang w:eastAsia="zh-CN"/>
        </w:rPr>
      </w:pPr>
      <w:bookmarkStart w:id="101" w:name="_Toc462575316"/>
      <w:r>
        <w:rPr>
          <w:rFonts w:eastAsia="Calibri"/>
          <w:lang w:eastAsia="zh-CN"/>
        </w:rPr>
        <w:t>3.3.7</w:t>
      </w:r>
      <w:r w:rsidR="00436CD0" w:rsidRPr="00C44D8C">
        <w:rPr>
          <w:rFonts w:eastAsia="Calibri"/>
          <w:lang w:eastAsia="zh-CN"/>
        </w:rPr>
        <w:t>. Scanning electron microscopy</w:t>
      </w:r>
      <w:bookmarkEnd w:id="101"/>
      <w:r w:rsidR="00436CD0" w:rsidRPr="00C44D8C">
        <w:rPr>
          <w:rFonts w:eastAsia="Calibri"/>
          <w:lang w:eastAsia="zh-CN"/>
        </w:rPr>
        <w:t xml:space="preserve"> </w:t>
      </w:r>
    </w:p>
    <w:p w14:paraId="4994CC96" w14:textId="7C901A0A"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SEM imaging was used to </w:t>
      </w:r>
      <w:r w:rsidR="006D58FC">
        <w:rPr>
          <w:rFonts w:asciiTheme="minorHAnsi" w:eastAsia="Calibri" w:hAnsiTheme="minorHAnsi" w:cs="Calibri"/>
          <w:color w:val="000000"/>
          <w:sz w:val="22"/>
          <w:szCs w:val="22"/>
          <w:lang w:eastAsia="zh-CN"/>
        </w:rPr>
        <w:t xml:space="preserve">visualise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w:t>
      </w:r>
      <w:r w:rsidR="006D58FC">
        <w:rPr>
          <w:rFonts w:asciiTheme="minorHAnsi" w:eastAsia="Calibri" w:hAnsiTheme="minorHAnsi" w:cs="Calibri"/>
          <w:color w:val="000000"/>
          <w:sz w:val="22"/>
          <w:szCs w:val="22"/>
          <w:lang w:eastAsia="zh-CN"/>
        </w:rPr>
        <w:t xml:space="preserve">attachment </w:t>
      </w:r>
      <w:r w:rsidRPr="00C44D8C">
        <w:rPr>
          <w:rFonts w:asciiTheme="minorHAnsi" w:eastAsia="Calibri" w:hAnsiTheme="minorHAnsi" w:cs="Calibri"/>
          <w:color w:val="000000"/>
          <w:sz w:val="22"/>
          <w:szCs w:val="22"/>
          <w:lang w:eastAsia="zh-CN"/>
        </w:rPr>
        <w:t>on</w:t>
      </w:r>
      <w:r w:rsidR="006D58FC">
        <w:rPr>
          <w:rFonts w:asciiTheme="minorHAnsi" w:eastAsia="Calibri" w:hAnsiTheme="minorHAnsi" w:cs="Calibri"/>
          <w:color w:val="000000"/>
          <w:sz w:val="22"/>
          <w:szCs w:val="22"/>
          <w:lang w:eastAsia="zh-CN"/>
        </w:rPr>
        <w:t>to</w:t>
      </w:r>
      <w:r w:rsidRPr="00C44D8C">
        <w:rPr>
          <w:rFonts w:asciiTheme="minorHAnsi" w:eastAsia="Calibri" w:hAnsiTheme="minorHAnsi" w:cs="Calibri"/>
          <w:color w:val="000000"/>
          <w:sz w:val="22"/>
          <w:szCs w:val="22"/>
          <w:lang w:eastAsia="zh-CN"/>
        </w:rPr>
        <w:t xml:space="preserve"> the different support materials after 2 h in 100 mM KCl and 72 h and 96 h in basal media. The initial adhesion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to the support materials proceeded as a random attachment of cells in isolated patchy areas after 2 h (Fig. 3.8).</w:t>
      </w:r>
    </w:p>
    <w:p w14:paraId="594C94A1" w14:textId="69EEBEA0" w:rsidR="006D58FC" w:rsidRDefault="00436CD0" w:rsidP="006D58FC">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After 72 h and 96 h in basal media, SEM images show</w:t>
      </w:r>
      <w:r w:rsidR="006D58FC">
        <w:rPr>
          <w:rFonts w:asciiTheme="minorHAnsi" w:eastAsia="Calibri" w:hAnsiTheme="minorHAnsi" w:cs="Calibri"/>
          <w:color w:val="000000"/>
          <w:sz w:val="22"/>
          <w:szCs w:val="22"/>
          <w:lang w:eastAsia="zh-CN"/>
        </w:rPr>
        <w:t>ed</w:t>
      </w:r>
      <w:r w:rsidRPr="00C44D8C">
        <w:rPr>
          <w:rFonts w:asciiTheme="minorHAnsi" w:eastAsia="Calibri" w:hAnsiTheme="minorHAnsi" w:cs="Calibri"/>
          <w:color w:val="000000"/>
          <w:sz w:val="22"/>
          <w:szCs w:val="22"/>
          <w:lang w:eastAsia="zh-CN"/>
        </w:rPr>
        <w:t xml:space="preserve"> different cell morphologies and the potential presence of additional material on the surfaces of PVC and PTFE in particular (Figs. 3.9-3.10) compared to the control coupons (Fig. 3.11). This could be </w:t>
      </w:r>
      <w:r w:rsidR="006D58FC">
        <w:rPr>
          <w:rFonts w:asciiTheme="minorHAnsi" w:eastAsia="Calibri" w:hAnsiTheme="minorHAnsi" w:cs="Calibri"/>
          <w:color w:val="000000"/>
          <w:sz w:val="22"/>
          <w:szCs w:val="22"/>
          <w:lang w:eastAsia="zh-CN"/>
        </w:rPr>
        <w:t>EPS.</w:t>
      </w:r>
      <w:r w:rsidRPr="00C44D8C">
        <w:rPr>
          <w:rFonts w:asciiTheme="minorHAnsi" w:eastAsia="Calibri" w:hAnsiTheme="minorHAnsi" w:cs="Calibri"/>
          <w:color w:val="000000"/>
          <w:sz w:val="22"/>
          <w:szCs w:val="22"/>
          <w:lang w:eastAsia="zh-CN"/>
        </w:rPr>
        <w:t xml:space="preserve"> In comparison, the other support materials were more sparsely covered by cells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after 72 h and 96 h</w:t>
      </w:r>
      <w:r w:rsidRPr="00C44D8C">
        <w:rPr>
          <w:rFonts w:asciiTheme="minorHAnsi" w:eastAsia="Calibri" w:hAnsiTheme="minorHAnsi" w:cs="Calibri"/>
          <w: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particularly PETG and PVDF.  </w:t>
      </w:r>
    </w:p>
    <w:p w14:paraId="3EC98704" w14:textId="77777777" w:rsidR="006D58FC" w:rsidRDefault="006D58FC" w:rsidP="006D58FC">
      <w:pPr>
        <w:spacing w:line="360" w:lineRule="auto"/>
        <w:ind w:firstLine="720"/>
        <w:rPr>
          <w:rFonts w:asciiTheme="minorHAnsi" w:eastAsia="Calibri" w:hAnsiTheme="minorHAnsi" w:cs="Calibri"/>
          <w:color w:val="000000"/>
          <w:sz w:val="22"/>
          <w:szCs w:val="22"/>
          <w:lang w:eastAsia="zh-CN"/>
        </w:rPr>
      </w:pPr>
    </w:p>
    <w:p w14:paraId="421AB626" w14:textId="77777777" w:rsidR="006D58FC" w:rsidRDefault="006D58FC" w:rsidP="006D58FC">
      <w:pPr>
        <w:spacing w:line="360" w:lineRule="auto"/>
        <w:ind w:firstLine="720"/>
        <w:rPr>
          <w:rFonts w:asciiTheme="minorHAnsi" w:eastAsia="Calibri" w:hAnsiTheme="minorHAnsi" w:cs="Calibri"/>
          <w:color w:val="000000"/>
          <w:sz w:val="22"/>
          <w:szCs w:val="22"/>
          <w:lang w:eastAsia="zh-CN"/>
        </w:rPr>
      </w:pPr>
    </w:p>
    <w:p w14:paraId="4EF99594" w14:textId="6BDAC093" w:rsidR="00436CD0" w:rsidRPr="00C44D8C" w:rsidRDefault="00436CD0" w:rsidP="006D58FC">
      <w:pPr>
        <w:spacing w:line="360" w:lineRule="auto"/>
        <w:rPr>
          <w:rFonts w:asciiTheme="minorHAnsi" w:eastAsia="Cambria" w:hAnsiTheme="minorHAnsi" w:cs="Cambria"/>
          <w:color w:val="000000"/>
          <w:sz w:val="22"/>
          <w:szCs w:val="22"/>
          <w:lang w:eastAsia="zh-CN"/>
        </w:rPr>
      </w:pPr>
      <w:r w:rsidRPr="00C44D8C">
        <w:rPr>
          <w:rFonts w:asciiTheme="minorHAnsi" w:eastAsia="Cambria" w:hAnsiTheme="minorHAnsi" w:cs="Cambria"/>
          <w:noProof/>
          <w:color w:val="000000"/>
          <w:sz w:val="22"/>
          <w:szCs w:val="22"/>
          <w:lang w:eastAsia="en-GB"/>
        </w:rPr>
        <w:drawing>
          <wp:inline distT="0" distB="0" distL="0" distR="0" wp14:anchorId="470BAF43" wp14:editId="264F7D40">
            <wp:extent cx="5396230" cy="2838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h biofilms SEM.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6230" cy="2838450"/>
                    </a:xfrm>
                    <a:prstGeom prst="rect">
                      <a:avLst/>
                    </a:prstGeom>
                  </pic:spPr>
                </pic:pic>
              </a:graphicData>
            </a:graphic>
          </wp:inline>
        </w:drawing>
      </w:r>
    </w:p>
    <w:p w14:paraId="57EC24A2"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bookmarkStart w:id="102" w:name="h.1fob9te" w:colFirst="0" w:colLast="0"/>
      <w:bookmarkEnd w:id="102"/>
      <w:r w:rsidRPr="00C44D8C">
        <w:rPr>
          <w:rFonts w:asciiTheme="minorHAnsi" w:eastAsia="Calibri" w:hAnsiTheme="minorHAnsi" w:cs="Calibri"/>
          <w:b/>
          <w:color w:val="000000"/>
          <w:sz w:val="22"/>
          <w:szCs w:val="22"/>
          <w:lang w:eastAsia="zh-CN"/>
        </w:rPr>
        <w:t>Fig. 3.8</w:t>
      </w:r>
      <w:r w:rsidRPr="00C44D8C">
        <w:rPr>
          <w:rFonts w:asciiTheme="minorHAnsi" w:eastAsia="Calibri" w:hAnsiTheme="minorHAnsi" w:cs="Calibri"/>
          <w:color w:val="000000"/>
          <w:sz w:val="22"/>
          <w:szCs w:val="22"/>
          <w:lang w:eastAsia="zh-CN"/>
        </w:rPr>
        <w:t xml:space="preserve"> Scanning electron microscopy images of initial adhesion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to support materials after 2 h in 100 mM KCl at pH 7 corresponding to (a-f): PE, PP, PVC, PETG, PVDF and PTFE. </w:t>
      </w:r>
    </w:p>
    <w:p w14:paraId="19463AD6"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364BF15E"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mbria" w:hAnsiTheme="minorHAnsi" w:cs="Cambria"/>
          <w:noProof/>
          <w:color w:val="000000"/>
          <w:sz w:val="22"/>
          <w:szCs w:val="22"/>
          <w:lang w:eastAsia="en-GB"/>
        </w:rPr>
        <w:lastRenderedPageBreak/>
        <w:drawing>
          <wp:inline distT="0" distB="0" distL="0" distR="0" wp14:anchorId="5284C6E8" wp14:editId="4ACF9722">
            <wp:extent cx="5396230" cy="2733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hr biofilms SEM.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6230" cy="2733675"/>
                    </a:xfrm>
                    <a:prstGeom prst="rect">
                      <a:avLst/>
                    </a:prstGeom>
                  </pic:spPr>
                </pic:pic>
              </a:graphicData>
            </a:graphic>
          </wp:inline>
        </w:drawing>
      </w:r>
    </w:p>
    <w:p w14:paraId="1A7783E2"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b/>
          <w:color w:val="000000"/>
          <w:sz w:val="22"/>
          <w:szCs w:val="22"/>
          <w:lang w:eastAsia="zh-CN"/>
        </w:rPr>
        <w:t>Fig. 3.9</w:t>
      </w:r>
      <w:r w:rsidRPr="00C44D8C">
        <w:rPr>
          <w:rFonts w:asciiTheme="minorHAnsi" w:eastAsia="Calibri" w:hAnsiTheme="minorHAnsi" w:cs="Calibri"/>
          <w:color w:val="000000"/>
          <w:sz w:val="22"/>
          <w:szCs w:val="22"/>
          <w:lang w:eastAsia="zh-CN"/>
        </w:rPr>
        <w:t xml:space="preserve"> Scanning electron microscopy images of biofilm formation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to support materials after 72 h in basal media corresponding to (a-f): PE, PP, PVC, PETG, PVDF and PTFE.</w:t>
      </w:r>
    </w:p>
    <w:p w14:paraId="760B3BAE"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27FD8676"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mbria" w:hAnsiTheme="minorHAnsi" w:cs="Cambria"/>
          <w:noProof/>
          <w:color w:val="000000"/>
          <w:sz w:val="22"/>
          <w:szCs w:val="22"/>
          <w:lang w:eastAsia="en-GB"/>
        </w:rPr>
        <w:drawing>
          <wp:inline distT="0" distB="0" distL="0" distR="0" wp14:anchorId="18E5DFED" wp14:editId="45CC4224">
            <wp:extent cx="5396230" cy="2774197"/>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6 hr biofilms sem.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8969" cy="2775605"/>
                    </a:xfrm>
                    <a:prstGeom prst="rect">
                      <a:avLst/>
                    </a:prstGeom>
                  </pic:spPr>
                </pic:pic>
              </a:graphicData>
            </a:graphic>
          </wp:inline>
        </w:drawing>
      </w:r>
    </w:p>
    <w:p w14:paraId="441C2745"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b/>
          <w:color w:val="000000"/>
          <w:sz w:val="22"/>
          <w:szCs w:val="22"/>
          <w:lang w:eastAsia="zh-CN"/>
        </w:rPr>
        <w:t>Fig. 3.10</w:t>
      </w:r>
      <w:r w:rsidRPr="00C44D8C">
        <w:rPr>
          <w:rFonts w:asciiTheme="minorHAnsi" w:eastAsia="Calibri" w:hAnsiTheme="minorHAnsi" w:cs="Calibri"/>
          <w:color w:val="000000"/>
          <w:sz w:val="22"/>
          <w:szCs w:val="22"/>
          <w:lang w:eastAsia="zh-CN"/>
        </w:rPr>
        <w:t xml:space="preserve"> Scanning electron microscopy images of biofilm formation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to support materials after 96 h in basal media corresponding to (a-f): PE, PP, PVC, PETG, PVDF and PTFE.</w:t>
      </w:r>
    </w:p>
    <w:p w14:paraId="071B6A12"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41C0EC83"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mbria" w:hAnsiTheme="minorHAnsi" w:cs="Cambria"/>
          <w:noProof/>
          <w:color w:val="000000"/>
          <w:sz w:val="22"/>
          <w:szCs w:val="22"/>
          <w:lang w:eastAsia="en-GB"/>
        </w:rPr>
        <w:lastRenderedPageBreak/>
        <w:drawing>
          <wp:inline distT="0" distB="0" distL="0" distR="0" wp14:anchorId="48123E03" wp14:editId="7EE1D83F">
            <wp:extent cx="5396230" cy="28289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rol coupons SEM.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6230" cy="2828925"/>
                    </a:xfrm>
                    <a:prstGeom prst="rect">
                      <a:avLst/>
                    </a:prstGeom>
                  </pic:spPr>
                </pic:pic>
              </a:graphicData>
            </a:graphic>
          </wp:inline>
        </w:drawing>
      </w:r>
    </w:p>
    <w:p w14:paraId="213E2B5E"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b/>
          <w:color w:val="000000"/>
          <w:sz w:val="22"/>
          <w:szCs w:val="22"/>
          <w:lang w:eastAsia="zh-CN"/>
        </w:rPr>
        <w:t>Fig. 3.11</w:t>
      </w:r>
      <w:r w:rsidRPr="00C44D8C">
        <w:rPr>
          <w:rFonts w:asciiTheme="minorHAnsi" w:eastAsia="Calibri" w:hAnsiTheme="minorHAnsi" w:cs="Calibri"/>
          <w:color w:val="000000"/>
          <w:sz w:val="22"/>
          <w:szCs w:val="22"/>
          <w:lang w:eastAsia="zh-CN"/>
        </w:rPr>
        <w:t xml:space="preserve"> Scanning electron microscopy images of control coupons after 72 h in sterile basal media only, corresponding to (a-f): PE, PP, PVC, PETG, PVDF and PTFE.</w:t>
      </w:r>
    </w:p>
    <w:p w14:paraId="69127D74"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0563AFD9" w14:textId="1467F640" w:rsidR="00436CD0" w:rsidRPr="00C44D8C" w:rsidRDefault="00436CD0" w:rsidP="000B6618">
      <w:pPr>
        <w:pStyle w:val="Heading1"/>
        <w:rPr>
          <w:rFonts w:eastAsia="Cambria" w:cs="Cambria"/>
          <w:lang w:eastAsia="zh-CN"/>
        </w:rPr>
      </w:pPr>
      <w:bookmarkStart w:id="103" w:name="_Toc462575317"/>
      <w:r w:rsidRPr="00C44D8C">
        <w:rPr>
          <w:lang w:eastAsia="zh-CN"/>
        </w:rPr>
        <w:t>3.4. Discussion</w:t>
      </w:r>
      <w:bookmarkEnd w:id="103"/>
      <w:r w:rsidRPr="00C44D8C">
        <w:rPr>
          <w:lang w:eastAsia="zh-CN"/>
        </w:rPr>
        <w:t xml:space="preserve"> </w:t>
      </w:r>
    </w:p>
    <w:p w14:paraId="5C5DD01A" w14:textId="6657CF08"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The absolute requirement for a substrate for biofilm formation has prompted significant scientific interest in the role of the surface properties of the microbial and abiotic substrate in mediating initial adhesion and consequent biofilm formation. Various surface characterisation methods have been developed to examine the properties of microbial and abiotic surfaces</w:t>
      </w:r>
      <w:r w:rsidR="00253639">
        <w:rPr>
          <w:rFonts w:asciiTheme="minorHAnsi" w:eastAsia="Calibri" w:hAnsiTheme="minorHAnsi" w:cs="Calibri"/>
          <w:color w:val="000000"/>
          <w:sz w:val="22"/>
          <w:szCs w:val="22"/>
          <w:lang w:eastAsia="zh-CN"/>
        </w:rPr>
        <w:t xml:space="preserve"> </w:t>
      </w:r>
      <w:r w:rsidR="00253639">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[63]</w:t>
      </w:r>
      <w:r w:rsidR="0025363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and their effect on the interfacial physicochemical forces during initial adhesion. These methods have been applied in this chapter to examine the role </w:t>
      </w:r>
      <w:r w:rsidRPr="00C44D8C">
        <w:rPr>
          <w:rFonts w:asciiTheme="minorHAnsi" w:eastAsia="Cambria" w:hAnsiTheme="minorHAnsi" w:cs="Cambria"/>
          <w:color w:val="000000"/>
          <w:sz w:val="22"/>
          <w:szCs w:val="22"/>
          <w:lang w:eastAsia="zh-CN"/>
        </w:rPr>
        <w:t xml:space="preserve">of the support material in the initial adhesion process of </w:t>
      </w:r>
      <w:r w:rsidRPr="00C44D8C">
        <w:rPr>
          <w:rFonts w:asciiTheme="minorHAnsi" w:eastAsia="Cambria" w:hAnsiTheme="minorHAnsi" w:cs="Cambria"/>
          <w:i/>
          <w:color w:val="000000"/>
          <w:sz w:val="22"/>
          <w:szCs w:val="22"/>
          <w:lang w:eastAsia="zh-CN"/>
        </w:rPr>
        <w:t xml:space="preserve">M. barkeri </w:t>
      </w:r>
      <w:r w:rsidRPr="00C44D8C">
        <w:rPr>
          <w:rFonts w:asciiTheme="minorHAnsi" w:eastAsia="Cambria" w:hAnsiTheme="minorHAnsi" w:cs="Cambria"/>
          <w:color w:val="000000"/>
          <w:sz w:val="22"/>
          <w:szCs w:val="22"/>
          <w:lang w:eastAsia="zh-CN"/>
        </w:rPr>
        <w:t xml:space="preserve">to six different polymer support materials. </w:t>
      </w:r>
    </w:p>
    <w:p w14:paraId="16055F19" w14:textId="4361DAA9"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 results from this study showed that </w:t>
      </w:r>
      <w:r w:rsidRPr="00C44D8C">
        <w:rPr>
          <w:rFonts w:asciiTheme="minorHAnsi" w:eastAsia="Calibri" w:hAnsiTheme="minorHAnsi" w:cs="Calibri"/>
          <w:i/>
          <w:iCs/>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is capable of forming biofilms over a duration of 96 h, and that PVC, PTFE and PP possessed the best surfaces for initial adhesion and biofilm formation from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(Fig. 3.6a) after 2 h in 100 mM KCl at pH 7, and after 72 h and 96 h in basal media (Fig. 3.6b)</w:t>
      </w:r>
      <w:r w:rsidRPr="00C44D8C">
        <w:rPr>
          <w:rFonts w:asciiTheme="minorHAnsi" w:eastAsia="Calibri" w:hAnsiTheme="minorHAnsi" w:cs="Calibri"/>
          <w:i/>
          <w:color w:val="000000"/>
          <w:sz w:val="22"/>
          <w:szCs w:val="22"/>
          <w:lang w:eastAsia="zh-CN"/>
        </w:rPr>
        <w:t xml:space="preserve">. </w:t>
      </w:r>
      <w:r w:rsidRPr="00C44D8C">
        <w:rPr>
          <w:rFonts w:asciiTheme="minorHAnsi" w:eastAsia="Calibri" w:hAnsiTheme="minorHAnsi" w:cs="Calibri"/>
          <w:color w:val="000000"/>
          <w:sz w:val="22"/>
          <w:szCs w:val="22"/>
          <w:lang w:eastAsia="zh-CN"/>
        </w:rPr>
        <w:t>The interaction energies between the microbial and abiotic substrata, and therefore, the extent of microbial adhesion were predicted by the xDLVO model by taking into account the additive effect of attractive van der Waals, repulsive electrostatic and acid-base forces</w:t>
      </w:r>
      <w:r w:rsidR="00253639">
        <w:rPr>
          <w:rFonts w:asciiTheme="minorHAnsi" w:eastAsia="Calibri" w:hAnsiTheme="minorHAnsi" w:cs="Calibri"/>
          <w:color w:val="000000"/>
          <w:sz w:val="22"/>
          <w:szCs w:val="22"/>
          <w:lang w:eastAsia="zh-CN"/>
        </w:rPr>
        <w:t xml:space="preserve"> </w:t>
      </w:r>
      <w:r w:rsidR="00253639">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[63]</w:t>
      </w:r>
      <w:r w:rsidR="0025363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p>
    <w:p w14:paraId="671DF9E7"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There was a close correlation in the results obtained from the xDLVO model and those from the initial adhesion and biofilm formation experiments, with both showing that PTFE, PP and PVC provided the best surfaces for adhesion from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(Fig. 3.6). The </w:t>
      </w:r>
      <w:r w:rsidRPr="00C44D8C">
        <w:rPr>
          <w:rFonts w:asciiTheme="minorHAnsi" w:eastAsia="Calibri" w:hAnsiTheme="minorHAnsi" w:cs="Calibri"/>
          <w:color w:val="000000"/>
          <w:sz w:val="22"/>
          <w:szCs w:val="22"/>
          <w:lang w:eastAsia="zh-CN"/>
        </w:rPr>
        <w:lastRenderedPageBreak/>
        <w:t>xDLVO model showed that PTFE and PP were the only support materials to exhibit both attractive G</w:t>
      </w:r>
      <w:r w:rsidRPr="00C44D8C">
        <w:rPr>
          <w:rFonts w:asciiTheme="minorHAnsi" w:eastAsia="Calibri" w:hAnsiTheme="minorHAnsi" w:cs="Calibri"/>
          <w:color w:val="000000"/>
          <w:sz w:val="22"/>
          <w:szCs w:val="22"/>
          <w:vertAlign w:val="superscript"/>
          <w:lang w:eastAsia="zh-CN"/>
        </w:rPr>
        <w:t>LW</w:t>
      </w:r>
      <w:r w:rsidRPr="00C44D8C">
        <w:rPr>
          <w:rFonts w:asciiTheme="minorHAnsi" w:eastAsia="Calibri" w:hAnsiTheme="minorHAnsi" w:cs="Calibri"/>
          <w:color w:val="000000"/>
          <w:sz w:val="22"/>
          <w:szCs w:val="22"/>
          <w:lang w:eastAsia="zh-CN"/>
        </w:rPr>
        <w:t xml:space="preserve"> and G</w:t>
      </w:r>
      <w:r w:rsidRPr="00C44D8C">
        <w:rPr>
          <w:rFonts w:asciiTheme="minorHAnsi" w:eastAsia="Calibri" w:hAnsiTheme="minorHAnsi" w:cs="Calibri"/>
          <w:color w:val="000000"/>
          <w:sz w:val="22"/>
          <w:szCs w:val="22"/>
          <w:vertAlign w:val="superscript"/>
          <w:lang w:eastAsia="zh-CN"/>
        </w:rPr>
        <w:t>AB</w:t>
      </w:r>
      <w:r w:rsidRPr="00C44D8C">
        <w:rPr>
          <w:rFonts w:asciiTheme="minorHAnsi" w:eastAsia="Calibri" w:hAnsiTheme="minorHAnsi" w:cs="Calibri"/>
          <w:color w:val="000000"/>
          <w:sz w:val="22"/>
          <w:szCs w:val="22"/>
          <w:lang w:eastAsia="zh-CN"/>
        </w:rPr>
        <w:t xml:space="preserve"> interactions (Fig. 3.3). These attractive interfacial interactions superseded the repulsive G</w:t>
      </w:r>
      <w:r w:rsidRPr="00C44D8C">
        <w:rPr>
          <w:rFonts w:asciiTheme="minorHAnsi" w:eastAsia="Calibri" w:hAnsiTheme="minorHAnsi" w:cs="Calibri"/>
          <w:color w:val="000000"/>
          <w:sz w:val="22"/>
          <w:szCs w:val="22"/>
          <w:vertAlign w:val="superscript"/>
          <w:lang w:eastAsia="zh-CN"/>
        </w:rPr>
        <w:t>EL</w:t>
      </w:r>
      <w:r w:rsidRPr="00C44D8C">
        <w:rPr>
          <w:rFonts w:asciiTheme="minorHAnsi" w:eastAsia="Calibri" w:hAnsiTheme="minorHAnsi" w:cs="Calibri"/>
          <w:color w:val="000000"/>
          <w:sz w:val="22"/>
          <w:szCs w:val="22"/>
          <w:lang w:eastAsia="zh-CN"/>
        </w:rPr>
        <w:t xml:space="preserve"> interactions, resulting in a strong net attractive force between microbial and abiotic substrata. </w:t>
      </w:r>
    </w:p>
    <w:p w14:paraId="0408F920" w14:textId="091D135B"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Hydrophobic and low surface free energy surfaces, such as PTFE and PP in this study, are reported to have a better tendency to remove water from the area between two contacting surfaces, therefore leading to a stronger level of microbial adhesion </w:t>
      </w:r>
      <w:r w:rsidR="00253639">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"10.1016/0378-1097(87)90062-0", "ISSN" : "03781097", "author" : [ { "dropping-particle" : "", "family" : "Busscher", "given" : "H", "non-dropping-particle" : "", "parse-names" : false, "suffix" : "" }, { "dropping-particle" : "", "family" : "Werkamp", "given" : "A H", "non-dropping-particle" : "", "parse-names" : false, "suffix" : "" } ], "container-title" : "FEMS Microbiology Reviews", "id" : "ITEM-1", "issue" : "2", "issued" : { "date-parts" : [ [ "1987", "6" ] ] }, "page" : "165-173", "title" : "Specific and non-specific interactions in bacterial adhesion to solid substrata", "type" : "article-journal", "volume" : "46" }, "uris" : [ "http://www.mendeley.com/documents/?uuid=f1943176-2dd8-486f-863f-481adeacce68" ] } ], "mendeley" : { "formattedCitation" : "[67]", "plainTextFormattedCitation" : "[67]", "previouslyFormattedCitation" : "[67]"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[67]</w:t>
      </w:r>
      <w:r w:rsidR="0025363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This is a role of hydrophobicity, and these interfacial interactions arise from the inability of apolar molecules from the hydrophobic surface to form hydrogen bonds with the surrounding polar water molecules in aqueous environments </w:t>
      </w:r>
      <w:r w:rsidR="00253639">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"10.1016/0927-7757(93)80308-2", "ISSN" : "09277757", "author" : [ { "dropping-particle" : "", "family" : "Oss", "given" : "C.J.", "non-dropping-particle" : "van", "parse-names" : false, "suffix" : "" } ], "container-title" : "Colloids and Surfaces A: Physicochemical and Engineering Aspects", "id" : "ITEM-1", "issued" : { "date-parts" : [ [ "1993", "10" ] ] }, "page" : "1-49", "title" : "Acid\u2014base interfacial interactions in aqueous media", "type" : "article-journal", "volume" : "78" }, "uris" : [ "http://www.mendeley.com/documents/?uuid=e55f482c-7ee5-4f8b-a8f7-2743388a4569" ] } ], "mendeley" : { "formattedCitation" : "[71]", "plainTextFormattedCitation" : "[71]", "previouslyFormattedCitation" : "[71]"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[71]</w:t>
      </w:r>
      <w:r w:rsidR="0025363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r w:rsidR="00187DD0">
        <w:rPr>
          <w:rFonts w:asciiTheme="minorHAnsi" w:eastAsia="Calibri" w:hAnsiTheme="minorHAnsi" w:cs="Calibri"/>
          <w:color w:val="000000"/>
          <w:sz w:val="22"/>
          <w:szCs w:val="22"/>
          <w:lang w:eastAsia="zh-CN"/>
        </w:rPr>
        <w:t>The</w:t>
      </w:r>
      <w:r w:rsidRPr="00C44D8C">
        <w:rPr>
          <w:rFonts w:asciiTheme="minorHAnsi" w:eastAsia="Calibri" w:hAnsiTheme="minorHAnsi" w:cs="Calibri"/>
          <w:color w:val="000000"/>
          <w:sz w:val="22"/>
          <w:szCs w:val="22"/>
          <w:lang w:eastAsia="zh-CN"/>
        </w:rPr>
        <w:t xml:space="preserve"> presence of ‘hydrophobic’ surfaces in aqueous environments means that there is insufficient hydrogen bonding between the water molecules and the hydrophobic surface</w:t>
      </w:r>
      <w:r w:rsidR="00253639">
        <w:rPr>
          <w:rFonts w:asciiTheme="minorHAnsi" w:eastAsia="Calibri" w:hAnsiTheme="minorHAnsi" w:cs="Calibri"/>
          <w:color w:val="000000"/>
          <w:sz w:val="22"/>
          <w:szCs w:val="22"/>
          <w:lang w:eastAsia="zh-CN"/>
        </w:rPr>
        <w:t xml:space="preserve"> </w:t>
      </w:r>
      <w:r w:rsidR="00253639">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"10.1016/0927-7757(93)80308-2", "ISSN" : "09277757", "author" : [ { "dropping-particle" : "", "family" : "Oss", "given" : "C.J.", "non-dropping-particle" : "van", "parse-names" : false, "suffix" : "" } ], "container-title" : "Colloids and Surfaces A: Physicochemical and Engineering Aspects", "id" : "ITEM-1", "issued" : { "date-parts" : [ [ "1993", "10" ] ] }, "page" : "1-49", "title" : "Acid\u2014base interfacial interactions in aqueous media", "type" : "article-journal", "volume" : "78" }, "uris" : [ "http://www.mendeley.com/documents/?uuid=e55f482c-7ee5-4f8b-a8f7-2743388a4569" ] } ], "mendeley" : { "formattedCitation" : "[71]", "plainTextFormattedCitation" : "[71]", "previouslyFormattedCitation" : "[71]"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[71]</w:t>
      </w:r>
      <w:r w:rsidR="0025363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Such surfaces are therefore regarded as being able to detract water molecules away from the microbe-surface interface and promote microbial adhesion to the surface</w:t>
      </w:r>
      <w:r w:rsidR="00253639">
        <w:rPr>
          <w:rFonts w:asciiTheme="minorHAnsi" w:eastAsia="Calibri" w:hAnsiTheme="minorHAnsi" w:cs="Calibri"/>
          <w:color w:val="000000"/>
          <w:sz w:val="22"/>
          <w:szCs w:val="22"/>
          <w:lang w:eastAsia="zh-CN"/>
        </w:rPr>
        <w:t xml:space="preserve"> </w:t>
      </w:r>
      <w:r w:rsidR="00253639">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"10.1016/0378-1097(87)90062-0", "ISSN" : "03781097", "author" : [ { "dropping-particle" : "", "family" : "Busscher", "given" : "H", "non-dropping-particle" : "", "parse-names" : false, "suffix" : "" }, { "dropping-particle" : "", "family" : "Werkamp", "given" : "A H", "non-dropping-particle" : "", "parse-names" : false, "suffix" : "" } ], "container-title" : "FEMS Microbiology Reviews", "id" : "ITEM-1", "issue" : "2", "issued" : { "date-parts" : [ [ "1987", "6" ] ] }, "page" : "165-173", "title" : "Specific and non-specific interactions in bacterial adhesion to solid substrata", "type" : "article-journal", "volume" : "46" }, "uris" : [ "http://www.mendeley.com/documents/?uuid=f1943176-2dd8-486f-863f-481adeacce68" ] }, { "id" : "ITEM-2", "itemData" : { "DOI" : "10.1557/mrs.2011.65.Physicochemical", "author" : [ { "dropping-particle" : "", "family" : "Renner, L.D., Weibel", "given" : "D.B.", "non-dropping-particle" : "", "parse-names" : false, "suffix" : "" } ], "container-title" : "MRS Bull", "id" : "ITEM-2", "issue" : "5", "issued" : { "date-parts" : [ [ "2011" ] ] }, "page" : "347-355", "title" : "Physicochemical regulation of biofilm formation", "type" : "article-journal", "volume" : "36" }, "uris" : [ "http://www.mendeley.com/documents/?uuid=af5d872d-ec23-48e5-b7ce-b3c5845a2039" ] } ], "mendeley" : { "formattedCitation" : "[67,77]", "plainTextFormattedCitation" : "[67,77]", "previouslyFormattedCitation" : "[67,77]" }, "properties" : { "noteIndex" : 0 }, "schema" : "https://github.com/citation-style-language/schema/raw/master/csl-citation.json" }</w:instrText>
      </w:r>
      <w:r w:rsidR="00253639">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[67,77]</w:t>
      </w:r>
      <w:r w:rsidR="00253639">
        <w:rPr>
          <w:rFonts w:asciiTheme="minorHAnsi" w:eastAsia="Calibri" w:hAnsiTheme="minorHAnsi" w:cs="Calibri"/>
          <w:color w:val="000000"/>
          <w:sz w:val="22"/>
          <w:szCs w:val="22"/>
          <w:lang w:eastAsia="zh-CN"/>
        </w:rPr>
        <w:fldChar w:fldCharType="end"/>
      </w:r>
      <w:r w:rsidR="00253639">
        <w:rPr>
          <w:rFonts w:asciiTheme="minorHAnsi" w:eastAsia="Calibri" w:hAnsiTheme="minorHAnsi" w:cs="Calibri"/>
          <w:color w:val="000000"/>
          <w:sz w:val="22"/>
          <w:szCs w:val="22"/>
          <w:lang w:eastAsia="zh-CN"/>
        </w:rPr>
        <w:t xml:space="preserve">. </w:t>
      </w:r>
    </w:p>
    <w:p w14:paraId="6749EACF"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Additionally, the xDLVO model prediction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irreversibly attaching to PTFE can be described in terms of the polar parameters of both the microbial and abiotic surface. The xDLVO model showed a strong attraction between the strong electron-donating surface (γ</w:t>
      </w:r>
      <w:r w:rsidRPr="00C44D8C">
        <w:rPr>
          <w:rFonts w:asciiTheme="minorHAnsi" w:eastAsia="Calibri" w:hAnsiTheme="minorHAnsi" w:cs="Calibri"/>
          <w:color w:val="000000"/>
          <w:sz w:val="22"/>
          <w:szCs w:val="22"/>
          <w:vertAlign w:val="superscript"/>
          <w:lang w:eastAsia="zh-CN"/>
        </w:rPr>
        <w:t>-</w:t>
      </w:r>
      <w:r w:rsidRPr="00C44D8C">
        <w:rPr>
          <w:rFonts w:asciiTheme="minorHAnsi" w:eastAsia="Calibri" w:hAnsiTheme="minorHAnsi" w:cs="Calibri"/>
          <w:color w:val="000000"/>
          <w:sz w:val="22"/>
          <w:szCs w:val="22"/>
          <w:lang w:eastAsia="zh-CN"/>
        </w:rPr>
        <w:t xml:space="preserve">)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to the strongest electron-accepting (γ</w:t>
      </w:r>
      <w:r w:rsidRPr="00C44D8C">
        <w:rPr>
          <w:rFonts w:asciiTheme="minorHAnsi" w:eastAsia="Calibri" w:hAnsiTheme="minorHAnsi" w:cs="Calibri"/>
          <w:color w:val="000000"/>
          <w:sz w:val="22"/>
          <w:szCs w:val="22"/>
          <w:vertAlign w:val="superscript"/>
          <w:lang w:eastAsia="zh-CN"/>
        </w:rPr>
        <w:t>+</w:t>
      </w:r>
      <w:r w:rsidRPr="00C44D8C">
        <w:rPr>
          <w:rFonts w:asciiTheme="minorHAnsi" w:eastAsia="Calibri" w:hAnsiTheme="minorHAnsi" w:cs="Calibri"/>
          <w:color w:val="000000"/>
          <w:sz w:val="22"/>
          <w:szCs w:val="22"/>
          <w:lang w:eastAsia="zh-CN"/>
        </w:rPr>
        <w:t>) surface of PTFE (Table 3.2).</w:t>
      </w:r>
    </w:p>
    <w:p w14:paraId="19C1EB28" w14:textId="693F86B2"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 xDLVO model was also able to account for the low percentage of surface coverage of cells to PE, PETG and PVDF after 2 h in 100 mM KCl, with experimental initial adhesion results correlating with the depths of the predicted secondary minima in the xDLVO energy profile (Fig. 3.3).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PVDF and PE possess highly negatively charged surfaces (Table 3.2), and were predicted by the xDLVO model to produce strong repulsive G</w:t>
      </w:r>
      <w:r w:rsidRPr="00C44D8C">
        <w:rPr>
          <w:rFonts w:asciiTheme="minorHAnsi" w:eastAsia="Calibri" w:hAnsiTheme="minorHAnsi" w:cs="Calibri"/>
          <w:color w:val="000000"/>
          <w:sz w:val="22"/>
          <w:szCs w:val="22"/>
          <w:vertAlign w:val="superscript"/>
          <w:lang w:eastAsia="zh-CN"/>
        </w:rPr>
        <w:t>EL</w:t>
      </w:r>
      <w:r w:rsidRPr="00C44D8C">
        <w:rPr>
          <w:rFonts w:asciiTheme="minorHAnsi" w:eastAsia="Calibri" w:hAnsiTheme="minorHAnsi" w:cs="Calibri"/>
          <w:color w:val="000000"/>
          <w:sz w:val="22"/>
          <w:szCs w:val="22"/>
          <w:lang w:eastAsia="zh-CN"/>
        </w:rPr>
        <w:t xml:space="preserve"> interactions between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and PVDF and PE at 70 Ǻ and 50 Ǻ respectively from the surface (Fig. 3.4). </w:t>
      </w:r>
      <w:r w:rsidR="00187DD0">
        <w:rPr>
          <w:rFonts w:asciiTheme="minorHAnsi" w:eastAsia="Calibri" w:hAnsiTheme="minorHAnsi" w:cs="Calibri"/>
          <w:color w:val="000000"/>
          <w:sz w:val="22"/>
          <w:szCs w:val="22"/>
          <w:lang w:eastAsia="zh-CN"/>
        </w:rPr>
        <w:t>N</w:t>
      </w:r>
      <w:r w:rsidRPr="00C44D8C">
        <w:rPr>
          <w:rFonts w:asciiTheme="minorHAnsi" w:eastAsia="Calibri" w:hAnsiTheme="minorHAnsi" w:cs="Calibri"/>
          <w:color w:val="000000"/>
          <w:sz w:val="22"/>
          <w:szCs w:val="22"/>
          <w:lang w:eastAsia="zh-CN"/>
        </w:rPr>
        <w:t xml:space="preserve">egative zeta potentials </w:t>
      </w:r>
      <w:r w:rsidR="00187DD0">
        <w:rPr>
          <w:rFonts w:asciiTheme="minorHAnsi" w:eastAsia="Calibri" w:hAnsiTheme="minorHAnsi" w:cs="Calibri"/>
          <w:color w:val="000000"/>
          <w:sz w:val="22"/>
          <w:szCs w:val="22"/>
          <w:lang w:eastAsia="zh-CN"/>
        </w:rPr>
        <w:t>of</w:t>
      </w:r>
      <w:r w:rsidRPr="00C44D8C">
        <w:rPr>
          <w:rFonts w:asciiTheme="minorHAnsi" w:eastAsia="Calibri" w:hAnsiTheme="minorHAnsi" w:cs="Calibri"/>
          <w:color w:val="000000"/>
          <w:sz w:val="22"/>
          <w:szCs w:val="22"/>
          <w:lang w:eastAsia="zh-CN"/>
        </w:rPr>
        <w:t xml:space="preserve"> surfaces in neutral pH environments </w:t>
      </w:r>
      <w:r w:rsidR="009D27C0">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"10.1016/0927-7757(93)80308-2", "ISSN" : "09277757", "author" : [ { "dropping-particle" : "", "family" : "Oss", "given" : "C.J.", "non-dropping-particle" : "van", "parse-names" : false, "suffix" : "" } ], "container-title" : "Colloids and Surfaces A: Physicochemical and Engineering Aspects", "id" : "ITEM-1", "issued" : { "date-parts" : [ [ "1993", "10" ] ] }, "page" : "1-49", "title" : "Acid\u2014base interfacial interactions in aqueous media", "type" : "article-journal", "volume" : "78" }, "uris" : [ "http://www.mendeley.com/documents/?uuid=e55f482c-7ee5-4f8b-a8f7-2743388a4569" ] }, { "id" : "ITEM-2", "itemData" : { "DOI" : "10.1016/0927-7765(94)01164-Z", "ISBN" : "0927-7765", "ISSN" : "09277765", "abstract" : "The use of the isoelectric point (IEP) of a bacterium as a measure of the ability of bacterial surface polymers to inhibit adhesion was tested. This inhibition is attributed to repulsive steric interactions and not to electrostatic repulsion as accounted for by the DLVO theory of colloid stability. IEP values were compared with literature data on cell wall composition and with adhesion results, obtained at pH 7 and an ionic strength of 0.1 M. The literature data demonstrate that an IEP \u2264 2.8 indicates the presence of significant amounts of cell surface polysaccharides containing negatively charged phosphate and/or carboxyl groups. The experimental results showed that these polymers inhibit adhesion onto both hydrophilic (glass) and hydrophobic (Teflon) surfaces. The coryneform Rhodococcus strain C125 with an IEP of 3.0 possesses amphiphilic cell surface components which inhibit adhesion onto glass and promote deposition onto Teflon. Bacteria with an IEP \u2265 3.2 appear to be free from polymer coatings that inhibit adhesion. They adhere in large amounts onto Teflon and in slightly lower amounts onto glass. Our findings therefore indicate that the IEP is a suitable parameter complementary to hydrophobicity in predicting the affinity of bacterial surface polymers for substrata with different hydrophobicities. \u00a9 1995.", "author" : [ { "dropping-particle" : "", "family" : "Rijnaarts", "given" : "Huub H M", "non-dropping-particle" : "", "parse-names" : false, "suffix" : "" }, { "dropping-particle" : "", "family" : "Norde", "given" : "Willem", "non-dropping-particle" : "", "parse-names" : false, "suffix" : "" }, { "dropping-particle" : "", "family" : "Lyklema", "given" : "Johannes", "non-dropping-particle" : "", "parse-names" : false, "suffix" : "" }, { "dropping-particle" : "", "family" : "Zehnder", "given" : "Alexander J B", "non-dropping-particle" : "", "parse-names" : false, "suffix" : "" } ], "container-title" : "Colloids and Surfaces B: Biointerfaces", "id" : "ITEM-2", "issued" : { "date-parts" : [ [ "1995" ] ] }, "title" : "The isoelectric point of bacteria as an indicator for the presence of cell surface polymers that inhibit adhesion", "type" : "article-journal" }, "uris" : [ "http://www.mendeley.com/documents/?uuid=f1b60019-893f-3fd5-861c-4062831fa625" ] } ], "mendeley" : { "formattedCitation" : "[71,183]", "plainTextFormattedCitation" : "[71,183]", "previouslyFormattedCitation" : "[71,183]"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[71,183]</w:t>
      </w:r>
      <w:r w:rsidR="009D27C0">
        <w:rPr>
          <w:rFonts w:asciiTheme="minorHAnsi" w:eastAsia="Calibri" w:hAnsiTheme="minorHAnsi" w:cs="Calibri"/>
          <w:color w:val="000000"/>
          <w:sz w:val="22"/>
          <w:szCs w:val="22"/>
          <w:lang w:eastAsia="zh-CN"/>
        </w:rPr>
        <w:fldChar w:fldCharType="end"/>
      </w:r>
      <w:r w:rsidR="00187DD0">
        <w:rPr>
          <w:rFonts w:asciiTheme="minorHAnsi" w:eastAsia="Calibri" w:hAnsiTheme="minorHAnsi" w:cs="Calibri"/>
          <w:color w:val="000000"/>
          <w:sz w:val="22"/>
          <w:szCs w:val="22"/>
          <w:lang w:eastAsia="zh-CN"/>
        </w:rPr>
        <w:t xml:space="preserve"> typically arise from </w:t>
      </w:r>
      <w:r w:rsidR="00187DD0" w:rsidRPr="00C44D8C">
        <w:rPr>
          <w:rFonts w:asciiTheme="minorHAnsi" w:eastAsia="Calibri" w:hAnsiTheme="minorHAnsi" w:cs="Calibri"/>
          <w:color w:val="000000"/>
          <w:sz w:val="22"/>
          <w:szCs w:val="22"/>
          <w:lang w:eastAsia="zh-CN"/>
        </w:rPr>
        <w:t>COO</w:t>
      </w:r>
      <w:r w:rsidR="00187DD0" w:rsidRPr="00C44D8C">
        <w:rPr>
          <w:rFonts w:asciiTheme="minorHAnsi" w:eastAsia="Calibri" w:hAnsiTheme="minorHAnsi" w:cs="Calibri"/>
          <w:color w:val="000000"/>
          <w:sz w:val="22"/>
          <w:szCs w:val="22"/>
          <w:vertAlign w:val="superscript"/>
          <w:lang w:eastAsia="zh-CN"/>
        </w:rPr>
        <w:t>−</w:t>
      </w:r>
      <w:r w:rsidR="00187DD0" w:rsidRPr="00C44D8C">
        <w:rPr>
          <w:rFonts w:asciiTheme="minorHAnsi" w:eastAsia="Calibri" w:hAnsiTheme="minorHAnsi" w:cs="Calibri"/>
          <w:color w:val="000000"/>
          <w:sz w:val="22"/>
          <w:szCs w:val="22"/>
          <w:lang w:eastAsia="zh-CN"/>
        </w:rPr>
        <w:t xml:space="preserve"> surface functional groups</w:t>
      </w:r>
      <w:r w:rsidR="00187DD0">
        <w:rPr>
          <w:rFonts w:asciiTheme="minorHAnsi" w:eastAsia="Calibri" w:hAnsiTheme="minorHAnsi" w:cs="Calibri"/>
          <w:color w:val="000000"/>
          <w:sz w:val="22"/>
          <w:szCs w:val="22"/>
          <w:lang w:eastAsia="zh-CN"/>
        </w:rPr>
        <w:t xml:space="preserve">, and high levels of </w:t>
      </w:r>
      <w:r w:rsidR="00187DD0" w:rsidRPr="00C44D8C">
        <w:rPr>
          <w:rFonts w:asciiTheme="minorHAnsi" w:eastAsia="Calibri" w:hAnsiTheme="minorHAnsi" w:cs="Calibri"/>
          <w:color w:val="000000"/>
          <w:sz w:val="22"/>
          <w:szCs w:val="22"/>
          <w:lang w:eastAsia="zh-CN"/>
        </w:rPr>
        <w:t>COO</w:t>
      </w:r>
      <w:r w:rsidR="00187DD0" w:rsidRPr="00C44D8C">
        <w:rPr>
          <w:rFonts w:asciiTheme="minorHAnsi" w:eastAsia="Calibri" w:hAnsiTheme="minorHAnsi" w:cs="Calibri"/>
          <w:color w:val="000000"/>
          <w:sz w:val="22"/>
          <w:szCs w:val="22"/>
          <w:vertAlign w:val="superscript"/>
          <w:lang w:eastAsia="zh-CN"/>
        </w:rPr>
        <w:t>−</w:t>
      </w:r>
      <w:r w:rsidR="00187DD0" w:rsidRPr="00C44D8C">
        <w:rPr>
          <w:rFonts w:asciiTheme="minorHAnsi" w:eastAsia="Calibri" w:hAnsiTheme="minorHAnsi" w:cs="Calibri"/>
          <w:color w:val="000000"/>
          <w:sz w:val="22"/>
          <w:szCs w:val="22"/>
          <w:lang w:eastAsia="zh-CN"/>
        </w:rPr>
        <w:t xml:space="preserve"> surface functional groups </w:t>
      </w:r>
      <w:r w:rsidRPr="00C44D8C">
        <w:rPr>
          <w:rFonts w:asciiTheme="minorHAnsi" w:eastAsia="Calibri" w:hAnsiTheme="minorHAnsi" w:cs="Calibri"/>
          <w:color w:val="000000"/>
          <w:sz w:val="22"/>
          <w:szCs w:val="22"/>
          <w:lang w:eastAsia="zh-CN"/>
        </w:rPr>
        <w:t xml:space="preserve">could be applicable to PVDF and PE. </w:t>
      </w:r>
    </w:p>
    <w:p w14:paraId="3F671CD9" w14:textId="308719DA"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PVC has proven to be a good support material for promoting high levels of archaeal attachment within a 2 h timeframe in previous studies using mixed methanogenic consortia </w:t>
      </w:r>
      <w:r w:rsidR="009D27C0">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"10.1111/1751-7915.12115", "ISSN" : "1751-7915", "PMID" : "24612643", "abstract" : "To evaluate the impact of the nature of the support material on its colonization by a methanogenic consortium, four substrata made of different materials: polyvinyl chloride, 2 polyethylene and polypropylene were tested during the start-up of lab-scale fixed-film reactors. The reactor performances were evaluated and compared together with the analysis of the biofilms. Biofilm growth was quantified and the structure of bacterial and archaeal communities were characterized by molecular fingerprinting profiles (capillary electrophoresis-single strand conformation polymorphism). The composition of the inoculum was shown to have a major impact on the bacterial composition of the biofilm, whatever the nature of the support material or the organic loading rate applied to the reactors during the start-up period. In contrast, the biofilm archaeal populations were independent of the inoculum used but highly dependent on the support material. Supports favouring Archaea colonization, the limiting factor in the overall process, should be preferred.", "author" : [ { "dropping-particle" : "", "family" : "Habouzit", "given" : "Fr\u00e9d\u00e9ric", "non-dropping-particle" : "", "parse-names" : false, "suffix" : "" }, { "dropping-particle" : "", "family" : "Hamelin", "given" : "J\u00e9r\u00f4me", "non-dropping-particle" : "", "parse-names" : false, "suffix" : "" }, { "dropping-particle" : "", "family" : "Santa-Catalina", "given" : "Ga\u00eblle", "non-dropping-particle" : "", "parse-names" : false, "suffix" : "" }, { "dropping-particle" : "", "family" : "Steyer", "given" : "Jean-P", "non-dropping-particle" : "", "parse-names" : false, "suffix" : "" }, { "dropping-particle" : "", "family" : "Bernet", "given" : "Nicolas", "non-dropping-particle" : "", "parse-names" : false, "suffix" : "" } ], "container-title" : "Microbial biotechnology", "id" : "ITEM-1", "issue" : "3", "issued" : { "date-parts" : [ [ "2014", "5" ] ] }, "page" : "257-64", "title" : "Biofilm development during the start-up period of anaerobic biofilm reactors: the biofilm Archaea community is highly dependent on the support material.", "type" : "article-journal", "volume" : "7" }, "uris" : [ "http://www.mendeley.com/documents/?uuid=5b3a22a0-d45a-4db7-9716-88119ba1ceb8" ] }, { "id" : "ITEM-2", "itemData" : { "DOI" : "10.1016/j.biortech.2010.12.023", "ISSN" : "1873-2976", "PMID" : "21211965", "abstract" : "In anaerobic wastewater treatment systems, the complex microbial biomass including Archaea and Bacteria can be retained as a biofilm attached to solid supports. The aim of this study was to evaluate the impact of specific properties of support material on early microbial adhesion. Seven different substrata are described in terms of topography and surface energy. Adhesion of a methanogenic consortium to these substrata was tested, the adhesion was quantified as a percentage of the surface area covered and the bacterial and archaeal community structures was assessed by molecular fingerprinting profiles (CE-SSCP). As expected, the overall adhesion on the supports was influenced mainly by total surface energy. Moreover, the adhered communities were different from the parent inocula, including the Archaea/Bacteria ratio. This could have a significant impact on the start-up of anaerobic digesters for which supports favoring Archaea adhesion, responsible for the limiting reaction of the process, should be preferred.", "author" : [ { "dropping-particle" : "", "family" : "Habouzit", "given" : "Fr\u00e9d\u00e9ric", "non-dropping-particle" : "", "parse-names" : false, "suffix" : "" }, { "dropping-particle" : "", "family" : "G\u00e9vaudan", "given" : "Ga\u00eblle", "non-dropping-particle" : "", "parse-names" : false, "suffix" : "" }, { "dropping-particle" : "", "family" : "Hamelin", "given" : "J\u00e9r\u00f4me", "non-dropping-particle" : "", "parse-names" : false, "suffix" : "" }, { "dropping-particle" : "", "family" : "Steyer", "given" : "Jean-Philippe", "non-dropping-particle" : "", "parse-names" : false, "suffix" : "" }, { "dropping-particle" : "", "family" : "Bernet", "given" : "Nicolas", "non-dropping-particle" : "", "parse-names" : false, "suffix" : "" } ], "container-title" : "Bioresource technology", "id" : "ITEM-2", "issue" : "5", "issued" : { "date-parts" : [ [ "2011", "3" ] ] }, "page" : "4054-60", "title" : "Influence of support material properties on the potential selection of Archaea during initial adhesion of a methanogenic consortium.", "type" : "article-journal", "volume" : "102" }, "uris" : [ "http://www.mendeley.com/documents/?uuid=4bf566e3-042c-46b5-9d07-ed10ce554bbb" ] } ], "mendeley" : { "formattedCitation" : "[45,94]", "plainTextFormattedCitation" : "[45,94]", "previouslyFormattedCitation" : "[45,94]"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[45,94]</w:t>
      </w:r>
      <w:r w:rsidR="009D27C0">
        <w:rPr>
          <w:rFonts w:asciiTheme="minorHAnsi" w:eastAsia="Calibri" w:hAnsiTheme="minorHAnsi" w:cs="Calibri"/>
          <w:color w:val="000000"/>
          <w:sz w:val="22"/>
          <w:szCs w:val="22"/>
          <w:lang w:eastAsia="zh-CN"/>
        </w:rPr>
        <w:fldChar w:fldCharType="end"/>
      </w:r>
      <w:r w:rsidR="009D27C0">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lang w:eastAsia="zh-CN"/>
        </w:rPr>
        <w:t xml:space="preserve">This has also been demonstrated in this study where PVC fared best from all the polymer support materials tested in promoting the selective attachment of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after 2 h in 100 mM KCl at pH 7. </w:t>
      </w:r>
    </w:p>
    <w:p w14:paraId="71CA76F6" w14:textId="2860F995"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This observation can be explained by further analysing the surface properties of PVC. PVC possessed the most hydrophilic surface with a water contact angle of 72˚, and the </w:t>
      </w:r>
      <w:r w:rsidRPr="00C44D8C">
        <w:rPr>
          <w:rFonts w:asciiTheme="minorHAnsi" w:eastAsia="Calibri" w:hAnsiTheme="minorHAnsi" w:cs="Calibri"/>
          <w:color w:val="000000"/>
          <w:sz w:val="22"/>
          <w:szCs w:val="22"/>
          <w:lang w:eastAsia="zh-CN"/>
        </w:rPr>
        <w:lastRenderedPageBreak/>
        <w:t>highest surface free energy (Table 3.2). This is due to the high polar acid-base (γ</w:t>
      </w:r>
      <w:r w:rsidRPr="00C44D8C">
        <w:rPr>
          <w:rFonts w:asciiTheme="minorHAnsi" w:eastAsia="Calibri" w:hAnsiTheme="minorHAnsi" w:cs="Calibri"/>
          <w:color w:val="000000"/>
          <w:sz w:val="22"/>
          <w:szCs w:val="22"/>
          <w:vertAlign w:val="superscript"/>
          <w:lang w:eastAsia="zh-CN"/>
        </w:rPr>
        <w:t>AB</w:t>
      </w:r>
      <w:r w:rsidRPr="00C44D8C">
        <w:rPr>
          <w:rFonts w:asciiTheme="minorHAnsi" w:eastAsia="Calibri" w:hAnsiTheme="minorHAnsi" w:cs="Calibri"/>
          <w:color w:val="000000"/>
          <w:sz w:val="22"/>
          <w:szCs w:val="22"/>
          <w:lang w:eastAsia="zh-CN"/>
        </w:rPr>
        <w:t>) component of PVC’s surface, which can be accredited to its high electron-donating (γ</w:t>
      </w:r>
      <w:r w:rsidRPr="00C44D8C">
        <w:rPr>
          <w:rFonts w:asciiTheme="minorHAnsi" w:eastAsia="Calibri" w:hAnsiTheme="minorHAnsi" w:cs="Calibri"/>
          <w:color w:val="000000"/>
          <w:sz w:val="22"/>
          <w:szCs w:val="22"/>
          <w:vertAlign w:val="superscript"/>
          <w:lang w:eastAsia="zh-CN"/>
        </w:rPr>
        <w:t>-</w:t>
      </w:r>
      <w:r w:rsidRPr="00C44D8C">
        <w:rPr>
          <w:rFonts w:asciiTheme="minorHAnsi" w:eastAsia="Calibri" w:hAnsiTheme="minorHAnsi" w:cs="Calibri"/>
          <w:color w:val="000000"/>
          <w:sz w:val="22"/>
          <w:szCs w:val="22"/>
          <w:lang w:eastAsia="zh-CN"/>
        </w:rPr>
        <w:t xml:space="preserve">) nature (Table 3.2).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exhibited an extremely</w:t>
      </w:r>
      <w:r w:rsidRPr="00C44D8C">
        <w:rPr>
          <w:rFonts w:asciiTheme="minorHAnsi" w:eastAsia="Calibri" w:hAnsiTheme="minorHAnsi" w:cs="Calibri"/>
          <w: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low water contact angle of 8˚ (Table 3.2), which is suggestive of a strong hydrophilic nature that could be a feature of its external methanochondroitin layer. This consists of glucuronic </w:t>
      </w:r>
      <w:r w:rsidR="009D27C0">
        <w:rPr>
          <w:rFonts w:asciiTheme="minorHAnsi" w:eastAsia="Calibri" w:hAnsiTheme="minorHAnsi" w:cs="Calibri"/>
          <w:color w:val="000000"/>
          <w:sz w:val="22"/>
          <w:szCs w:val="22"/>
          <w:lang w:eastAsia="zh-CN"/>
        </w:rPr>
        <w:t xml:space="preserve">acid and acetylgalactosamine </w:t>
      </w:r>
      <w:r w:rsidR="009D27C0">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"10.1016/j.colsurfb.2014.12.035", "ISSN" : "09277765", "author" : [ { "dropping-particle" : "", "family" : "Milkevych", "given" : "V.", "non-dropping-particle" : "", "parse-names" : false, "suffix" : "" }, { "dropping-particle" : "", "family" : "Donose", "given" : "B.C.", "non-dropping-particle" : "", "parse-names" : false, "suffix" : "" }, { "dropping-particle" : "", "family" : "Juste-Poinapen", "given" : "N.", "non-dropping-particle" : "", "parse-names" : false, "suffix" : "" }, { "dropping-particle" : "", "family" : "Batstone", "given" : "D.J.", "non-dropping-particle" : "", "parse-names" : false, "suffix" : "" } ], "container-title" : "Colloids and Surfaces B: Biointerfaces", "id" : "ITEM-1", "issued" : { "date-parts" : [ [ "2015" ] ] }, "page" : "303-312", "publisher" : "Elsevier B.V.", "title" : "Mechanical and cell-to-cell adhesive properties of aggregated Methanosarcina", "type" : "article-journal", "volume" : "126" }, "uris" : [ "http://www.mendeley.com/documents/?uuid=68b9cc12-02de-426e-a6b7-9d3bf7b064c3" ] }, { "id" : "ITEM-2", "itemData" : { "DOI" : "10.1093/glycob/cwq055", "ISBN" : "0959-6658", "ISSN" : "09596658", "PMID" : "20371512", "abstract" : "While each of the three domains of life on Earth possesses unique traits and relies on characteristic biological strategies, some processes are common to Eukarya, Bacteria and Archaea. Once believed to be restricted to Eukarya, it is now clear that Bacteria and Archaea are also capable of performing N-glycosylation. However, in contrast to Bacteria, where this posttranslational modification is still considered a rare event, numerous species of Archaea, isolated from a wide range of environments, have been reported to contain proteins bearing Asn-linked glycan moieties. Analysis of the chemical composition of the Asn-linked polysaccharides decorating archaeal proteins has, moreover, revealed the use of a wider variety of sugar subunits than seen in either eukaryal or bacterial glycoproteins. Still, although first reported some 30 years ago, little had been known of the steps or components involved in the archaeal version of this universal posttranslational modification. Now, with the availability of sufficient numbers of genome sequences and the development of appropriate experimental tools, molecular analysis of archaeal N-glycosylation pathways has become possible. Accordingly using halophilic, methanogenic and thermophilic model species, insight into the biosynthesis and attachment of N-linked glycans decorating archaeal glycoproteins is starting to amass. In this review, current understanding of N-glycosylation in Archaea is described.", "author" : [ { "dropping-particle" : "", "family" : "Calo", "given" : "Doron", "non-dropping-particle" : "", "parse-names" : false, "suffix" : "" }, { "dropping-particle" : "", "family" : "Kaminski", "given" : "Lina", "non-dropping-particle" : "", "parse-names" : false, "suffix" : "" }, { "dropping-particle" : "", "family" : "Eichler", "given" : "Jerry", "non-dropping-particle" : "", "parse-names" : false, "suffix" : "" } ], "container-title" : "Glycobiology", "id" : "ITEM-2", "issue" : "9", "issued" : { "date-parts" : [ [ "2010" ] ] }, "page" : "1065-1076", "title" : "Protein glycosylation in Archaea: Sweet and extreme", "type" : "article-journal", "volume" : "20" }, "uris" : [ "http://www.mendeley.com/documents/?uuid=b323fa9e-ce2f-4d7c-b419-99d392c11efb" ] } ], "mendeley" : { "formattedCitation" : "[53,184]", "plainTextFormattedCitation" : "[53,184]", "previouslyFormattedCitation" : "[53,184]"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[53,184]</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both of which are hydrophilic in nature.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also has a strong polar surface (Table 3.2), having a high electron-donating surface component (54 mJ.m</w:t>
      </w:r>
      <w:r w:rsidRPr="00C44D8C">
        <w:rPr>
          <w:rFonts w:asciiTheme="minorHAnsi" w:eastAsia="Calibri" w:hAnsiTheme="minorHAnsi" w:cs="Calibri"/>
          <w:color w:val="000000"/>
          <w:sz w:val="22"/>
          <w:szCs w:val="22"/>
          <w:vertAlign w:val="superscript"/>
          <w:lang w:eastAsia="zh-CN"/>
        </w:rPr>
        <w:t>-2</w:t>
      </w:r>
      <w:r w:rsidRPr="00C44D8C">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vertAlign w:val="superscript"/>
          <w:lang w:eastAsia="zh-CN"/>
        </w:rPr>
        <w:t xml:space="preserve"> </w:t>
      </w:r>
      <w:r w:rsidRPr="00C44D8C">
        <w:rPr>
          <w:rFonts w:asciiTheme="minorHAnsi" w:eastAsia="Calibri" w:hAnsiTheme="minorHAnsi" w:cs="Calibri"/>
          <w:color w:val="000000"/>
          <w:sz w:val="22"/>
          <w:szCs w:val="22"/>
          <w:lang w:eastAsia="zh-CN"/>
        </w:rPr>
        <w:t>compared to a lower electron-accepting surface component (2 mJ.m</w:t>
      </w:r>
      <w:r w:rsidRPr="00C44D8C">
        <w:rPr>
          <w:rFonts w:asciiTheme="minorHAnsi" w:eastAsia="Calibri" w:hAnsiTheme="minorHAnsi" w:cs="Calibri"/>
          <w:color w:val="000000"/>
          <w:sz w:val="22"/>
          <w:szCs w:val="22"/>
          <w:vertAlign w:val="superscript"/>
          <w:lang w:eastAsia="zh-CN"/>
        </w:rPr>
        <w:t>-2</w:t>
      </w:r>
      <w:r w:rsidRPr="00C44D8C">
        <w:rPr>
          <w:rFonts w:asciiTheme="minorHAnsi" w:eastAsia="Calibri" w:hAnsiTheme="minorHAnsi" w:cs="Calibri"/>
          <w:color w:val="000000"/>
          <w:sz w:val="22"/>
          <w:szCs w:val="22"/>
          <w:lang w:eastAsia="zh-CN"/>
        </w:rPr>
        <w:t>). This strong electron-donating surface property is</w:t>
      </w:r>
      <w:r w:rsidR="009D27C0">
        <w:rPr>
          <w:rFonts w:asciiTheme="minorHAnsi" w:eastAsia="Calibri" w:hAnsiTheme="minorHAnsi" w:cs="Calibri"/>
          <w:color w:val="000000"/>
          <w:sz w:val="22"/>
          <w:szCs w:val="22"/>
          <w:lang w:eastAsia="zh-CN"/>
        </w:rPr>
        <w:t xml:space="preserve"> typical of living surfaces </w:t>
      </w:r>
      <w:r w:rsidR="009D27C0">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[78]</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p>
    <w:p w14:paraId="7F42BC2A" w14:textId="179EDBBB"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The strong initial adhesion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to PVC as determined from the initial adhesion experiment could be a result of PVC’s polar surface and high </w:t>
      </w:r>
      <w:r w:rsidRPr="00C44D8C">
        <w:rPr>
          <w:rFonts w:asciiTheme="minorHAnsi" w:eastAsia="Calibri" w:hAnsiTheme="minorHAnsi" w:cs="Calibri"/>
          <w:i/>
          <w:color w:val="000000"/>
          <w:sz w:val="22"/>
          <w:szCs w:val="22"/>
          <w:lang w:eastAsia="zh-CN"/>
        </w:rPr>
        <w:t>γ</w:t>
      </w:r>
      <w:r w:rsidRPr="00C44D8C">
        <w:rPr>
          <w:rFonts w:asciiTheme="minorHAnsi" w:eastAsia="Calibri" w:hAnsiTheme="minorHAnsi" w:cs="Calibri"/>
          <w:i/>
          <w:color w:val="000000"/>
          <w:sz w:val="22"/>
          <w:szCs w:val="22"/>
          <w:vertAlign w:val="superscript"/>
          <w:lang w:eastAsia="zh-CN"/>
        </w:rPr>
        <w:t>AB</w:t>
      </w:r>
      <w:r w:rsidRPr="00C44D8C">
        <w:rPr>
          <w:rFonts w:asciiTheme="minorHAnsi" w:eastAsia="Calibri" w:hAnsiTheme="minorHAnsi" w:cs="Calibri"/>
          <w:color w:val="000000"/>
          <w:sz w:val="22"/>
          <w:szCs w:val="22"/>
          <w:lang w:eastAsia="zh-CN"/>
        </w:rPr>
        <w:t xml:space="preserve">. This surface property could facilitate an increased number of interfacial acid-base interactions between the cells of </w:t>
      </w:r>
      <w:r w:rsidRPr="00C44D8C">
        <w:rPr>
          <w:rFonts w:asciiTheme="minorHAnsi" w:eastAsia="Calibri" w:hAnsiTheme="minorHAnsi" w:cs="Calibri"/>
          <w:i/>
          <w:color w:val="000000"/>
          <w:sz w:val="22"/>
          <w:szCs w:val="22"/>
          <w:lang w:eastAsia="zh-CN"/>
        </w:rPr>
        <w:t xml:space="preserve">M. barkeri </w:t>
      </w:r>
      <w:r w:rsidR="009D27C0">
        <w:rPr>
          <w:rFonts w:asciiTheme="minorHAnsi" w:eastAsia="Calibri" w:hAnsiTheme="minorHAnsi" w:cs="Calibri"/>
          <w:color w:val="000000"/>
          <w:sz w:val="22"/>
          <w:szCs w:val="22"/>
          <w:lang w:eastAsia="zh-CN"/>
        </w:rPr>
        <w:t xml:space="preserve">and the surface of PVC </w:t>
      </w:r>
      <w:r w:rsidR="009D27C0">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"10.1099/mic.0.2008/018622-0", "ISBN" : "13500872 (ISSN)", "ISSN" : "13500872", "PMID" : "18832318", "abstract" : "Using a parallel-plate flow chamber, the hydrodynamic shear forces to prevent bacterial adhesion (F(prev)) and to detach adhering bacteria (F(det)) were evaluated for hydrophilic glass, hydrophobic, dimethyldichlorosilane (DDS)-coated glass and six different bacterial strains, in order to test the following three hypotheses. 1. A strong hydrodynamic shear force to prevent adhesion relates to a strong hydrodynamic shear force to detach an adhering organism. 2. A weak hydrodynamic shear force to detach adhering bacteria implies that more bacteria will be stimulated to detach by passing an air-liquid interface (an air bubble) through the flow chamber. 3. DLVO (Derjaguin, Landau, Verwey, Overbeek) interactions determine the characteristic hydrodynamic shear forces to prevent adhesion and to detach adhering micro-organisms as well as the detachment induced by a passing air-liquid interface. F(prev) varied from 0.03 to 0.70 pN, while F(det) varied from 0.31 to over 19.64 pN, suggesting that after initial contact, strengthening of the bond occurs. Generally, it was more difficult to detach bacteria from DDS-coated glass than from hydrophilic glass, which was confirmed by air bubble detachment studies. Calculated attractive forces based on the DLVO theory (F(DLVO)) towards the secondary interaction minimum were higher on glass than on DDS-coated glass. In general, all three hypotheses had to be rejected, showing that it is important to distinguish between forces acting parallel (hydrodynamic shear) and perpendicular (DLVO, air-liquid interface passages) to the substratum surface.", "author" : [ { "dropping-particle" : "", "family" : "Boks", "given" : "Niels P.", "non-dropping-particle" : "", "parse-names" : false, "suffix" : "" }, { "dropping-particle" : "", "family" : "Norde", "given" : "Willem", "non-dropping-particle" : "", "parse-names" : false, "suffix" : "" }, { "dropping-particle" : "", "family" : "Mei", "given" : "Henny C.", "non-dropping-particle" : "van der", "parse-names" : false, "suffix" : "" }, { "dropping-particle" : "", "family" : "Busscher", "given" : "Henk J.", "non-dropping-particle" : "", "parse-names" : false, "suffix" : "" } ], "container-title" : "Microbiology", "id" : "ITEM-1", "issue" : "10", "issued" : { "date-parts" : [ [ "2008" ] ] }, "page" : "3122-3133", "title" : "Forces involved in bacterial adhesion to hydrophilic and hydrophobic surfaces", "type" : "article-journal", "volume" : "154" }, "uris" : [ "http://www.mendeley.com/documents/?uuid=830c4b36-df5d-4eba-8d65-7d9f279dd9f0" ] } ], "mendeley" : { "formattedCitation" : "[185]", "plainTextFormattedCitation" : "[185]", "previouslyFormattedCitation" : "[185]"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[185]</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w:t>
      </w:r>
    </w:p>
    <w:p w14:paraId="3E39A0C0"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However, the xDLVO model predictions for the initial adhesion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to PVC deviated slightly from the results of the initial adhesion experiment (Fig. 3.6a).</w:t>
      </w:r>
      <w:r w:rsidRPr="00C44D8C">
        <w:rPr>
          <w:rFonts w:asciiTheme="minorHAnsi" w:eastAsia="Cambria" w:hAnsiTheme="minorHAnsi" w:cs="Cambria"/>
          <w:color w:val="000000"/>
          <w:sz w:val="22"/>
          <w:szCs w:val="22"/>
          <w:lang w:eastAsia="zh-CN"/>
        </w:rPr>
        <w:t xml:space="preserve"> Th</w:t>
      </w:r>
      <w:r w:rsidRPr="00C44D8C">
        <w:rPr>
          <w:rFonts w:asciiTheme="minorHAnsi" w:eastAsia="Calibri" w:hAnsiTheme="minorHAnsi" w:cs="Calibri"/>
          <w:color w:val="000000"/>
          <w:sz w:val="22"/>
          <w:szCs w:val="22"/>
          <w:lang w:eastAsia="zh-CN"/>
        </w:rPr>
        <w:t xml:space="preserve">e xDLVO model showed the presence of a secondary minimum between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and PVC at a separation distance of 30 Ǻ from the substratum, suggesting that cells were only reversibly attached to PVC. </w:t>
      </w:r>
    </w:p>
    <w:p w14:paraId="3BAFEC10" w14:textId="5EBF9717" w:rsidR="009A2ADB"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This can be explained by the fact that the DLVO model only takes into account the main physicochemical interactions occurring at the interface (Lifshitz-van der Waals, electrostatic and acid-base)</w:t>
      </w:r>
      <w:r w:rsidR="009D27C0">
        <w:rPr>
          <w:rFonts w:asciiTheme="minorHAnsi" w:eastAsia="Calibri" w:hAnsiTheme="minorHAnsi" w:cs="Calibri"/>
          <w:color w:val="000000"/>
          <w:sz w:val="22"/>
          <w:szCs w:val="22"/>
          <w:lang w:eastAsia="zh-CN"/>
        </w:rPr>
        <w:t xml:space="preserve"> </w:t>
      </w:r>
      <w:r w:rsidR="009D27C0">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"10.1016/S0927-7765(99)00035-1", "ISBN" : "3131748354", "ISSN" : "09277765", "abstract" : "The deposition of eight bacterial strains on Teflon and glass in aqueous media with ionic strengths varying between 0.0001 and 1 M was measured and interpreted. Two types of interactions were considered: (1) those described by the DLVO theory, which comprise van der Waals attraction and electrostatic repulsion (bacteria and surfaces are both negatively charged); and (2) steric interactions between the outer cell surface macromolecules and the substrata. As a trend, at low ionic strength (&lt;0.001 M), deposition is inhibited by DLVO-type electrostatic repulsion, but at high ionic strength (???0.1 M) it is dominated by steric interactions. The ionic strength at which the transition from the DLVO-controlled to the sterically controlled deposition occurs, is determined by the extension of the macromolecules into the surrounding medium, which varied between 5 and 100 nm among the bacterial strains studied. The steric interactions either promote deposition by bridging or inhibit it by steric repulsion. Between Teflon and hydrophobic bacteria, bridging is generally observed. The surface of one bacterial strain contains amphiphilic macromolecules that form bridges with Teflon but induce steric repulsion on glass. The presence of highly polar anionic polysaccharide coatings on the cell impedes attachment on both glass and Teflon. For practice, the general conclusion is that the deposition of most bacteria is: (1) strongly inhibited by DLVO-type electrostatic repulsion in aqueous environments of low ionic strength such as rain water, streams and lakes; (2) controlled by DLVO and/or steric interactions in systems as domestic waste waters and saliva; and (3) determined by steric interactions only in more saline environments as milk, urine, blood and sea water. Copyright (C) 1999 Elsevier Science B.V.", "author" : [ { "dropping-particle" : "", "family" : "Rijnaarts", "given" : "H. H M", "non-dropping-particle" : "", "parse-names" : false, "suffix" : "" }, { "dropping-particle" : "", "family" : "Norde", "given" : "W.", "non-dropping-particle" : "", "parse-names" : false, "suffix" : "" }, { "dropping-particle" : "", "family" : "Lyklema", "given" : "J.", "non-dropping-particle" : "", "parse-names" : false, "suffix" : "" }, { "dropping-particle" : "", "family" : "Zehnder", "given" : "a. J B", "non-dropping-particle" : "", "parse-names" : false, "suffix" : "" } ], "container-title" : "Colloids and Surfaces B: Biointerfaces", "id" : "ITEM-1", "issue" : "1-4", "issued" : { "date-parts" : [ [ "1999" ] ] }, "page" : "179-195", "title" : "DLVO and steric contributions to bacterial deposition in media of different ionic strengths", "type" : "article-journal", "volume" : "14" }, "uris" : [ "http://www.mendeley.com/documents/?uuid=174cae49-0bcf-48f2-9b31-69bdd642f08f" ] } ], "mendeley" : { "formattedCitation" : "[186]", "plainTextFormattedCitation" : "[186]", "previouslyFormattedCitation" : "[186]"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[186]</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r w:rsidR="000D3D31">
        <w:rPr>
          <w:rFonts w:asciiTheme="minorHAnsi" w:eastAsia="Calibri" w:hAnsiTheme="minorHAnsi" w:cs="Calibri"/>
          <w:color w:val="000000"/>
          <w:sz w:val="22"/>
          <w:szCs w:val="22"/>
          <w:lang w:eastAsia="zh-CN"/>
        </w:rPr>
        <w:t xml:space="preserve">In reality, initial adhesion is a complex process that can also be significantly influenced by various non-DLVO parameters. For example, hydrodynamic shear forces arising from the flow of fluid over a surface can have a significant effect on the </w:t>
      </w:r>
      <w:r w:rsidR="00450388">
        <w:rPr>
          <w:rFonts w:asciiTheme="minorHAnsi" w:eastAsia="Calibri" w:hAnsiTheme="minorHAnsi" w:cs="Calibri"/>
          <w:color w:val="000000"/>
          <w:sz w:val="22"/>
          <w:szCs w:val="22"/>
          <w:lang w:eastAsia="zh-CN"/>
        </w:rPr>
        <w:t xml:space="preserve">transport of </w:t>
      </w:r>
      <w:r w:rsidR="009A2ADB">
        <w:rPr>
          <w:rFonts w:asciiTheme="minorHAnsi" w:eastAsia="Calibri" w:hAnsiTheme="minorHAnsi" w:cs="Calibri"/>
          <w:color w:val="000000"/>
          <w:sz w:val="22"/>
          <w:szCs w:val="22"/>
          <w:lang w:eastAsia="zh-CN"/>
        </w:rPr>
        <w:t>microorganisms</w:t>
      </w:r>
      <w:r w:rsidR="00450388">
        <w:rPr>
          <w:rFonts w:asciiTheme="minorHAnsi" w:eastAsia="Calibri" w:hAnsiTheme="minorHAnsi" w:cs="Calibri"/>
          <w:color w:val="000000"/>
          <w:sz w:val="22"/>
          <w:szCs w:val="22"/>
          <w:lang w:eastAsia="zh-CN"/>
        </w:rPr>
        <w:t xml:space="preserve"> to a surface and therefore, affect the </w:t>
      </w:r>
      <w:r w:rsidR="000D3D31">
        <w:rPr>
          <w:rFonts w:asciiTheme="minorHAnsi" w:eastAsia="Calibri" w:hAnsiTheme="minorHAnsi" w:cs="Calibri"/>
          <w:color w:val="000000"/>
          <w:sz w:val="22"/>
          <w:szCs w:val="22"/>
          <w:lang w:eastAsia="zh-CN"/>
        </w:rPr>
        <w:t>rates of initial microbial adhesion</w:t>
      </w:r>
      <w:r w:rsidR="009A2ADB">
        <w:rPr>
          <w:rFonts w:asciiTheme="minorHAnsi" w:eastAsia="Calibri" w:hAnsiTheme="minorHAnsi" w:cs="Calibri"/>
          <w:color w:val="000000"/>
          <w:sz w:val="22"/>
          <w:szCs w:val="22"/>
          <w:lang w:eastAsia="zh-CN"/>
        </w:rPr>
        <w:t xml:space="preserve"> </w:t>
      </w:r>
      <w:r w:rsidR="009A2ADB">
        <w:rPr>
          <w:rFonts w:asciiTheme="minorHAnsi" w:eastAsia="Calibri" w:hAnsiTheme="minorHAnsi" w:cs="Calibri"/>
          <w:color w:val="000000"/>
          <w:sz w:val="22"/>
          <w:szCs w:val="22"/>
          <w:lang w:eastAsia="zh-CN"/>
        </w:rPr>
        <w:fldChar w:fldCharType="begin" w:fldLock="1"/>
      </w:r>
      <w:r w:rsidR="009A2ADB">
        <w:rPr>
          <w:rFonts w:asciiTheme="minorHAnsi" w:eastAsia="Calibri" w:hAnsiTheme="minorHAnsi" w:cs="Calibri"/>
          <w:color w:val="000000"/>
          <w:sz w:val="22"/>
          <w:szCs w:val="22"/>
          <w:lang w:eastAsia="zh-CN"/>
        </w:rPr>
        <w:instrText>ADDIN CSL_CITATION { "citationItems" : [ { "id" : "ITEM-1", "itemData" : { "abstract" : "Direct observations have clearl y shown that biofilm bacteria predominate, numerically and metabolically, in virtually all nutrient-sufficient ecosystems. Therefore, these sessile organisms predominate in most of the environmental, 7ll 0066-4227/9511 00 1-0711 $05.00", "author" : [ { "dropping-particle" : "", "family" : "Costerton", "given" : "J William", "non-dropping-particle" : "", "parse-names" : false, "suffix" : "" }, { "dropping-particle" : "", "family" : "Lewandowski", "given" : "Zbigniew", "non-dropping-particle" : "", "parse-names" : false, "suffix" : "" }, { "dropping-particle" : "", "family" : "Caldwell", "given" : "Douglas E", "non-dropping-particle" : "", "parse-names" : false, "suffix" : "" }, { "dropping-particle" : "", "family" : "Korber", "given" : "Darren R", "non-dropping-particle" : "", "parse-names" : false, "suffix" : "" }, { "dropping-particle" : "", "family" : "Lappin-Scott", "given" : "Hilary M", "non-dropping-particle" : "", "parse-names" : false, "suffix" : "" } ], "container-title" : "Annual review of microbiology", "id" : "ITEM-1", "issued" : { "date-parts" : [ [ "1995" ] ] }, "page" : "711-745", "title" : "MICROBIAL BIOFILMS", "type" : "article-journal", "volume" : "49" }, "uris" : [ "http://www.mendeley.com/documents/?uuid=8aafbc2b-666c-3dce-88ce-d576e45dbb2d" ] } ], "mendeley" : { "formattedCitation" : "[30]", "plainTextFormattedCitation" : "[30]", "previouslyFormattedCitation" : "[30]" }, "properties" : { "noteIndex" : 0 }, "schema" : "https://github.com/citation-style-language/schema/raw/master/csl-citation.json" }</w:instrText>
      </w:r>
      <w:r w:rsidR="009A2ADB">
        <w:rPr>
          <w:rFonts w:asciiTheme="minorHAnsi" w:eastAsia="Calibri" w:hAnsiTheme="minorHAnsi" w:cs="Calibri"/>
          <w:color w:val="000000"/>
          <w:sz w:val="22"/>
          <w:szCs w:val="22"/>
          <w:lang w:eastAsia="zh-CN"/>
        </w:rPr>
        <w:fldChar w:fldCharType="separate"/>
      </w:r>
      <w:r w:rsidR="009A2ADB" w:rsidRPr="009A2ADB">
        <w:rPr>
          <w:rFonts w:asciiTheme="minorHAnsi" w:eastAsia="Calibri" w:hAnsiTheme="minorHAnsi" w:cs="Calibri"/>
          <w:noProof/>
          <w:color w:val="000000"/>
          <w:sz w:val="22"/>
          <w:szCs w:val="22"/>
          <w:lang w:eastAsia="zh-CN"/>
        </w:rPr>
        <w:t>[30]</w:t>
      </w:r>
      <w:r w:rsidR="009A2ADB">
        <w:rPr>
          <w:rFonts w:asciiTheme="minorHAnsi" w:eastAsia="Calibri" w:hAnsiTheme="minorHAnsi" w:cs="Calibri"/>
          <w:color w:val="000000"/>
          <w:sz w:val="22"/>
          <w:szCs w:val="22"/>
          <w:lang w:eastAsia="zh-CN"/>
        </w:rPr>
        <w:fldChar w:fldCharType="end"/>
      </w:r>
      <w:r w:rsidR="009A2ADB">
        <w:rPr>
          <w:rFonts w:asciiTheme="minorHAnsi" w:eastAsia="Calibri" w:hAnsiTheme="minorHAnsi" w:cs="Calibri"/>
          <w:color w:val="000000"/>
          <w:sz w:val="22"/>
          <w:szCs w:val="22"/>
          <w:lang w:eastAsia="zh-CN"/>
        </w:rPr>
        <w:t xml:space="preserve">. Hydrodynamic shear forces can also significantly affect the shape and structure of established biofilms </w:t>
      </w:r>
      <w:r w:rsidR="009A2ADB">
        <w:rPr>
          <w:rFonts w:asciiTheme="minorHAnsi" w:eastAsia="Calibri" w:hAnsiTheme="minorHAnsi" w:cs="Calibri"/>
          <w:color w:val="000000"/>
          <w:sz w:val="22"/>
          <w:szCs w:val="22"/>
          <w:lang w:eastAsia="zh-CN"/>
        </w:rPr>
        <w:fldChar w:fldCharType="begin" w:fldLock="1"/>
      </w:r>
      <w:r w:rsidR="009A2ADB">
        <w:rPr>
          <w:rFonts w:asciiTheme="minorHAnsi" w:eastAsia="Calibri" w:hAnsiTheme="minorHAnsi" w:cs="Calibri"/>
          <w:color w:val="000000"/>
          <w:sz w:val="22"/>
          <w:szCs w:val="22"/>
          <w:lang w:eastAsia="zh-CN"/>
        </w:rPr>
        <w:instrText>ADDIN CSL_CITATION { "citationItems" : [ { "id" : "ITEM-1", "itemData" : { "DOI" : "10.1128/CMR.15.2.155", "author" : [ { "dropping-particle" : "", "family" : "Dunne", "given" : "W Michael", "non-dropping-particle" : "", "parse-names" : false, "suffix" : "" } ], "container-title" : "Clinical Microbiology Reviews", "id" : "ITEM-1", "issue" : "2", "issued" : { "date-parts" : [ [ "2002" ] ] }, "page" : "155-166", "title" : "Bacterial Adhesion : Seen Any Good Biofilms Lately ?", "type" : "article-journal", "volume" : "15" }, "uris" : [ "http://www.mendeley.com/documents/?uuid=ece23a4d-2182-4690-b9d9-594a4923f661" ] }, { "id" : "ITEM-2",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"ITEM-2", "issue" : "4", "issued" : { "date-parts" : [ [ "2000", "12" ] ] }, "page" : "847-67", "title" : "Microbial biofilms: from ecology to molecular genetics.", "type" : "article-journal", "volume" : "64" }, "uris" : [ "http://www.mendeley.com/documents/?uuid=b3c073e3-3e7c-47d0-bd4d-a0b3baf36aee" ] }, { "id" : "ITEM-3", "itemData" : { "ISSN" : "1473-2262", "PMID" : "15593018", "abstract" : "This article reviews the mechanisms of bacterial adhesion to biomaterial surfaces, the factors affecting the adhesion, the techniques used in estimating bacteria-material interactions and the models that have been developed in order to predict adhesion. The process of bacterial adhesion includes an initial physicochemical interaction phase and a late molecular and cellular one. It is a complicated process influenced by many factors, including the bacterial properties, the material surface characteristics, the environmental factors, such as the presence of serum proteins and the associated flow conditions. Two categories of techniques used in estimating bacteria-material interactions are described: those that utilize fluid flowing against the adhered bacteria and counting the percentage of bacteria that detach, and those that manipulate single bacteria in various configurations which lend themselves to more specific force application and provide the basis for theoretical analysis of the receptor-ligand interactions. The theories that are reviewed are the Derjaguin-Landau-Verwey-Overbeek (DLVO) theory, the thermodynamic approach and the extended DLVO theory. Over the years, significant work has been done to investigate the process of bacterial adhesion to biomaterial surfaces, however a lot of questions still remain unanswered.", "author" : [ { "dropping-particle" : "", "family" : "Katsikogianni", "given" : "M", "non-dropping-particle" : "", "parse-names" : false, "suffix" : "" }, { "dropping-particle" : "", "family" : "Missirlis", "given" : "Y F", "non-dropping-particle" : "", "parse-names" : false, "suffix" : "" } ], "container-title" : "European cells &amp; materials", "id" : "ITEM-3", "issued" : { "date-parts" : [ [ "2004", "12", "7" ] ] }, "page" : "37-57", "title" : "Concise review of mechanisms of bacterial adhesion to biomaterials and of techniques used in estimating bacteria-material interactions.", "type" : "article-journal", "volume" : "8" }, "uris" : [ "http://www.mendeley.com/documents/?uuid=4eda8098-d6b0-46bf-a937-897b50c8ad2c" ] } ], "mendeley" : { "formattedCitation" : "[22,65,66]", "plainTextFormattedCitation" : "[22,65,66]", "previouslyFormattedCitation" : "[22,65,66]" }, "properties" : { "noteIndex" : 0 }, "schema" : "https://github.com/citation-style-language/schema/raw/master/csl-citation.json" }</w:instrText>
      </w:r>
      <w:r w:rsidR="009A2ADB">
        <w:rPr>
          <w:rFonts w:asciiTheme="minorHAnsi" w:eastAsia="Calibri" w:hAnsiTheme="minorHAnsi" w:cs="Calibri"/>
          <w:color w:val="000000"/>
          <w:sz w:val="22"/>
          <w:szCs w:val="22"/>
          <w:lang w:eastAsia="zh-CN"/>
        </w:rPr>
        <w:fldChar w:fldCharType="separate"/>
      </w:r>
      <w:r w:rsidR="009A2ADB" w:rsidRPr="009A2ADB">
        <w:rPr>
          <w:rFonts w:asciiTheme="minorHAnsi" w:eastAsia="Calibri" w:hAnsiTheme="minorHAnsi" w:cs="Calibri"/>
          <w:noProof/>
          <w:color w:val="000000"/>
          <w:sz w:val="22"/>
          <w:szCs w:val="22"/>
          <w:lang w:eastAsia="zh-CN"/>
        </w:rPr>
        <w:t>[22,65,66]</w:t>
      </w:r>
      <w:r w:rsidR="009A2ADB">
        <w:rPr>
          <w:rFonts w:asciiTheme="minorHAnsi" w:eastAsia="Calibri" w:hAnsiTheme="minorHAnsi" w:cs="Calibri"/>
          <w:color w:val="000000"/>
          <w:sz w:val="22"/>
          <w:szCs w:val="22"/>
          <w:lang w:eastAsia="zh-CN"/>
        </w:rPr>
        <w:fldChar w:fldCharType="end"/>
      </w:r>
      <w:r w:rsidR="009A2ADB">
        <w:rPr>
          <w:rFonts w:asciiTheme="minorHAnsi" w:eastAsia="Calibri" w:hAnsiTheme="minorHAnsi" w:cs="Calibri"/>
          <w:color w:val="000000"/>
          <w:sz w:val="22"/>
          <w:szCs w:val="22"/>
          <w:lang w:eastAsia="zh-CN"/>
        </w:rPr>
        <w:t xml:space="preserve">. Past studies have tested the effect of defined hydrodynamic shear conditions on initial microbial adhesion with the use of parallel plate flow chambers and rotating discs </w:t>
      </w:r>
      <w:r w:rsidR="009A2ADB">
        <w:rPr>
          <w:rFonts w:asciiTheme="minorHAnsi" w:eastAsia="Calibri" w:hAnsiTheme="minorHAnsi" w:cs="Calibri"/>
          <w:color w:val="000000"/>
          <w:sz w:val="22"/>
          <w:szCs w:val="22"/>
          <w:lang w:eastAsia="zh-CN"/>
        </w:rPr>
        <w:fldChar w:fldCharType="begin" w:fldLock="1"/>
      </w:r>
      <w:r w:rsidR="005F4C68">
        <w:rPr>
          <w:rFonts w:asciiTheme="minorHAnsi" w:eastAsia="Calibri" w:hAnsiTheme="minorHAnsi" w:cs="Calibri"/>
          <w:color w:val="000000"/>
          <w:sz w:val="22"/>
          <w:szCs w:val="22"/>
          <w:lang w:eastAsia="zh-CN"/>
        </w:rPr>
        <w:instrText>ADDIN CSL_CITATION { "citationItems" : [ { "id" : "ITEM-1", "itemData" : { "ISSN" : "1473-2262", "PMID" : "15593018", "abstract" : "This article reviews the mechanisms of bacterial adhesion to biomaterial surfaces, the factors affecting the adhesion, the techniques used in estimating bacteria-material interactions and the models that have been developed in order to predict adhesion. The process of bacterial adhesion includes an initial physicochemical interaction phase and a late molecular and cellular one. It is a complicated process influenced by many factors, including the bacterial properties, the material surface characteristics, the environmental factors, such as the presence of serum proteins and the associated flow conditions. Two categories of techniques used in estimating bacteria-material interactions are described: those that utilize fluid flowing against the adhered bacteria and counting the percentage of bacteria that detach, and those that manipulate single bacteria in various configurations which lend themselves to more specific force application and provide the basis for theoretical analysis of the receptor-ligand interactions. The theories that are reviewed are the Derjaguin-Landau-Verwey-Overbeek (DLVO) theory, the thermodynamic approach and the extended DLVO theory. Over the years, significant work has been done to investigate the process of bacterial adhesion to biomaterial surfaces, however a lot of questions still remain unanswered.", "author" : [ { "dropping-particle" : "", "family" : "Katsikogianni", "given" : "M", "non-dropping-particle" : "", "parse-names" : false, "suffix" : "" }, { "dropping-particle" : "", "family" : "Missirlis", "given" : "Y F", "non-dropping-particle" : "", "parse-names" : false, "suffix" : "" } ], "container-title" : "European cells &amp; materials", "id" : "ITEM-1", "issued" : { "date-parts" : [ [ "2004", "12", "7" ] ] }, "page" : "37-57", "title" : "Concise review of mechanisms of bacterial adhesion to biomaterials and of techniques used in estimating bacteria-material interactions.", "type" : "article-journal", "volume" : "8" }, "uris" : [ "http://www.mendeley.com/documents/?uuid=4eda8098-d6b0-46bf-a937-897b50c8ad2c" ] } ], "mendeley" : { "formattedCitation" : "[66]", "plainTextFormattedCitation" : "[66]", "previouslyFormattedCitation" : "[66]" }, "properties" : { "noteIndex" : 0 }, "schema" : "https://github.com/citation-style-language/schema/raw/master/csl-citation.json" }</w:instrText>
      </w:r>
      <w:r w:rsidR="009A2ADB">
        <w:rPr>
          <w:rFonts w:asciiTheme="minorHAnsi" w:eastAsia="Calibri" w:hAnsiTheme="minorHAnsi" w:cs="Calibri"/>
          <w:color w:val="000000"/>
          <w:sz w:val="22"/>
          <w:szCs w:val="22"/>
          <w:lang w:eastAsia="zh-CN"/>
        </w:rPr>
        <w:fldChar w:fldCharType="separate"/>
      </w:r>
      <w:r w:rsidR="009A2ADB" w:rsidRPr="009A2ADB">
        <w:rPr>
          <w:rFonts w:asciiTheme="minorHAnsi" w:eastAsia="Calibri" w:hAnsiTheme="minorHAnsi" w:cs="Calibri"/>
          <w:noProof/>
          <w:color w:val="000000"/>
          <w:sz w:val="22"/>
          <w:szCs w:val="22"/>
          <w:lang w:eastAsia="zh-CN"/>
        </w:rPr>
        <w:t>[66]</w:t>
      </w:r>
      <w:r w:rsidR="009A2ADB">
        <w:rPr>
          <w:rFonts w:asciiTheme="minorHAnsi" w:eastAsia="Calibri" w:hAnsiTheme="minorHAnsi" w:cs="Calibri"/>
          <w:color w:val="000000"/>
          <w:sz w:val="22"/>
          <w:szCs w:val="22"/>
          <w:lang w:eastAsia="zh-CN"/>
        </w:rPr>
        <w:fldChar w:fldCharType="end"/>
      </w:r>
      <w:r w:rsidR="009A2ADB">
        <w:rPr>
          <w:rFonts w:asciiTheme="minorHAnsi" w:eastAsia="Calibri" w:hAnsiTheme="minorHAnsi" w:cs="Calibri"/>
          <w:color w:val="000000"/>
          <w:sz w:val="22"/>
          <w:szCs w:val="22"/>
          <w:lang w:eastAsia="zh-CN"/>
        </w:rPr>
        <w:t xml:space="preserve">. </w:t>
      </w:r>
    </w:p>
    <w:p w14:paraId="43D8CB94" w14:textId="4053F798" w:rsidR="00436CD0" w:rsidRPr="00C44D8C" w:rsidRDefault="009A2ADB" w:rsidP="00436CD0">
      <w:pPr>
        <w:spacing w:line="360" w:lineRule="auto"/>
        <w:ind w:firstLine="720"/>
        <w:rPr>
          <w:rFonts w:asciiTheme="minorHAnsi" w:eastAsia="Calibri" w:hAnsiTheme="minorHAnsi" w:cs="Calibri"/>
          <w:color w:val="000000"/>
          <w:sz w:val="22"/>
          <w:szCs w:val="22"/>
          <w:lang w:eastAsia="zh-CN"/>
        </w:rPr>
      </w:pPr>
      <w:r>
        <w:rPr>
          <w:rFonts w:asciiTheme="minorHAnsi" w:eastAsia="Calibri" w:hAnsiTheme="minorHAnsi" w:cs="Calibri"/>
          <w:color w:val="000000"/>
          <w:sz w:val="22"/>
          <w:szCs w:val="22"/>
          <w:lang w:eastAsia="zh-CN"/>
        </w:rPr>
        <w:t>In addition, t</w:t>
      </w:r>
      <w:r w:rsidR="00436CD0" w:rsidRPr="00C44D8C">
        <w:rPr>
          <w:rFonts w:asciiTheme="minorHAnsi" w:eastAsia="Calibri" w:hAnsiTheme="minorHAnsi" w:cs="Calibri"/>
          <w:color w:val="000000"/>
          <w:sz w:val="22"/>
          <w:szCs w:val="22"/>
          <w:lang w:eastAsia="zh-CN"/>
        </w:rPr>
        <w:t xml:space="preserve">he microbial cell surface is covered by surface polymers, which can have a high affinity to different abiotic surfaces and facilitate attractive surface polymer interactions in initial </w:t>
      </w:r>
      <w:r w:rsidR="009D27C0">
        <w:rPr>
          <w:rFonts w:asciiTheme="minorHAnsi" w:eastAsia="Calibri" w:hAnsiTheme="minorHAnsi" w:cs="Calibri"/>
          <w:color w:val="000000"/>
          <w:sz w:val="22"/>
          <w:szCs w:val="22"/>
          <w:lang w:eastAsia="zh-CN"/>
        </w:rPr>
        <w:t xml:space="preserve">adhesion </w:t>
      </w:r>
      <w:r w:rsidR="009D27C0">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"id" : "ITEM-2", "itemData" : { "DOI" : "10.1016/S0927-7765(99)00029-6", "ISSN" : "09277765", "author" : [ { "dropping-particle" : "", "family" : "Hermansson", "given" : "Malte", "non-dropping-particle" : "", "parse-names" : false, "suffix" : "" } ], "container-title" : "Colloids and Surfaces B: Biointerfaces", "id" : "ITEM-2", "issue" : "1-4", "issued" : { "date-parts" : [ [ "1999", "8" ] ] }, "page" : "105-119", "title" : "The DLVO theory in microbial adhesion", "type" : "article-journal", "volume" : "14" }, "uris" : [ "http://www.mendeley.com/documents/?uuid=db12c3da-a687-4348-a0ac-a4b17f40df97" ] } ], "mendeley" : { "formattedCitation" : "[72,79]", "plainTextFormattedCitation" : "[72,79]", "previouslyFormattedCitation" : "[72,79]"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[72,79]</w:t>
      </w:r>
      <w:r w:rsidR="009D27C0">
        <w:rPr>
          <w:rFonts w:asciiTheme="minorHAnsi" w:eastAsia="Calibri" w:hAnsiTheme="minorHAnsi" w:cs="Calibri"/>
          <w:color w:val="000000"/>
          <w:sz w:val="22"/>
          <w:szCs w:val="22"/>
          <w:lang w:eastAsia="zh-CN"/>
        </w:rPr>
        <w:fldChar w:fldCharType="end"/>
      </w:r>
      <w:r w:rsidR="00436CD0" w:rsidRPr="00C44D8C">
        <w:rPr>
          <w:rFonts w:asciiTheme="minorHAnsi" w:eastAsia="Calibri" w:hAnsiTheme="minorHAnsi" w:cs="Calibri"/>
          <w:color w:val="000000"/>
          <w:sz w:val="22"/>
          <w:szCs w:val="22"/>
          <w:lang w:eastAsia="zh-CN"/>
        </w:rPr>
        <w:t xml:space="preserve">. These polymer interactions are not taken into account by the DLVO model, and could explain the observed selective adhesion of </w:t>
      </w:r>
      <w:r w:rsidR="00436CD0" w:rsidRPr="00C44D8C">
        <w:rPr>
          <w:rFonts w:asciiTheme="minorHAnsi" w:eastAsia="Calibri" w:hAnsiTheme="minorHAnsi" w:cs="Calibri"/>
          <w:i/>
          <w:color w:val="000000"/>
          <w:sz w:val="22"/>
          <w:szCs w:val="22"/>
          <w:lang w:eastAsia="zh-CN"/>
        </w:rPr>
        <w:t xml:space="preserve">M. barkeri </w:t>
      </w:r>
      <w:r w:rsidR="00436CD0" w:rsidRPr="00C44D8C">
        <w:rPr>
          <w:rFonts w:asciiTheme="minorHAnsi" w:eastAsia="Calibri" w:hAnsiTheme="minorHAnsi" w:cs="Calibri"/>
          <w:color w:val="000000"/>
          <w:sz w:val="22"/>
          <w:szCs w:val="22"/>
          <w:lang w:eastAsia="zh-CN"/>
        </w:rPr>
        <w:t xml:space="preserve">to PVC in this study </w:t>
      </w:r>
      <w:r w:rsidR="009D27C0">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[63]</w:t>
      </w:r>
      <w:r w:rsidR="009D27C0">
        <w:rPr>
          <w:rFonts w:asciiTheme="minorHAnsi" w:eastAsia="Calibri" w:hAnsiTheme="minorHAnsi" w:cs="Calibri"/>
          <w:color w:val="000000"/>
          <w:sz w:val="22"/>
          <w:szCs w:val="22"/>
          <w:lang w:eastAsia="zh-CN"/>
        </w:rPr>
        <w:fldChar w:fldCharType="end"/>
      </w:r>
      <w:r w:rsidR="009D27C0">
        <w:rPr>
          <w:rFonts w:asciiTheme="minorHAnsi" w:eastAsia="Calibri" w:hAnsiTheme="minorHAnsi" w:cs="Calibri"/>
          <w:color w:val="000000"/>
          <w:sz w:val="22"/>
          <w:szCs w:val="22"/>
          <w:lang w:eastAsia="zh-CN"/>
        </w:rPr>
        <w:t>.</w:t>
      </w:r>
    </w:p>
    <w:p w14:paraId="6F06C0D5" w14:textId="3DFF3437" w:rsidR="00436CD0"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i/>
          <w:color w:val="000000"/>
          <w:sz w:val="22"/>
          <w:szCs w:val="22"/>
          <w:lang w:eastAsia="zh-CN"/>
        </w:rPr>
        <w:t xml:space="preserve">Methanosarcina </w:t>
      </w:r>
      <w:r w:rsidRPr="00C44D8C">
        <w:rPr>
          <w:rFonts w:asciiTheme="minorHAnsi" w:eastAsia="Calibri" w:hAnsiTheme="minorHAnsi" w:cs="Calibri"/>
          <w:color w:val="000000"/>
          <w:sz w:val="22"/>
          <w:szCs w:val="22"/>
          <w:lang w:eastAsia="zh-CN"/>
        </w:rPr>
        <w:t>species are known to typically possess an external surface layer consisting of a thick polymeric network of methanochondroitin fibrils, which can extend 20-</w:t>
      </w:r>
      <w:r w:rsidRPr="00C44D8C">
        <w:rPr>
          <w:rFonts w:asciiTheme="minorHAnsi" w:eastAsia="Calibri" w:hAnsiTheme="minorHAnsi" w:cs="Calibri"/>
          <w:color w:val="000000"/>
          <w:sz w:val="22"/>
          <w:szCs w:val="22"/>
          <w:lang w:eastAsia="zh-CN"/>
        </w:rPr>
        <w:lastRenderedPageBreak/>
        <w:t>200 nm from the inner microbial surface layer and are respon</w:t>
      </w:r>
      <w:r w:rsidR="009D27C0">
        <w:rPr>
          <w:rFonts w:asciiTheme="minorHAnsi" w:eastAsia="Calibri" w:hAnsiTheme="minorHAnsi" w:cs="Calibri"/>
          <w:color w:val="000000"/>
          <w:sz w:val="22"/>
          <w:szCs w:val="22"/>
          <w:lang w:eastAsia="zh-CN"/>
        </w:rPr>
        <w:t xml:space="preserve">sible for cell-cell adhesion </w:t>
      </w:r>
      <w:r w:rsidR="009D27C0">
        <w:rPr>
          <w:rFonts w:asciiTheme="minorHAnsi" w:eastAsia="Calibri" w:hAnsiTheme="minorHAnsi" w:cs="Calibri"/>
          <w:color w:val="000000"/>
          <w:sz w:val="22"/>
          <w:szCs w:val="22"/>
          <w:lang w:eastAsia="zh-CN"/>
        </w:rPr>
        <w:fldChar w:fldCharType="begin" w:fldLock="1"/>
      </w:r>
      <w:r w:rsidR="00F6573E">
        <w:rPr>
          <w:rFonts w:asciiTheme="minorHAnsi" w:eastAsia="Calibri" w:hAnsiTheme="minorHAnsi" w:cs="Calibri"/>
          <w:color w:val="000000"/>
          <w:sz w:val="22"/>
          <w:szCs w:val="22"/>
          <w:lang w:eastAsia="zh-CN"/>
        </w:rPr>
        <w:instrText>ADDIN CSL_CITATION { "citationItems" : [ { "id" : "ITEM-1", "itemData" : { "DOI" : "10.1016/j.colsurfb.2014.12.035", "ISSN" : "09277765", "author" : [ { "dropping-particle" : "", "family" : "Milkevych", "given" : "V.", "non-dropping-particle" : "", "parse-names" : false, "suffix" : "" }, { "dropping-particle" : "", "family" : "Donose", "given" : "B.C.", "non-dropping-particle" : "", "parse-names" : false, "suffix" : "" }, { "dropping-particle" : "", "family" : "Juste-Poinapen", "given" : "N.", "non-dropping-particle" : "", "parse-names" : false, "suffix" : "" }, { "dropping-particle" : "", "family" : "Batstone", "given" : "D.J.", "non-dropping-particle" : "", "parse-names" : false, "suffix" : "" } ], "container-title" : "Colloids and Surfaces B: Biointerfaces", "id" : "ITEM-1", "issued" : { "date-parts" : [ [ "2015" ] ] }, "page" : "303-312", "publisher" : "Elsevier B.V.", "title" : "Mechanical and cell-to-cell adhesive properties of aggregated Methanosarcina", "type" : "article-journal", "volume" : "126" }, "uris" : [ "http://www.mendeley.com/documents/?uuid=68b9cc12-02de-426e-a6b7-9d3bf7b064c3" ] } ], "mendeley" : { "formattedCitation" : "[53]", "plainTextFormattedCitation" : "[53]", "previouslyFormattedCitation" : "[53]"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3250CB" w:rsidRPr="003250CB">
        <w:rPr>
          <w:rFonts w:asciiTheme="minorHAnsi" w:eastAsia="Calibri" w:hAnsiTheme="minorHAnsi" w:cs="Calibri"/>
          <w:noProof/>
          <w:color w:val="000000"/>
          <w:sz w:val="22"/>
          <w:szCs w:val="22"/>
          <w:lang w:eastAsia="zh-CN"/>
        </w:rPr>
        <w:t>[53]</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Microbial surface structures are able to cross the repulsive energy barrier at separation distances of 20</w:t>
      </w:r>
      <w:r w:rsidR="009D27C0">
        <w:rPr>
          <w:rFonts w:asciiTheme="minorHAnsi" w:eastAsia="Calibri" w:hAnsiTheme="minorHAnsi" w:cs="Calibri"/>
          <w:color w:val="000000"/>
          <w:sz w:val="22"/>
          <w:szCs w:val="22"/>
          <w:lang w:eastAsia="zh-CN"/>
        </w:rPr>
        <w:t xml:space="preserve">-100 nm from the substratum </w:t>
      </w:r>
      <w:r w:rsidR="009D27C0">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"mendeley" : { "formattedCitation" : "[79]", "plainTextFormattedCitation" : "[79]", "previouslyFormattedCitation" : "[79]"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[79]</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to allow cells in the secondary minimum to come into cl</w:t>
      </w:r>
      <w:r w:rsidR="009D27C0">
        <w:rPr>
          <w:rFonts w:asciiTheme="minorHAnsi" w:eastAsia="Calibri" w:hAnsiTheme="minorHAnsi" w:cs="Calibri"/>
          <w:color w:val="000000"/>
          <w:sz w:val="22"/>
          <w:szCs w:val="22"/>
          <w:lang w:eastAsia="zh-CN"/>
        </w:rPr>
        <w:t xml:space="preserve">ose contact with each other </w:t>
      </w:r>
      <w:r w:rsidR="009D27C0">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"10.1016/S0927-7765(02)00180-7", "ISSN" : "09277765", "author" : [ { "dropping-particle" : "", "family" : "Sharma", "given" : "P.K.", "non-dropping-particle" : "", "parse-names" : false, "suffix" : "" }, { "dropping-particle" : "", "family" : "Hanumantha Rao", "given" : "K.", "non-dropping-particle" : "", "parse-names" : false, "suffix" : "" } ], "container-title" : "Colloids and Surfaces B: Biointerfaces", "id" : "ITEM-1", "issue" : "1", "issued" : { "date-parts" : [ [ "2003", "5" ] ] }, "page" : "21-38", "title" : "Adhesion of Paenibacillus polymyxa on chalcopyrite and pyrite: surface thermodynamics and extended DLVO theory", "type" : "article-journal", "volume" : "29" }, "uris" : [ "http://www.mendeley.com/documents/?uuid=dc496922-52f3-46dd-b3d5-1df7a00a598f" ] } ], "mendeley" : { "formattedCitation" : "[69]", "plainTextFormattedCitation" : "[69]", "previouslyFormattedCitation" : "[69]"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[69]</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Therefore, microbial surface structures play a role in the initial adhesion process by facilitating the transition of cells into the primary minimum and a more irreversible attachment</w:t>
      </w:r>
      <w:r w:rsidR="009D27C0">
        <w:rPr>
          <w:rFonts w:asciiTheme="minorHAnsi" w:eastAsia="Calibri" w:hAnsiTheme="minorHAnsi" w:cs="Calibri"/>
          <w:color w:val="000000"/>
          <w:sz w:val="22"/>
          <w:szCs w:val="22"/>
          <w:lang w:eastAsia="zh-CN"/>
        </w:rPr>
        <w:t xml:space="preserve"> </w:t>
      </w:r>
      <w:r w:rsidR="009D27C0">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"10.1016/S0927-7765(99)00035-1", "ISBN" : "3131748354", "ISSN" : "09277765", "abstract" : "The deposition of eight bacterial strains on Teflon and glass in aqueous media with ionic strengths varying between 0.0001 and 1 M was measured and interpreted. Two types of interactions were considered: (1) those described by the DLVO theory, which comprise van der Waals attraction and electrostatic repulsion (bacteria and surfaces are both negatively charged); and (2) steric interactions between the outer cell surface macromolecules and the substrata. As a trend, at low ionic strength (&lt;0.001 M), deposition is inhibited by DLVO-type electrostatic repulsion, but at high ionic strength (???0.1 M) it is dominated by steric interactions. The ionic strength at which the transition from the DLVO-controlled to the sterically controlled deposition occurs, is determined by the extension of the macromolecules into the surrounding medium, which varied between 5 and 100 nm among the bacterial strains studied. The steric interactions either promote deposition by bridging or inhibit it by steric repulsion. Between Teflon and hydrophobic bacteria, bridging is generally observed. The surface of one bacterial strain contains amphiphilic macromolecules that form bridges with Teflon but induce steric repulsion on glass. The presence of highly polar anionic polysaccharide coatings on the cell impedes attachment on both glass and Teflon. For practice, the general conclusion is that the deposition of most bacteria is: (1) strongly inhibited by DLVO-type electrostatic repulsion in aqueous environments of low ionic strength such as rain water, streams and lakes; (2) controlled by DLVO and/or steric interactions in systems as domestic waste waters and saliva; and (3) determined by steric interactions only in more saline environments as milk, urine, blood and sea water. Copyright (C) 1999 Elsevier Science B.V.", "author" : [ { "dropping-particle" : "", "family" : "Rijnaarts", "given" : "H. H M", "non-dropping-particle" : "", "parse-names" : false, "suffix" : "" }, { "dropping-particle" : "", "family" : "Norde", "given" : "W.", "non-dropping-particle" : "", "parse-names" : false, "suffix" : "" }, { "dropping-particle" : "", "family" : "Lyklema", "given" : "J.", "non-dropping-particle" : "", "parse-names" : false, "suffix" : "" }, { "dropping-particle" : "", "family" : "Zehnder", "given" : "a. J B", "non-dropping-particle" : "", "parse-names" : false, "suffix" : "" } ], "container-title" : "Colloids and Surfaces B: Biointerfaces", "id" : "ITEM-1", "issue" : "1-4", "issued" : { "date-parts" : [ [ "1999" ] ] }, "page" : "179-195", "title" : "DLVO and steric contributions to bacterial deposition in media of different ionic strengths", "type" : "article-journal", "volume" : "14" }, "uris" : [ "http://www.mendeley.com/documents/?uuid=174cae49-0bcf-48f2-9b31-69bdd642f08f" ] } ], "mendeley" : { "formattedCitation" : "[186]", "plainTextFormattedCitation" : "[186]", "previouslyFormattedCitation" : "[186]"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[186]</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w:t>
      </w:r>
    </w:p>
    <w:p w14:paraId="7120A3F0" w14:textId="704E6618" w:rsidR="00436CD0" w:rsidRPr="00C44D8C" w:rsidRDefault="00D50AEE" w:rsidP="00436CD0">
      <w:pPr>
        <w:spacing w:line="360" w:lineRule="auto"/>
        <w:ind w:firstLine="720"/>
        <w:rPr>
          <w:rFonts w:asciiTheme="minorHAnsi" w:eastAsia="Cambria" w:hAnsiTheme="minorHAnsi" w:cs="Cambria"/>
          <w:color w:val="000000"/>
          <w:sz w:val="22"/>
          <w:szCs w:val="22"/>
          <w:lang w:eastAsia="zh-CN"/>
        </w:rPr>
      </w:pPr>
      <w:r>
        <w:rPr>
          <w:rFonts w:asciiTheme="minorHAnsi" w:eastAsia="Calibri" w:hAnsiTheme="minorHAnsi" w:cs="Calibri"/>
          <w:color w:val="000000"/>
          <w:sz w:val="22"/>
          <w:szCs w:val="22"/>
          <w:lang w:eastAsia="zh-CN"/>
        </w:rPr>
        <w:t>In this study, i</w:t>
      </w:r>
      <w:r w:rsidR="00436CD0" w:rsidRPr="00C44D8C">
        <w:rPr>
          <w:rFonts w:asciiTheme="minorHAnsi" w:eastAsia="Calibri" w:hAnsiTheme="minorHAnsi" w:cs="Calibri"/>
          <w:color w:val="000000"/>
          <w:sz w:val="22"/>
          <w:szCs w:val="22"/>
          <w:lang w:eastAsia="zh-CN"/>
        </w:rPr>
        <w:t xml:space="preserve">t is feasible that the highly polar surface of PVC combined with specific polymer interactions between the surface structures of </w:t>
      </w:r>
      <w:r w:rsidR="00436CD0" w:rsidRPr="00C44D8C">
        <w:rPr>
          <w:rFonts w:asciiTheme="minorHAnsi" w:eastAsia="Calibri" w:hAnsiTheme="minorHAnsi" w:cs="Calibri"/>
          <w:i/>
          <w:color w:val="000000"/>
          <w:sz w:val="22"/>
          <w:szCs w:val="22"/>
          <w:lang w:eastAsia="zh-CN"/>
        </w:rPr>
        <w:t xml:space="preserve">M. barkeri </w:t>
      </w:r>
      <w:r w:rsidR="00436CD0" w:rsidRPr="00C44D8C">
        <w:rPr>
          <w:rFonts w:asciiTheme="minorHAnsi" w:eastAsia="Calibri" w:hAnsiTheme="minorHAnsi" w:cs="Calibri"/>
          <w:color w:val="000000"/>
          <w:sz w:val="22"/>
          <w:szCs w:val="22"/>
          <w:lang w:eastAsia="zh-CN"/>
        </w:rPr>
        <w:t>and the surface of PVC could have promoted a more irreversible attachment in the primary minimum. Previous studies have reported deviations from the pr</w:t>
      </w:r>
      <w:r w:rsidR="009D27C0">
        <w:rPr>
          <w:rFonts w:asciiTheme="minorHAnsi" w:eastAsia="Calibri" w:hAnsiTheme="minorHAnsi" w:cs="Calibri"/>
          <w:color w:val="000000"/>
          <w:sz w:val="22"/>
          <w:szCs w:val="22"/>
          <w:lang w:eastAsia="zh-CN"/>
        </w:rPr>
        <w:t>edictions of the DLVO model</w:t>
      </w:r>
      <w:r w:rsidR="00436CD0" w:rsidRPr="00C44D8C">
        <w:rPr>
          <w:rFonts w:asciiTheme="minorHAnsi" w:eastAsia="Calibri" w:hAnsiTheme="minorHAnsi" w:cs="Calibri"/>
          <w:color w:val="000000"/>
          <w:sz w:val="22"/>
          <w:szCs w:val="22"/>
          <w:lang w:eastAsia="zh-CN"/>
        </w:rPr>
        <w:t xml:space="preserve">, which have been explained by the presence of microbial surface polymers or structures </w:t>
      </w:r>
      <w:r w:rsidR="009D27C0">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"10.1099/mic.0.2008/018622-0", "ISBN" : "13500872 (ISSN)", "ISSN" : "13500872", "PMID" : "18832318", "abstract" : "Using a parallel-plate flow chamber, the hydrodynamic shear forces to prevent bacterial adhesion (F(prev)) and to detach adhering bacteria (F(det)) were evaluated for hydrophilic glass, hydrophobic, dimethyldichlorosilane (DDS)-coated glass and six different bacterial strains, in order to test the following three hypotheses. 1. A strong hydrodynamic shear force to prevent adhesion relates to a strong hydrodynamic shear force to detach an adhering organism. 2. A weak hydrodynamic shear force to detach adhering bacteria implies that more bacteria will be stimulated to detach by passing an air-liquid interface (an air bubble) through the flow chamber. 3. DLVO (Derjaguin, Landau, Verwey, Overbeek) interactions determine the characteristic hydrodynamic shear forces to prevent adhesion and to detach adhering micro-organisms as well as the detachment induced by a passing air-liquid interface. F(prev) varied from 0.03 to 0.70 pN, while F(det) varied from 0.31 to over 19.64 pN, suggesting that after initial contact, strengthening of the bond occurs. Generally, it was more difficult to detach bacteria from DDS-coated glass than from hydrophilic glass, which was confirmed by air bubble detachment studies. Calculated attractive forces based on the DLVO theory (F(DLVO)) towards the secondary interaction minimum were higher on glass than on DDS-coated glass. In general, all three hypotheses had to be rejected, showing that it is important to distinguish between forces acting parallel (hydrodynamic shear) and perpendicular (DLVO, air-liquid interface passages) to the substratum surface.", "author" : [ { "dropping-particle" : "", "family" : "Boks", "given" : "Niels P.", "non-dropping-particle" : "", "parse-names" : false, "suffix" : "" }, { "dropping-particle" : "", "family" : "Norde", "given" : "Willem", "non-dropping-particle" : "", "parse-names" : false, "suffix" : "" }, { "dropping-particle" : "", "family" : "Mei", "given" : "Henny C.", "non-dropping-particle" : "van der", "parse-names" : false, "suffix" : "" }, { "dropping-particle" : "", "family" : "Busscher", "given" : "Henk J.", "non-dropping-particle" : "", "parse-names" : false, "suffix" : "" } ], "container-title" : "Microbiology", "id" : "ITEM-1", "issue" : "10", "issued" : { "date-parts" : [ [ "2008" ] ] }, "page" : "3122-3133", "title" : "Forces involved in bacterial adhesion to hydrophilic and hydrophobic surfaces", "type" : "article-journal", "volume" : "154" }, "uris" : [ "http://www.mendeley.com/documents/?uuid=830c4b36-df5d-4eba-8d65-7d9f279dd9f0" ] }, { "id" : "ITEM-2",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"ITEM-2",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"[63,185]", "plainTextFormattedCitation" : "[63,185]", "previouslyFormattedCitation" : "[63,185]"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[63,185]</w:t>
      </w:r>
      <w:r w:rsidR="009D27C0">
        <w:rPr>
          <w:rFonts w:asciiTheme="minorHAnsi" w:eastAsia="Calibri" w:hAnsiTheme="minorHAnsi" w:cs="Calibri"/>
          <w:color w:val="000000"/>
          <w:sz w:val="22"/>
          <w:szCs w:val="22"/>
          <w:lang w:eastAsia="zh-CN"/>
        </w:rPr>
        <w:fldChar w:fldCharType="end"/>
      </w:r>
      <w:r w:rsidR="009D27C0">
        <w:rPr>
          <w:rFonts w:asciiTheme="minorHAnsi" w:eastAsia="Calibri" w:hAnsiTheme="minorHAnsi" w:cs="Calibri"/>
          <w:color w:val="000000"/>
          <w:sz w:val="22"/>
          <w:szCs w:val="22"/>
          <w:lang w:eastAsia="zh-CN"/>
        </w:rPr>
        <w:t>.</w:t>
      </w:r>
    </w:p>
    <w:p w14:paraId="0C3E1212" w14:textId="3AE00CFF"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This study showed that the support materials promoting the highest affinity of adhering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cells after 2 h in 100 mM KCl were also the best support materials for longer term attachment after 72 h and 96 h in basal media (Fig. 3.6b); a media that is also hig</w:t>
      </w:r>
      <w:r w:rsidR="009D27C0">
        <w:rPr>
          <w:rFonts w:asciiTheme="minorHAnsi" w:eastAsia="Calibri" w:hAnsiTheme="minorHAnsi" w:cs="Calibri"/>
          <w:color w:val="000000"/>
          <w:sz w:val="22"/>
          <w:szCs w:val="22"/>
          <w:lang w:eastAsia="zh-CN"/>
        </w:rPr>
        <w:t xml:space="preserve">hly ionic and neutral in pH </w:t>
      </w:r>
      <w:r w:rsidR="009D27C0">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"10.1163/156855207782146599", "ISSN" : "09218831", "author" : [ { "dropping-particle" : "", "family" : "Nomura", "given" : "Toshiyuki", "non-dropping-particle" : "", "parse-names" : false, "suffix" : "" }, { "dropping-particle" : "", "family" : "Yoshihara", "given" : "Akinori", "non-dropping-particle" : "", "parse-names" : false, "suffix" : "" }, { "dropping-particle" : "", "family" : "Nagao", "given" : "Takanori", "non-dropping-particle" : "", "parse-names" : false, "suffix" : "" }, { "dropping-particle" : "", "family" : "Tokumoto", "given" : "Hayato", "non-dropping-particle" : "", "parse-names" : false, "suffix" : "" }, { "dropping-particle" : "", "family" : "Konishi", "given" : "Yasuhiro", "non-dropping-particle" : "", "parse-names" : false, "suffix" : "" } ], "container-title" : "Advanced Powder Technology", "id" : "ITEM-1", "issue" : "5", "issued" : { "date-parts" : [ [ "2007", "9", "1" ] ] }, "page" : "489-501", "publisher" : "Society of Powder Technology Japan", "title" : "Effect of the surface characteristics of Methanosarcina barkeri on immobilization to support materials", "type" : "article-journal", "volume" : "18" }, "uris" : [ "http://www.mendeley.com/documents/?uuid=99c15eee-8c69-4e81-a7a2-611d8aba899b" ] } ], "mendeley" : { "formattedCitation" : "[176]", "plainTextFormattedCitation" : "[176]", "previouslyFormattedCitation" : "[176]"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[176]</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This finding agrees with those from previous studies on m</w:t>
      </w:r>
      <w:r w:rsidR="009D27C0">
        <w:rPr>
          <w:rFonts w:asciiTheme="minorHAnsi" w:eastAsia="Calibri" w:hAnsiTheme="minorHAnsi" w:cs="Calibri"/>
          <w:color w:val="000000"/>
          <w:sz w:val="22"/>
          <w:szCs w:val="22"/>
          <w:lang w:eastAsia="zh-CN"/>
        </w:rPr>
        <w:t xml:space="preserve">ixed methanogenic samples </w:t>
      </w:r>
      <w:r w:rsidR="009D27C0">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"10.1111/1751-7915.12115", "ISSN" : "1751-7915", "PMID" : "24612643", "abstract" : "To evaluate the impact of the nature of the support material on its colonization by a methanogenic consortium, four substrata made of different materials: polyvinyl chloride, 2 polyethylene and polypropylene were tested during the start-up of lab-scale fixed-film reactors. The reactor performances were evaluated and compared together with the analysis of the biofilms. Biofilm growth was quantified and the structure of bacterial and archaeal communities were characterized by molecular fingerprinting profiles (capillary electrophoresis-single strand conformation polymorphism). The composition of the inoculum was shown to have a major impact on the bacterial composition of the biofilm, whatever the nature of the support material or the organic loading rate applied to the reactors during the start-up period. In contrast, the biofilm archaeal populations were independent of the inoculum used but highly dependent on the support material. Supports favouring Archaea colonization, the limiting factor in the overall process, should be preferred.", "author" : [ { "dropping-particle" : "", "family" : "Habouzit", "given" : "Fr\u00e9d\u00e9ric", "non-dropping-particle" : "", "parse-names" : false, "suffix" : "" }, { "dropping-particle" : "", "family" : "Hamelin", "given" : "J\u00e9r\u00f4me", "non-dropping-particle" : "", "parse-names" : false, "suffix" : "" }, { "dropping-particle" : "", "family" : "Santa-Catalina", "given" : "Ga\u00eblle", "non-dropping-particle" : "", "parse-names" : false, "suffix" : "" }, { "dropping-particle" : "", "family" : "Steyer", "given" : "Jean-P", "non-dropping-particle" : "", "parse-names" : false, "suffix" : "" }, { "dropping-particle" : "", "family" : "Bernet", "given" : "Nicolas", "non-dropping-particle" : "", "parse-names" : false, "suffix" : "" } ], "container-title" : "Microbial biotechnology", "id" : "ITEM-1", "issue" : "3", "issued" : { "date-parts" : [ [ "2014", "5" ] ] }, "page" : "257-64", "title" : "Biofilm development during the start-up period of anaerobic biofilm reactors: the biofilm Archaea community is highly dependent on the support material.", "type" : "article-journal", "volume" : "7" }, "uris" : [ "http://www.mendeley.com/documents/?uuid=5b3a22a0-d45a-4db7-9716-88119ba1ceb8" ] }, { "id" : "ITEM-2", "itemData" : { "DOI" : "10.1016/j.biortech.2010.12.023", "ISSN" : "1873-2976", "PMID" : "21211965", "abstract" : "In anaerobic wastewater treatment systems, the complex microbial biomass including Archaea and Bacteria can be retained as a biofilm attached to solid supports. The aim of this study was to evaluate the impact of specific properties of support material on early microbial adhesion. Seven different substrata are described in terms of topography and surface energy. Adhesion of a methanogenic consortium to these substrata was tested, the adhesion was quantified as a percentage of the surface area covered and the bacterial and archaeal community structures was assessed by molecular fingerprinting profiles (CE-SSCP). As expected, the overall adhesion on the supports was influenced mainly by total surface energy. Moreover, the adhered communities were different from the parent inocula, including the Archaea/Bacteria ratio. This could have a significant impact on the start-up of anaerobic digesters for which supports favoring Archaea adhesion, responsible for the limiting reaction of the process, should be preferred.", "author" : [ { "dropping-particle" : "", "family" : "Habouzit", "given" : "Fr\u00e9d\u00e9ric", "non-dropping-particle" : "", "parse-names" : false, "suffix" : "" }, { "dropping-particle" : "", "family" : "G\u00e9vaudan", "given" : "Ga\u00eblle", "non-dropping-particle" : "", "parse-names" : false, "suffix" : "" }, { "dropping-particle" : "", "family" : "Hamelin", "given" : "J\u00e9r\u00f4me", "non-dropping-particle" : "", "parse-names" : false, "suffix" : "" }, { "dropping-particle" : "", "family" : "Steyer", "given" : "Jean-Philippe", "non-dropping-particle" : "", "parse-names" : false, "suffix" : "" }, { "dropping-particle" : "", "family" : "Bernet", "given" : "Nicolas", "non-dropping-particle" : "", "parse-names" : false, "suffix" : "" } ], "container-title" : "Bioresource technology", "id" : "ITEM-2", "issue" : "5", "issued" : { "date-parts" : [ [ "2011", "3" ] ] }, "page" : "4054-60", "title" : "Influence of support material properties on the potential selection of Archaea during initial adhesion of a methanogenic consortium.", "type" : "article-journal", "volume" : "102" }, "uris" : [ "http://www.mendeley.com/documents/?uuid=4bf566e3-042c-46b5-9d07-ed10ce554bbb" ] } ], "mendeley" : { "formattedCitation" : "[45,94]", "plainTextFormattedCitation" : "[45,94]", "previouslyFormattedCitation" : "[45,94]" }, "properties" : { "noteIndex" : 0 }, "schema" : "https://github.com/citation-style-language/schema/raw/master/csl-citation.json" }</w:instrText>
      </w:r>
      <w:r w:rsidR="009D27C0">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[45,94]</w:t>
      </w:r>
      <w:r w:rsidR="009D27C0">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and suggests that initial adhesion is a critical factor for biofilm formation in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w:t>
      </w:r>
    </w:p>
    <w:p w14:paraId="2BE3580F" w14:textId="7BE8B785" w:rsidR="00D50AEE" w:rsidRPr="00C44D8C" w:rsidRDefault="00187DD0" w:rsidP="00D50AEE">
      <w:pPr>
        <w:spacing w:line="360" w:lineRule="auto"/>
        <w:ind w:firstLine="720"/>
        <w:rPr>
          <w:rFonts w:asciiTheme="minorHAnsi" w:eastAsia="Cambria" w:hAnsiTheme="minorHAnsi" w:cs="Cambria"/>
          <w:color w:val="000000"/>
          <w:sz w:val="22"/>
          <w:szCs w:val="22"/>
          <w:lang w:eastAsia="zh-CN"/>
        </w:rPr>
      </w:pPr>
      <w:r>
        <w:rPr>
          <w:rFonts w:asciiTheme="minorHAnsi" w:eastAsia="Calibri" w:hAnsiTheme="minorHAnsi" w:cs="Calibri"/>
          <w:color w:val="000000"/>
          <w:sz w:val="22"/>
          <w:szCs w:val="22"/>
          <w:lang w:eastAsia="zh-CN"/>
        </w:rPr>
        <w:t>EPS could have played a role in the</w:t>
      </w:r>
      <w:r w:rsidR="00436CD0" w:rsidRPr="00C44D8C">
        <w:rPr>
          <w:rFonts w:asciiTheme="minorHAnsi" w:eastAsia="Calibri" w:hAnsiTheme="minorHAnsi" w:cs="Calibri"/>
          <w:color w:val="000000"/>
          <w:sz w:val="22"/>
          <w:szCs w:val="22"/>
          <w:lang w:eastAsia="zh-CN"/>
        </w:rPr>
        <w:t xml:space="preserve"> selective attachment of </w:t>
      </w:r>
      <w:r w:rsidR="00436CD0" w:rsidRPr="00C44D8C">
        <w:rPr>
          <w:rFonts w:asciiTheme="minorHAnsi" w:eastAsia="Calibri" w:hAnsiTheme="minorHAnsi" w:cs="Calibri"/>
          <w:i/>
          <w:color w:val="000000"/>
          <w:sz w:val="22"/>
          <w:szCs w:val="22"/>
          <w:lang w:eastAsia="zh-CN"/>
        </w:rPr>
        <w:t xml:space="preserve">M. barkeri </w:t>
      </w:r>
      <w:r w:rsidR="00436CD0" w:rsidRPr="00C44D8C">
        <w:rPr>
          <w:rFonts w:asciiTheme="minorHAnsi" w:eastAsia="Calibri" w:hAnsiTheme="minorHAnsi" w:cs="Calibri"/>
          <w:color w:val="000000"/>
          <w:sz w:val="22"/>
          <w:szCs w:val="22"/>
          <w:lang w:eastAsia="zh-CN"/>
        </w:rPr>
        <w:t xml:space="preserve">cells to PVC and PTFE after 72 h and 96 h, as suggested by SEM imaging (Figs. 3.8-3.9). There are certainly distinct differences between the topography </w:t>
      </w:r>
      <w:r w:rsidR="00204A0D">
        <w:rPr>
          <w:rFonts w:asciiTheme="minorHAnsi" w:eastAsia="Calibri" w:hAnsiTheme="minorHAnsi" w:cs="Calibri"/>
          <w:color w:val="000000"/>
          <w:sz w:val="22"/>
          <w:szCs w:val="22"/>
          <w:lang w:eastAsia="zh-CN"/>
        </w:rPr>
        <w:t xml:space="preserve">and roughness </w:t>
      </w:r>
      <w:r w:rsidR="00436CD0" w:rsidRPr="00C44D8C">
        <w:rPr>
          <w:rFonts w:asciiTheme="minorHAnsi" w:eastAsia="Calibri" w:hAnsiTheme="minorHAnsi" w:cs="Calibri"/>
          <w:color w:val="000000"/>
          <w:sz w:val="22"/>
          <w:szCs w:val="22"/>
          <w:lang w:eastAsia="zh-CN"/>
        </w:rPr>
        <w:t>of the surfaces of the coupons at these time points</w:t>
      </w:r>
      <w:r w:rsidR="00436CD0" w:rsidRPr="00C44D8C">
        <w:rPr>
          <w:rFonts w:asciiTheme="minorHAnsi" w:eastAsia="Calibri" w:hAnsiTheme="minorHAnsi" w:cs="Calibri"/>
          <w:i/>
          <w:color w:val="000000"/>
          <w:sz w:val="22"/>
          <w:szCs w:val="22"/>
          <w:lang w:eastAsia="zh-CN"/>
        </w:rPr>
        <w:t xml:space="preserve"> </w:t>
      </w:r>
      <w:r w:rsidR="00436CD0" w:rsidRPr="00C44D8C">
        <w:rPr>
          <w:rFonts w:asciiTheme="minorHAnsi" w:eastAsia="Calibri" w:hAnsiTheme="minorHAnsi" w:cs="Calibri"/>
          <w:color w:val="000000"/>
          <w:sz w:val="22"/>
          <w:szCs w:val="22"/>
          <w:lang w:eastAsia="zh-CN"/>
        </w:rPr>
        <w:t>compared to the control coupons (Figs. 3.8-3.10).</w:t>
      </w:r>
      <w:r w:rsidR="00D50AEE">
        <w:rPr>
          <w:rFonts w:asciiTheme="minorHAnsi" w:eastAsia="Calibri" w:hAnsiTheme="minorHAnsi" w:cs="Calibri"/>
          <w:color w:val="000000"/>
          <w:sz w:val="22"/>
          <w:szCs w:val="22"/>
          <w:lang w:eastAsia="zh-CN"/>
        </w:rPr>
        <w:t xml:space="preserve"> </w:t>
      </w:r>
      <w:r w:rsidR="00D50AEE" w:rsidRPr="00C44D8C">
        <w:rPr>
          <w:rFonts w:asciiTheme="minorHAnsi" w:eastAsia="Calibri" w:hAnsiTheme="minorHAnsi" w:cs="Calibri"/>
          <w:color w:val="000000"/>
          <w:sz w:val="22"/>
          <w:szCs w:val="22"/>
          <w:lang w:eastAsia="zh-CN"/>
        </w:rPr>
        <w:t xml:space="preserve">The inclusion of support materials within AD reactors have been reported to undergo rapid attachment from mixed methanogenic consortia within a few hours </w:t>
      </w:r>
      <w:r w:rsidR="00D50AEE">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"10.1007/s00248-007-9330-2", "ISSN" : "0095-3628", "PMID" : "18034358", "abstract" : "The formation, structure, and biodiversity of a multispecies anaerobic biofilm inside an Upflow Anaerobic Sludge Bed (UASB) reactor fed with brewery wastewater was examined using complementary microbial ecology methods such us fluorescence in situ hybridization (FISH), denaturing gradient gel electrophoresis (DGGE), and cloning. The biofilm development can be roughly divided into three stages: an initial attachment phase (0-36 h) characterized by random adhesion of the cells to the surface; a consolidation phase (from 36 h to 2 weeks) defined by the appearance of microcolonies; and maturation phase (from 2 weeks to 2 months). During the consolidation period, proteobacteria with broad metabolic capabilities, mainly represented by members of alpha-Proteobacteria class (Oleomonas, Azospirillum), predominated. Beta-, gamma-, delta- (both syntrophobacteria and sulfate-reducing bacteria) and epsilon- (Arcobacter sp.) Proteobacteria were also noticeable. Archaea first appeared during the consolidation period. A Methanospirillum-like methanogen was detected after 36 h, and this was followed by the detection of Methanosarcina, after 4 days of biofilm development. The mature biofilm displayed a hill and valley topography with cells embedded in a matrix of exopolymers where the spatial distribution of the microorganisms became well-established. Compared to the earlier phases, the biodiversity had greatly increased. Although alpha-Proteobacteria remained as predominant, members of the phyla Firmicutes, Bacteroidete, and Thermotogae were also detected. Within the domain Archaea, the acetoclastic methanogen Methanosaeta concilii become dominant. This study provides insights on the trophic web and the shifts in population during biofilm development in an UASB reactor.", "author" : [ { "dropping-particle" : "", "family" : "Fern\u00e1ndez", "given" : "Nuria", "non-dropping-particle" : "", "parse-names" : false, "suffix" : "" }, { "dropping-particle" : "", "family" : "D\u00edaz", "given" : "Emiliano Enrique", "non-dropping-particle" : "", "parse-names" : false, "suffix" : "" }, { "dropping-particle" : "", "family" : "Amils", "given" : "Ricardo", "non-dropping-particle" : "", "parse-names" : false, "suffix" : "" }, { "dropping-particle" : "", "family" : "Sanz", "given" : "Jos\u00e9 L", "non-dropping-particle" : "", "parse-names" : false, "suffix" : "" } ], "container-title" : "Microbial ecology", "id" : "ITEM-1", "issue" : "1", "issued" : { "date-parts" : [ [ "2008", "7" ] ] }, "page" : "121-32", "title" : "Analysis of microbial community during biofilm development in an anaerobic wastewater treatment reactor.", "type" : "article-journal", "volume" : "56" }, "uris" : [ "http://www.mendeley.com/documents/?uuid=a7fb80dc-e9f0-40c2-a854-d06a8be6d843" ] }, { "id" : "ITEM-2", "itemData" : { "DOI" : "10.1016/j.anaerobe.2013.11.013", "ISSN" : "1095-8274", "PMID" : "24342346", "abstract" : "Biofilm-based reactors are effectively used for wastewater treatment but are not common in biogas production. This study investigated biofilm dynamics on biofilm carriers incubated in batch biogas reactors at high and low organic loading rates for sludge from meat industry dissolved air flotation units. Biofilm formation and dynamics were studied using various microscopic techniques. Resulting micrographs were analysed for total cell numbers, thickness of biofilms, biofilm-covered surface area, and the area covered by extracellular polymeric substances (EPS). Cell numbers within biofilms (10(11)\u00a0cells\u00a0ml(-1)) were up to one order of magnitude higher compared to the numbers of cells in the fluid reactor content. Further, biofilm formation and structure mainly correlated with the numbers of microorganisms present in the fluid reactor content and the organic loading. At high organic loading (45\u00a0kg\u00a0VS\u00a0m(-3)), the thickness of the continuous biofilm layer ranged from 5 to 160\u00a0\u03bcm with an average of 51\u00a0\u03bcm and a median of 26\u00a0\u03bcm. Conversely, at lower organic loading (15\u00a0kg\u00a0VS\u00a0m(-3)), only microcolonies were detectable. Those microcolonies increased in their frequency of occurrence during ongoing fermentation. Independently from the organic loading rate, biofilms were embedded completely in EPS within seven days. The maturation and maintenance of biofilms changed during the batch fermentation due to decreasing substrate availability. Concomitant, detachment of microorganisms within biofilms was observed simultaneously with the decrease of biogas formation. This study demonstrates that biofilms of high cell densities can enhance digestion of organic waste and have positive effects on biogas production.", "author" : [ { "dropping-particle" : "", "family" : "Langer", "given" : "Susanne", "non-dropping-particle" : "", "parse-names" : false, "suffix" : "" }, { "dropping-particle" : "", "family" : "Schropp", "given" : "Daniel", "non-dropping-particle" : "", "parse-names" : false, "suffix" : "" }, { "dropping-particle" : "", "family" : "Bengelsdorf", "given" : "Frank R", "non-dropping-particle" : "", "parse-names" : false, "suffix" : "" }, { "dropping-particle" : "", "family" : "Othman", "given" : "Maazuza", "non-dropping-particle" : "", "parse-names" : false, "suffix" : "" }, { "dropping-particle" : "", "family" : "Kazda", "given" : "Marian", "non-dropping-particle" : "", "parse-names" : false, "suffix" : "" } ], "container-title" : "Anaerobe", "id" : "ITEM-2", "issued" : { "date-parts" : [ [ "2014", "10" ] ] }, "page" : "44-51", "publisher" : "Elsevier Ltd", "title" : "Dynamics of biofilm formation during anaerobic digestion of organic waste.", "type" : "article-journal", "volume" : "29" }, "uris" : [ "http://www.mendeley.com/documents/?uuid=4b8898d9-fc03-4937-856f-ffdb8ce60c48" ] } ], "mendeley" : { "formattedCitation" : "[187,188]", "plainTextFormattedCitation" : "[187,188]", "previouslyFormattedCitation" : "[187,188]" }, "properties" : { "noteIndex" : 0 }, "schema" : "https://github.com/citation-style-language/schema/raw/master/csl-citation.json" }</w:instrText>
      </w:r>
      <w:r w:rsidR="00D50AEE">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[187,188]</w:t>
      </w:r>
      <w:r w:rsidR="00D50AEE">
        <w:rPr>
          <w:rFonts w:asciiTheme="minorHAnsi" w:eastAsia="Calibri" w:hAnsiTheme="minorHAnsi" w:cs="Calibri"/>
          <w:color w:val="000000"/>
          <w:sz w:val="22"/>
          <w:szCs w:val="22"/>
          <w:lang w:eastAsia="zh-CN"/>
        </w:rPr>
        <w:fldChar w:fldCharType="end"/>
      </w:r>
      <w:r w:rsidR="00D50AEE" w:rsidRPr="00C44D8C">
        <w:rPr>
          <w:rFonts w:asciiTheme="minorHAnsi" w:eastAsia="Calibri" w:hAnsiTheme="minorHAnsi" w:cs="Calibri"/>
          <w:color w:val="000000"/>
          <w:sz w:val="22"/>
          <w:szCs w:val="22"/>
          <w:lang w:eastAsia="zh-CN"/>
        </w:rPr>
        <w:t>, and can promote t</w:t>
      </w:r>
      <w:r w:rsidR="00D50AEE">
        <w:rPr>
          <w:rFonts w:asciiTheme="minorHAnsi" w:eastAsia="Calibri" w:hAnsiTheme="minorHAnsi" w:cs="Calibri"/>
          <w:color w:val="000000"/>
          <w:sz w:val="22"/>
          <w:szCs w:val="22"/>
          <w:lang w:eastAsia="zh-CN"/>
        </w:rPr>
        <w:t xml:space="preserve">he early production of EPS </w:t>
      </w:r>
      <w:r w:rsidR="00D50AEE">
        <w:rPr>
          <w:rFonts w:asciiTheme="minorHAnsi" w:eastAsia="Calibri" w:hAnsiTheme="minorHAnsi" w:cs="Calibri"/>
          <w:color w:val="000000"/>
          <w:sz w:val="22"/>
          <w:szCs w:val="22"/>
          <w:lang w:eastAsia="zh-CN"/>
        </w:rPr>
        <w:fldChar w:fldCharType="begin" w:fldLock="1"/>
      </w:r>
      <w:r w:rsidR="00D50AEE">
        <w:rPr>
          <w:rFonts w:asciiTheme="minorHAnsi" w:eastAsia="Calibri" w:hAnsiTheme="minorHAnsi" w:cs="Calibri"/>
          <w:color w:val="000000"/>
          <w:sz w:val="22"/>
          <w:szCs w:val="22"/>
          <w:lang w:eastAsia="zh-CN"/>
        </w:rPr>
        <w:instrText>ADDIN CSL_CITATION { "citationItems" : [ { "id" : "ITEM-1", "itemData" : { "DOI" : "10.1016/0378-1097(87)90062-0", "ISSN" : "03781097", "author" : [ { "dropping-particle" : "", "family" : "Busscher", "given" : "H", "non-dropping-particle" : "", "parse-names" : false, "suffix" : "" }, { "dropping-particle" : "", "family" : "Werkamp", "given" : "A H", "non-dropping-particle" : "", "parse-names" : false, "suffix" : "" } ], "container-title" : "FEMS Microbiology Reviews", "id" : "ITEM-1", "issue" : "2", "issued" : { "date-parts" : [ [ "1987", "6" ] ] }, "page" : "165-173", "title" : "Specific and non-specific interactions in bacterial adhesion to solid substrata", "type" : "article-journal", "volume" : "46" }, "uris" : [ "http://www.mendeley.com/documents/?uuid=f1943176-2dd8-486f-863f-481adeacce68" ] } ], "mendeley" : { "formattedCitation" : "[67]", "plainTextFormattedCitation" : "[67]", "previouslyFormattedCitation" : "[67]" }, "properties" : { "noteIndex" : 0 }, "schema" : "https://github.com/citation-style-language/schema/raw/master/csl-citation.json" }</w:instrText>
      </w:r>
      <w:r w:rsidR="00D50AEE">
        <w:rPr>
          <w:rFonts w:asciiTheme="minorHAnsi" w:eastAsia="Calibri" w:hAnsiTheme="minorHAnsi" w:cs="Calibri"/>
          <w:color w:val="000000"/>
          <w:sz w:val="22"/>
          <w:szCs w:val="22"/>
          <w:lang w:eastAsia="zh-CN"/>
        </w:rPr>
        <w:fldChar w:fldCharType="separate"/>
      </w:r>
      <w:r w:rsidR="00D50AEE" w:rsidRPr="00AF47D2">
        <w:rPr>
          <w:rFonts w:asciiTheme="minorHAnsi" w:eastAsia="Calibri" w:hAnsiTheme="minorHAnsi" w:cs="Calibri"/>
          <w:noProof/>
          <w:color w:val="000000"/>
          <w:sz w:val="22"/>
          <w:szCs w:val="22"/>
          <w:lang w:eastAsia="zh-CN"/>
        </w:rPr>
        <w:t>[67]</w:t>
      </w:r>
      <w:r w:rsidR="00D50AEE">
        <w:rPr>
          <w:rFonts w:asciiTheme="minorHAnsi" w:eastAsia="Calibri" w:hAnsiTheme="minorHAnsi" w:cs="Calibri"/>
          <w:color w:val="000000"/>
          <w:sz w:val="22"/>
          <w:szCs w:val="22"/>
          <w:lang w:eastAsia="zh-CN"/>
        </w:rPr>
        <w:fldChar w:fldCharType="end"/>
      </w:r>
      <w:r w:rsidR="00D50AEE">
        <w:rPr>
          <w:rFonts w:asciiTheme="minorHAnsi" w:eastAsia="Calibri" w:hAnsiTheme="minorHAnsi" w:cs="Calibri"/>
          <w:color w:val="000000"/>
          <w:sz w:val="22"/>
          <w:szCs w:val="22"/>
          <w:lang w:eastAsia="zh-CN"/>
        </w:rPr>
        <w:t>.</w:t>
      </w:r>
    </w:p>
    <w:p w14:paraId="4447F4F6" w14:textId="02EDCA69" w:rsidR="00436CD0" w:rsidRPr="00C44D8C" w:rsidRDefault="00204A0D" w:rsidP="00436CD0">
      <w:pPr>
        <w:spacing w:line="360" w:lineRule="auto"/>
        <w:ind w:firstLine="720"/>
        <w:rPr>
          <w:rFonts w:asciiTheme="minorHAnsi" w:eastAsia="Cambria" w:hAnsiTheme="minorHAnsi" w:cs="Cambria"/>
          <w:color w:val="000000"/>
          <w:sz w:val="22"/>
          <w:szCs w:val="22"/>
          <w:lang w:eastAsia="zh-CN"/>
        </w:rPr>
      </w:pPr>
      <w:r>
        <w:rPr>
          <w:rFonts w:asciiTheme="minorHAnsi" w:eastAsia="Calibri" w:hAnsiTheme="minorHAnsi" w:cs="Calibri"/>
          <w:color w:val="000000"/>
          <w:sz w:val="22"/>
          <w:szCs w:val="22"/>
          <w:lang w:eastAsia="zh-CN"/>
        </w:rPr>
        <w:t>Surface roughness is</w:t>
      </w:r>
      <w:r w:rsidR="00D50AEE">
        <w:rPr>
          <w:rFonts w:asciiTheme="minorHAnsi" w:eastAsia="Calibri" w:hAnsiTheme="minorHAnsi" w:cs="Calibri"/>
          <w:color w:val="000000"/>
          <w:sz w:val="22"/>
          <w:szCs w:val="22"/>
          <w:lang w:eastAsia="zh-CN"/>
        </w:rPr>
        <w:t xml:space="preserve"> another non-DLVO parameter that is recognised as having a significant</w:t>
      </w:r>
      <w:r>
        <w:rPr>
          <w:rFonts w:asciiTheme="minorHAnsi" w:eastAsia="Calibri" w:hAnsiTheme="minorHAnsi" w:cs="Calibri"/>
          <w:color w:val="000000"/>
          <w:sz w:val="22"/>
          <w:szCs w:val="22"/>
          <w:lang w:eastAsia="zh-CN"/>
        </w:rPr>
        <w:t xml:space="preserve"> effect on </w:t>
      </w:r>
      <w:r w:rsidR="00D50AEE">
        <w:rPr>
          <w:rFonts w:asciiTheme="minorHAnsi" w:eastAsia="Calibri" w:hAnsiTheme="minorHAnsi" w:cs="Calibri"/>
          <w:color w:val="000000"/>
          <w:sz w:val="22"/>
          <w:szCs w:val="22"/>
          <w:lang w:eastAsia="zh-CN"/>
        </w:rPr>
        <w:t xml:space="preserve">initial </w:t>
      </w:r>
      <w:r>
        <w:rPr>
          <w:rFonts w:asciiTheme="minorHAnsi" w:eastAsia="Calibri" w:hAnsiTheme="minorHAnsi" w:cs="Calibri"/>
          <w:color w:val="000000"/>
          <w:sz w:val="22"/>
          <w:szCs w:val="22"/>
          <w:lang w:eastAsia="zh-CN"/>
        </w:rPr>
        <w:t xml:space="preserve">adhesion and can be measured using AFM [75]. </w:t>
      </w:r>
      <w:r w:rsidR="00D50AEE">
        <w:rPr>
          <w:rFonts w:asciiTheme="minorHAnsi" w:eastAsia="Calibri" w:hAnsiTheme="minorHAnsi" w:cs="Calibri"/>
          <w:color w:val="000000"/>
          <w:sz w:val="22"/>
          <w:szCs w:val="22"/>
          <w:lang w:eastAsia="zh-CN"/>
        </w:rPr>
        <w:t xml:space="preserve">A </w:t>
      </w:r>
      <w:r w:rsidR="00D50AEE" w:rsidRPr="000D3D31">
        <w:rPr>
          <w:rFonts w:asciiTheme="minorHAnsi" w:eastAsia="Calibri" w:hAnsiTheme="minorHAnsi" w:cs="Calibri"/>
          <w:color w:val="000000"/>
          <w:sz w:val="22"/>
          <w:szCs w:val="22"/>
          <w:lang w:eastAsia="zh-CN"/>
        </w:rPr>
        <w:t xml:space="preserve">recent study </w:t>
      </w:r>
      <w:r w:rsidR="002D345D">
        <w:rPr>
          <w:rFonts w:asciiTheme="minorHAnsi" w:eastAsia="Calibri" w:hAnsiTheme="minorHAnsi" w:cs="Calibri"/>
          <w:color w:val="000000"/>
          <w:sz w:val="22"/>
          <w:szCs w:val="22"/>
          <w:lang w:eastAsia="zh-CN"/>
        </w:rPr>
        <w:t xml:space="preserve">proposed a simple deposition model </w:t>
      </w:r>
      <w:r w:rsidR="00D35069">
        <w:rPr>
          <w:rFonts w:asciiTheme="minorHAnsi" w:eastAsia="Calibri" w:hAnsiTheme="minorHAnsi" w:cs="Calibri"/>
          <w:color w:val="000000"/>
          <w:sz w:val="22"/>
          <w:szCs w:val="22"/>
          <w:lang w:eastAsia="zh-CN"/>
        </w:rPr>
        <w:t xml:space="preserve">that incorporated </w:t>
      </w:r>
      <w:r w:rsidR="00D50AEE" w:rsidRPr="000D3D31">
        <w:rPr>
          <w:rFonts w:asciiTheme="minorHAnsi" w:eastAsia="Calibri" w:hAnsiTheme="minorHAnsi" w:cs="Calibri"/>
          <w:color w:val="000000"/>
          <w:sz w:val="22"/>
          <w:szCs w:val="22"/>
          <w:lang w:eastAsia="zh-CN"/>
        </w:rPr>
        <w:t>surface roughness measurements</w:t>
      </w:r>
      <w:r w:rsidR="00D50AEE" w:rsidRPr="00450388">
        <w:rPr>
          <w:rFonts w:asciiTheme="minorHAnsi" w:eastAsia="Calibri" w:hAnsiTheme="minorHAnsi" w:cs="Calibri"/>
          <w:color w:val="000000"/>
          <w:sz w:val="22"/>
          <w:szCs w:val="22"/>
          <w:lang w:eastAsia="zh-CN"/>
        </w:rPr>
        <w:t xml:space="preserve"> garnered from AFM into the DLVO model to better </w:t>
      </w:r>
      <w:r w:rsidR="00D50AEE" w:rsidRPr="000D3D31">
        <w:rPr>
          <w:rFonts w:asciiTheme="minorHAnsi" w:eastAsia="Calibri" w:hAnsiTheme="minorHAnsi" w:cs="Calibri"/>
          <w:color w:val="000000"/>
          <w:sz w:val="22"/>
          <w:szCs w:val="22"/>
          <w:lang w:eastAsia="zh-CN"/>
        </w:rPr>
        <w:t>describe initial adhesion</w:t>
      </w:r>
      <w:r w:rsidR="002D345D">
        <w:rPr>
          <w:rFonts w:asciiTheme="minorHAnsi" w:eastAsia="Calibri" w:hAnsiTheme="minorHAnsi" w:cs="Calibri"/>
          <w:color w:val="000000"/>
          <w:sz w:val="22"/>
          <w:szCs w:val="22"/>
          <w:lang w:eastAsia="zh-CN"/>
        </w:rPr>
        <w:t xml:space="preserve"> </w:t>
      </w:r>
      <w:r w:rsidR="00D50AEE">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"10.1016/j.surfcoat.2015.07.062", "ISBN" : "0257-8972", "ISSN" : "02578972", "abstract" : "Surface roughness is an important factor affecting cellular attachment to surfaces prior to biofilm formation. The presence of nanoscale asperities reduces the physicochemical potential barrier encountered by a bacterial cell when it approaches the surface. This work studies the initial bacterial deposition prior to biofilm formation for wastewater treatment. The objective of this work is to model how surface roughness of the substrate and appendages of the bacteria affect bacterial adhesion.In this study, bacteria are treated as inert particles that attach to surfaces according to the extended Derjaguin-Landau-Verwey-Overbeek (DLVO) theory. Surface roughness is modelled by reconstructing the surface topography using statistical parameters derived from Atomic Force Microscopy (AFM) roughness analyses. The model is validated by comparing deposition measured in a parallel flow chamber to the Computational Fluid Dynamics (CFD) results for different ionic strengths. Based on CFD simulations, the relationship between the deposition rate and the nanoscale surface roughness has been established. These findings can be used to guide the surface design of bed materials in wastewater treatment plants to control deposition.", "author" : [ { "dropping-particle" : "", "family" : "Ammar", "given" : "Yasmine", "non-dropping-particle" : "", "parse-names" : false, "suffix" : "" }, { "dropping-particle" : "", "family" : "Swailes", "given" : "David", "non-dropping-particle" : "", "parse-names" : false, "suffix" : "" }, { "dropping-particle" : "", "family" : "Bridgens", "given" : "Ben", "non-dropping-particle" : "", "parse-names" : false, "suffix" : "" }, { "dropping-particle" : "", "family" : "Chen", "given" : "Jinju", "non-dropping-particle" : "", "parse-names" : false, "suffix" : "" } ], "container-title" : "Surface and Coatings Technology", "id" : "ITEM-1", "issue" : "January 2016", "issued" : { "date-parts" : [ [ "2015" ] ] }, "page" : "410-416", "publisher" : "Elsevier B.V.", "title" : "Influence of surface roughness on the initial formation of biofilm", "type" : "article-journal", "volume" : "284" }, "uris" : [ "http://www.mendeley.com/documents/?uuid=19d4c32d-7023-4202-9e82-3f793e2a349c" ] } ], "mendeley" : { "formattedCitation" : "[189]", "plainTextFormattedCitation" : "[189]", "previouslyFormattedCitation" : "[189]" }, "properties" : { "noteIndex" : 0 }, "schema" : "https://github.com/citation-style-language/schema/raw/master/csl-citation.json" }</w:instrText>
      </w:r>
      <w:r w:rsidR="00D50AEE">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[189]</w:t>
      </w:r>
      <w:r w:rsidR="00D50AEE">
        <w:rPr>
          <w:rFonts w:asciiTheme="minorHAnsi" w:eastAsia="Calibri" w:hAnsiTheme="minorHAnsi" w:cs="Calibri"/>
          <w:color w:val="000000"/>
          <w:sz w:val="22"/>
          <w:szCs w:val="22"/>
          <w:lang w:eastAsia="zh-CN"/>
        </w:rPr>
        <w:fldChar w:fldCharType="end"/>
      </w:r>
      <w:r w:rsidR="00D50AEE">
        <w:rPr>
          <w:rFonts w:asciiTheme="minorHAnsi" w:eastAsia="Calibri" w:hAnsiTheme="minorHAnsi" w:cs="Calibri"/>
          <w:color w:val="000000"/>
          <w:sz w:val="22"/>
          <w:szCs w:val="22"/>
          <w:lang w:eastAsia="zh-CN"/>
        </w:rPr>
        <w:t xml:space="preserve">. It is clear that the microbiology toolkit for examining initial microbial adhesion and biofilm formation on surfaces is changing and becoming more expansive. </w:t>
      </w:r>
      <w:r w:rsidR="00D35069">
        <w:rPr>
          <w:rFonts w:asciiTheme="minorHAnsi" w:eastAsia="Calibri" w:hAnsiTheme="minorHAnsi" w:cs="Calibri"/>
          <w:color w:val="000000"/>
          <w:sz w:val="22"/>
          <w:szCs w:val="22"/>
          <w:lang w:eastAsia="zh-CN"/>
        </w:rPr>
        <w:t>For future work, such a model could be used to</w:t>
      </w:r>
      <w:r w:rsidR="002D345D">
        <w:rPr>
          <w:rFonts w:asciiTheme="minorHAnsi" w:eastAsia="Calibri" w:hAnsiTheme="minorHAnsi" w:cs="Calibri"/>
          <w:color w:val="000000"/>
          <w:sz w:val="22"/>
          <w:szCs w:val="22"/>
          <w:lang w:eastAsia="zh-CN"/>
        </w:rPr>
        <w:t xml:space="preserve"> </w:t>
      </w:r>
      <w:r>
        <w:rPr>
          <w:rFonts w:asciiTheme="minorHAnsi" w:eastAsia="Calibri" w:hAnsiTheme="minorHAnsi" w:cs="Calibri"/>
          <w:color w:val="000000"/>
          <w:sz w:val="22"/>
          <w:szCs w:val="22"/>
          <w:lang w:eastAsia="zh-CN"/>
        </w:rPr>
        <w:t xml:space="preserve">provide further insight into the </w:t>
      </w:r>
      <w:r w:rsidR="00D35069">
        <w:rPr>
          <w:rFonts w:asciiTheme="minorHAnsi" w:eastAsia="Calibri" w:hAnsiTheme="minorHAnsi" w:cs="Calibri"/>
          <w:color w:val="000000"/>
          <w:sz w:val="22"/>
          <w:szCs w:val="22"/>
          <w:lang w:eastAsia="zh-CN"/>
        </w:rPr>
        <w:t xml:space="preserve">effect of the surface roughness of </w:t>
      </w:r>
      <w:r w:rsidR="00D35069">
        <w:rPr>
          <w:rFonts w:asciiTheme="minorHAnsi" w:eastAsia="Calibri" w:hAnsiTheme="minorHAnsi" w:cs="Calibri"/>
          <w:i/>
          <w:color w:val="000000"/>
          <w:sz w:val="22"/>
          <w:szCs w:val="22"/>
          <w:lang w:eastAsia="zh-CN"/>
        </w:rPr>
        <w:t xml:space="preserve">M. barkeri </w:t>
      </w:r>
      <w:r w:rsidR="00D35069">
        <w:rPr>
          <w:rFonts w:asciiTheme="minorHAnsi" w:eastAsia="Calibri" w:hAnsiTheme="minorHAnsi" w:cs="Calibri"/>
          <w:color w:val="000000"/>
          <w:sz w:val="22"/>
          <w:szCs w:val="22"/>
          <w:lang w:eastAsia="zh-CN"/>
        </w:rPr>
        <w:t xml:space="preserve">and </w:t>
      </w:r>
      <w:r>
        <w:rPr>
          <w:rFonts w:asciiTheme="minorHAnsi" w:eastAsia="Calibri" w:hAnsiTheme="minorHAnsi" w:cs="Calibri"/>
          <w:color w:val="000000"/>
          <w:sz w:val="22"/>
          <w:szCs w:val="22"/>
          <w:lang w:eastAsia="zh-CN"/>
        </w:rPr>
        <w:t xml:space="preserve">the </w:t>
      </w:r>
      <w:r w:rsidR="00D35069">
        <w:rPr>
          <w:rFonts w:asciiTheme="minorHAnsi" w:eastAsia="Calibri" w:hAnsiTheme="minorHAnsi" w:cs="Calibri"/>
          <w:color w:val="000000"/>
          <w:sz w:val="22"/>
          <w:szCs w:val="22"/>
          <w:lang w:eastAsia="zh-CN"/>
        </w:rPr>
        <w:t xml:space="preserve">support materials on initial adhesion, which </w:t>
      </w:r>
      <w:r w:rsidR="002035AE">
        <w:rPr>
          <w:rFonts w:asciiTheme="minorHAnsi" w:eastAsia="Calibri" w:hAnsiTheme="minorHAnsi" w:cs="Calibri"/>
          <w:color w:val="000000"/>
          <w:sz w:val="22"/>
          <w:szCs w:val="22"/>
          <w:lang w:eastAsia="zh-CN"/>
        </w:rPr>
        <w:t>could al</w:t>
      </w:r>
      <w:r w:rsidR="00D35069">
        <w:rPr>
          <w:rFonts w:asciiTheme="minorHAnsi" w:eastAsia="Calibri" w:hAnsiTheme="minorHAnsi" w:cs="Calibri"/>
          <w:color w:val="000000"/>
          <w:sz w:val="22"/>
          <w:szCs w:val="22"/>
          <w:lang w:eastAsia="zh-CN"/>
        </w:rPr>
        <w:t xml:space="preserve">ter the interpretations garnered from the DLVO model in this study. </w:t>
      </w:r>
    </w:p>
    <w:p w14:paraId="178D5298" w14:textId="68AF04A0"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It is known that phenotypic and physiological changes in the cell are initiated by the initial attachment of microbial cells to an abiotic surface, which can promote adhesion by </w:t>
      </w:r>
      <w:r w:rsidRPr="00C44D8C">
        <w:rPr>
          <w:rFonts w:asciiTheme="minorHAnsi" w:eastAsia="Calibri" w:hAnsiTheme="minorHAnsi" w:cs="Calibri"/>
          <w:color w:val="000000"/>
          <w:sz w:val="22"/>
          <w:szCs w:val="22"/>
          <w:lang w:eastAsia="zh-CN"/>
        </w:rPr>
        <w:lastRenderedPageBreak/>
        <w:t xml:space="preserve">the release of EPS or other </w:t>
      </w:r>
      <w:r w:rsidR="00005BA9">
        <w:rPr>
          <w:rFonts w:asciiTheme="minorHAnsi" w:eastAsia="Calibri" w:hAnsiTheme="minorHAnsi" w:cs="Calibri"/>
          <w:color w:val="000000"/>
          <w:sz w:val="22"/>
          <w:szCs w:val="22"/>
          <w:lang w:eastAsia="zh-CN"/>
        </w:rPr>
        <w:t xml:space="preserve">surface-associated polymers </w:t>
      </w:r>
      <w:r w:rsidR="00005BA9">
        <w:rPr>
          <w:rFonts w:asciiTheme="minorHAnsi" w:eastAsia="Calibri" w:hAnsiTheme="minorHAnsi" w:cs="Calibri"/>
          <w:color w:val="000000"/>
          <w:sz w:val="22"/>
          <w:szCs w:val="22"/>
          <w:lang w:eastAsia="zh-CN"/>
        </w:rPr>
        <w:fldChar w:fldCharType="begin" w:fldLock="1"/>
      </w:r>
      <w:r w:rsidR="00005BA9">
        <w:rPr>
          <w:rFonts w:asciiTheme="minorHAnsi" w:eastAsia="Calibri" w:hAnsiTheme="minorHAnsi" w:cs="Calibri"/>
          <w:color w:val="000000"/>
          <w:sz w:val="22"/>
          <w:szCs w:val="22"/>
          <w:lang w:eastAsia="zh-CN"/>
        </w:rPr>
        <w:instrText>ADDIN CSL_CITATION { "citationItems" : [ { "id" : "ITEM-1", "itemData" : { "DOI" : "10.1038/nrmicro821", "ISBN" : "1740-1526 (Print)\\r1740-1526 (Linking)", "ISSN" : "1740-1526", "PMID" : "15040259", "abstract" : "Biofilms--matrix-enclosed microbial accretions that adhere to biological or non-biological surfaces--represent a significant and incompletely understood mode of growth for bacteria. Biofilm formation appears early in the fossil record (approximately 3.25 billion years ago) and is common throughout a diverse range of organisms in both the Archaea and Bacteria lineages, including the 'living fossils' in the most deeply dividing branches of the phylogenetic tree. It is evident that biofilm formation is an ancient and integral component of the prokaryotic life cycle, and is a key factor for survival in diverse environments. Recent advances show that biofilms are structurally complex, dynamic systems with attributes of both primordial multicellular organisms and multifaceted ecosystems. Biofilm formation represents a protected mode of growth that allows cells to survive in hostile environments and also disperse to colonize new niches. The implications of these survival and propagative mechanisms in the context of both the natural environment and infectious diseases are discussed in this review.", "author" : [ { "dropping-particle" : "", "family" : "Hall-Stoodley", "given" : "Luanne", "non-dropping-particle" : "", "parse-names" : false, "suffix" : "" }, { "dropping-particle" : "", "family" : "Costerton", "given" : "J William", "non-dropping-particle" : "", "parse-names" : false, "suffix" : "" }, { "dropping-particle" : "", "family" : "Stoodley", "given" : "Paul", "non-dropping-particle" : "", "parse-names" : false, "suffix" : "" } ], "container-title" : "Nature reviews. Microbiology", "id" : "ITEM-1", "issue" : "2", "issued" : { "date-parts" : [ [ "2004" ] ] }, "page" : "95-108", "title" : "Bacterial biofilms: from the natural environment to infectious diseases.", "type" : "article-journal", "volume" : "2" }, "uris" : [ "http://www.mendeley.com/documents/?uuid=80ad09d6-5320-4093-a20b-c180a35631d4" ] }, { "id" : "ITEM-2", "itemData" : { "DOI" : "10.1038/nrmicro2415", "ISSN" : "1740-1534", "PMID" : "20676145", "abstract" :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 "author" : [ { "dropping-particle" : "", "family" : "Flemming", "given" : "Hans-Curt", "non-dropping-particle" : "", "parse-names" : false, "suffix" : "" }, { "dropping-particle" : "", "family" : "Wingender", "given" : "Jost", "non-dropping-particle" : "", "parse-names" : false, "suffix" : "" } ], "container-title" : "Nature reviews. Microbiology", "id" : "ITEM-2", "issue" : "9", "issued" : { "date-parts" : [ [ "2010", "9" ] ] }, "page" : "623-33", "publisher" : "Nature Publishing Group", "title" : "The biofilm matrix.", "type" : "article-journal", "volume" : "8" }, "uris" : [ "http://www.mendeley.com/documents/?uuid=fe9f960b-59a2-4bd8-8a0d-3a3ef1a6a342" ] } ], "mendeley" : { "formattedCitation" : "[23,29]", "plainTextFormattedCitation" : "[23,29]", "previouslyFormattedCitation" : "[23,29]" }, "properties" : { "noteIndex" : 0 }, "schema" : "https://github.com/citation-style-language/schema/raw/master/csl-citation.json" }</w:instrText>
      </w:r>
      <w:r w:rsidR="00005BA9">
        <w:rPr>
          <w:rFonts w:asciiTheme="minorHAnsi" w:eastAsia="Calibri" w:hAnsiTheme="minorHAnsi" w:cs="Calibri"/>
          <w:color w:val="000000"/>
          <w:sz w:val="22"/>
          <w:szCs w:val="22"/>
          <w:lang w:eastAsia="zh-CN"/>
        </w:rPr>
        <w:fldChar w:fldCharType="separate"/>
      </w:r>
      <w:r w:rsidR="00005BA9" w:rsidRPr="00005BA9">
        <w:rPr>
          <w:rFonts w:asciiTheme="minorHAnsi" w:eastAsia="Calibri" w:hAnsiTheme="minorHAnsi" w:cs="Calibri"/>
          <w:noProof/>
          <w:color w:val="000000"/>
          <w:sz w:val="22"/>
          <w:szCs w:val="22"/>
          <w:lang w:eastAsia="zh-CN"/>
        </w:rPr>
        <w:t>[23,29]</w:t>
      </w:r>
      <w:r w:rsidR="00005BA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Hydrophobic and low surface free energy materials have been reported to promote an earlier production of surface-associated polymers compared to hydrophilic high surface free energy materials, and is a demonstr</w:t>
      </w:r>
      <w:r w:rsidR="00005BA9">
        <w:rPr>
          <w:rFonts w:asciiTheme="minorHAnsi" w:eastAsia="Calibri" w:hAnsiTheme="minorHAnsi" w:cs="Calibri"/>
          <w:color w:val="000000"/>
          <w:sz w:val="22"/>
          <w:szCs w:val="22"/>
          <w:lang w:eastAsia="zh-CN"/>
        </w:rPr>
        <w:t xml:space="preserve">able role of hydrophobicity </w:t>
      </w:r>
      <w:r w:rsidR="00005BA9">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"10.1016/0378-1097(87)90062-0", "ISSN" : "03781097", "author" : [ { "dropping-particle" : "", "family" : "Busscher", "given" : "H", "non-dropping-particle" : "", "parse-names" : false, "suffix" : "" }, { "dropping-particle" : "", "family" : "Werkamp", "given" : "A H", "non-dropping-particle" : "", "parse-names" : false, "suffix" : "" } ], "container-title" : "FEMS Microbiology Reviews", "id" : "ITEM-1", "issue" : "2", "issued" : { "date-parts" : [ [ "1987", "6" ] ] }, "page" : "165-173", "title" : "Specific and non-specific interactions in bacterial adhesion to solid substrata", "type" : "article-journal", "volume" : "46" }, "uris" : [ "http://www.mendeley.com/documents/?uuid=f1943176-2dd8-486f-863f-481adeacce68" ] } ], "mendeley" : { "formattedCitation" : "[67]", "plainTextFormattedCitation" : "[67]", "previouslyFormattedCitation" : "[67]" }, "properties" : { "noteIndex" : 0 }, "schema" : "https://github.com/citation-style-language/schema/raw/master/csl-citation.json" }</w:instrText>
      </w:r>
      <w:r w:rsidR="00005BA9">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[67]</w:t>
      </w:r>
      <w:r w:rsidR="00005BA9">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This finding could explain the observed polymeric material on the surfaces of PVC and PTFE in the SEM images (Fig. 3.6). However, further investigation would be needed to identify the role of the abiotic surface in promoting distinct changes to the cell surface during biofilm formation, and the role of these cell surface changes for irre</w:t>
      </w:r>
      <w:r w:rsidR="00187DD0">
        <w:rPr>
          <w:rFonts w:asciiTheme="minorHAnsi" w:eastAsia="Calibri" w:hAnsiTheme="minorHAnsi" w:cs="Calibri"/>
          <w:color w:val="000000"/>
          <w:sz w:val="22"/>
          <w:szCs w:val="22"/>
          <w:lang w:eastAsia="zh-CN"/>
        </w:rPr>
        <w:t>versible microbial attachment. This will be examined in further detail in the next chapter.</w:t>
      </w:r>
    </w:p>
    <w:p w14:paraId="23A640CD"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p>
    <w:p w14:paraId="3C10B910" w14:textId="762AF3F1" w:rsidR="00436CD0" w:rsidRPr="00C44D8C" w:rsidRDefault="00436CD0" w:rsidP="000B6618">
      <w:pPr>
        <w:pStyle w:val="Heading1"/>
        <w:rPr>
          <w:rFonts w:eastAsia="Cambria" w:cs="Cambria"/>
          <w:lang w:eastAsia="zh-CN"/>
        </w:rPr>
      </w:pPr>
      <w:bookmarkStart w:id="104" w:name="_Toc462575318"/>
      <w:r w:rsidRPr="00C44D8C">
        <w:rPr>
          <w:lang w:eastAsia="zh-CN"/>
        </w:rPr>
        <w:t>3.5. Conclusions</w:t>
      </w:r>
      <w:bookmarkEnd w:id="104"/>
      <w:r w:rsidRPr="00C44D8C">
        <w:rPr>
          <w:lang w:eastAsia="zh-CN"/>
        </w:rPr>
        <w:t xml:space="preserve"> </w:t>
      </w:r>
    </w:p>
    <w:p w14:paraId="68986451"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color w:val="000000"/>
          <w:sz w:val="22"/>
          <w:szCs w:val="22"/>
          <w:lang w:eastAsia="zh-CN"/>
        </w:rPr>
        <w:t xml:space="preserve">This study highlights the important role that the surface characteristics of support materials have in influencing microbial adhesion.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was shown to exhibit different abilities to attach to the six support materials, with the type of material strongly influencing the extent of attachment (p &lt; 0.05). </w:t>
      </w:r>
    </w:p>
    <w:p w14:paraId="394D5889" w14:textId="614DA4B0"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The results from the xDLVO model and the initial adhesion experiments were in close agreement with each other during the 2 h timeframe tested in this study for initial adhesion. This highlights the potential of</w:t>
      </w:r>
      <w:r w:rsidR="00187DD0">
        <w:rPr>
          <w:rFonts w:asciiTheme="minorHAnsi" w:eastAsia="Calibri" w:hAnsiTheme="minorHAnsi" w:cs="Calibri"/>
          <w:color w:val="000000"/>
          <w:sz w:val="22"/>
          <w:szCs w:val="22"/>
          <w:lang w:eastAsia="zh-CN"/>
        </w:rPr>
        <w:t xml:space="preserve"> using</w:t>
      </w:r>
      <w:r w:rsidRPr="00C44D8C">
        <w:rPr>
          <w:rFonts w:asciiTheme="minorHAnsi" w:eastAsia="Calibri" w:hAnsiTheme="minorHAnsi" w:cs="Calibri"/>
          <w:color w:val="000000"/>
          <w:sz w:val="22"/>
          <w:szCs w:val="22"/>
          <w:lang w:eastAsia="zh-CN"/>
        </w:rPr>
        <w:t xml:space="preserve"> the xDLVO model </w:t>
      </w:r>
      <w:r w:rsidR="00187DD0">
        <w:rPr>
          <w:rFonts w:asciiTheme="minorHAnsi" w:eastAsia="Calibri" w:hAnsiTheme="minorHAnsi" w:cs="Calibri"/>
          <w:color w:val="000000"/>
          <w:sz w:val="22"/>
          <w:szCs w:val="22"/>
          <w:lang w:eastAsia="zh-CN"/>
        </w:rPr>
        <w:t>to rapidly select</w:t>
      </w:r>
      <w:r w:rsidRPr="00C44D8C">
        <w:rPr>
          <w:rFonts w:asciiTheme="minorHAnsi" w:eastAsia="Calibri" w:hAnsiTheme="minorHAnsi" w:cs="Calibri"/>
          <w:color w:val="000000"/>
          <w:sz w:val="22"/>
          <w:szCs w:val="22"/>
          <w:lang w:eastAsia="zh-CN"/>
        </w:rPr>
        <w:t xml:space="preserve"> the most suitable support materials for the selective immobilization of </w:t>
      </w:r>
      <w:r w:rsidRPr="00C44D8C">
        <w:rPr>
          <w:rFonts w:asciiTheme="minorHAnsi" w:eastAsia="Calibri" w:hAnsiTheme="minorHAnsi" w:cs="Calibri"/>
          <w:i/>
          <w:color w:val="000000"/>
          <w:sz w:val="22"/>
          <w:szCs w:val="22"/>
          <w:lang w:eastAsia="zh-CN"/>
        </w:rPr>
        <w:t>M</w:t>
      </w:r>
      <w:r w:rsidRPr="00C44D8C">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i/>
          <w:color w:val="000000"/>
          <w:sz w:val="22"/>
          <w:szCs w:val="22"/>
          <w:lang w:eastAsia="zh-CN"/>
        </w:rPr>
        <w:t xml:space="preserve">barkeri, </w:t>
      </w:r>
      <w:r w:rsidR="00187DD0">
        <w:rPr>
          <w:rFonts w:asciiTheme="minorHAnsi" w:eastAsia="Calibri" w:hAnsiTheme="minorHAnsi" w:cs="Calibri"/>
          <w:color w:val="000000"/>
          <w:sz w:val="22"/>
          <w:szCs w:val="22"/>
          <w:lang w:eastAsia="zh-CN"/>
        </w:rPr>
        <w:t>which could be</w:t>
      </w:r>
      <w:r w:rsidRPr="00C44D8C">
        <w:rPr>
          <w:rFonts w:asciiTheme="minorHAnsi" w:eastAsia="Calibri" w:hAnsiTheme="minorHAnsi" w:cs="Calibri"/>
          <w:color w:val="000000"/>
          <w:sz w:val="22"/>
          <w:szCs w:val="22"/>
          <w:lang w:eastAsia="zh-CN"/>
        </w:rPr>
        <w:t xml:space="preserve"> applicable for a </w:t>
      </w:r>
      <w:r w:rsidRPr="00C44D8C">
        <w:rPr>
          <w:rFonts w:asciiTheme="minorHAnsi" w:eastAsia="Calibri" w:hAnsiTheme="minorHAnsi" w:cs="Calibri"/>
          <w:i/>
          <w:color w:val="000000"/>
          <w:sz w:val="22"/>
          <w:szCs w:val="22"/>
          <w:lang w:eastAsia="zh-CN"/>
        </w:rPr>
        <w:t>Methanosarcina-</w:t>
      </w:r>
      <w:r w:rsidRPr="00C44D8C">
        <w:rPr>
          <w:rFonts w:asciiTheme="minorHAnsi" w:eastAsia="Calibri" w:hAnsiTheme="minorHAnsi" w:cs="Calibri"/>
          <w:color w:val="000000"/>
          <w:sz w:val="22"/>
          <w:szCs w:val="22"/>
          <w:lang w:eastAsia="zh-CN"/>
        </w:rPr>
        <w:t>based AD reactor design.</w:t>
      </w:r>
    </w:p>
    <w:p w14:paraId="674A42D4" w14:textId="581A8076" w:rsidR="00436CD0" w:rsidRPr="00C44D8C" w:rsidRDefault="00187DD0" w:rsidP="00436CD0">
      <w:pPr>
        <w:spacing w:line="360" w:lineRule="auto"/>
        <w:ind w:firstLine="720"/>
        <w:rPr>
          <w:rFonts w:asciiTheme="minorHAnsi" w:eastAsia="Cambria" w:hAnsiTheme="minorHAnsi" w:cs="Cambria"/>
          <w:color w:val="000000"/>
          <w:sz w:val="22"/>
          <w:szCs w:val="22"/>
          <w:lang w:eastAsia="zh-CN"/>
        </w:rPr>
      </w:pPr>
      <w:r>
        <w:rPr>
          <w:rFonts w:asciiTheme="minorHAnsi" w:eastAsia="Calibri" w:hAnsiTheme="minorHAnsi" w:cs="Calibri"/>
          <w:color w:val="000000"/>
          <w:sz w:val="22"/>
          <w:szCs w:val="22"/>
          <w:lang w:eastAsia="zh-CN"/>
        </w:rPr>
        <w:t xml:space="preserve">The </w:t>
      </w:r>
      <w:r w:rsidR="00436CD0" w:rsidRPr="00C44D8C">
        <w:rPr>
          <w:rFonts w:asciiTheme="minorHAnsi" w:eastAsia="Calibri" w:hAnsiTheme="minorHAnsi" w:cs="Calibri"/>
          <w:color w:val="000000"/>
          <w:sz w:val="22"/>
          <w:szCs w:val="22"/>
          <w:lang w:eastAsia="zh-CN"/>
        </w:rPr>
        <w:t xml:space="preserve">findings from this study will not only provide a framework in which to better describe and understand the initial adhesion and biofilm formation of </w:t>
      </w:r>
      <w:r w:rsidR="00436CD0" w:rsidRPr="00C44D8C">
        <w:rPr>
          <w:rFonts w:asciiTheme="minorHAnsi" w:eastAsia="Calibri" w:hAnsiTheme="minorHAnsi" w:cs="Calibri"/>
          <w:i/>
          <w:color w:val="000000"/>
          <w:sz w:val="22"/>
          <w:szCs w:val="22"/>
          <w:lang w:eastAsia="zh-CN"/>
        </w:rPr>
        <w:t>M. barkeri</w:t>
      </w:r>
      <w:r w:rsidR="00436CD0" w:rsidRPr="00C44D8C">
        <w:rPr>
          <w:rFonts w:asciiTheme="minorHAnsi" w:eastAsia="Calibri" w:hAnsiTheme="minorHAnsi" w:cs="Calibri"/>
          <w:color w:val="000000"/>
          <w:sz w:val="22"/>
          <w:szCs w:val="22"/>
          <w:lang w:eastAsia="zh-CN"/>
        </w:rPr>
        <w:t xml:space="preserve">, but </w:t>
      </w:r>
      <w:r>
        <w:rPr>
          <w:rFonts w:asciiTheme="minorHAnsi" w:eastAsia="Calibri" w:hAnsiTheme="minorHAnsi" w:cs="Calibri"/>
          <w:color w:val="000000"/>
          <w:sz w:val="22"/>
          <w:szCs w:val="22"/>
          <w:lang w:eastAsia="zh-CN"/>
        </w:rPr>
        <w:t>could</w:t>
      </w:r>
      <w:r w:rsidR="00436CD0" w:rsidRPr="00C44D8C">
        <w:rPr>
          <w:rFonts w:asciiTheme="minorHAnsi" w:eastAsia="Calibri" w:hAnsiTheme="minorHAnsi" w:cs="Calibri"/>
          <w:color w:val="000000"/>
          <w:sz w:val="22"/>
          <w:szCs w:val="22"/>
          <w:lang w:eastAsia="zh-CN"/>
        </w:rPr>
        <w:t xml:space="preserve"> also aid in the selection of support materials for the targeted immobilization of key </w:t>
      </w:r>
      <w:r w:rsidR="00436CD0" w:rsidRPr="00C44D8C">
        <w:rPr>
          <w:rFonts w:asciiTheme="minorHAnsi" w:eastAsia="Calibri" w:hAnsiTheme="minorHAnsi" w:cs="Calibri"/>
          <w:i/>
          <w:color w:val="000000"/>
          <w:sz w:val="22"/>
          <w:szCs w:val="22"/>
          <w:lang w:eastAsia="zh-CN"/>
        </w:rPr>
        <w:t xml:space="preserve">Methanosarcina </w:t>
      </w:r>
      <w:r w:rsidR="00436CD0" w:rsidRPr="00C44D8C">
        <w:rPr>
          <w:rFonts w:asciiTheme="minorHAnsi" w:eastAsia="Calibri" w:hAnsiTheme="minorHAnsi" w:cs="Calibri"/>
          <w:color w:val="000000"/>
          <w:sz w:val="22"/>
          <w:szCs w:val="22"/>
          <w:lang w:eastAsia="zh-CN"/>
        </w:rPr>
        <w:t xml:space="preserve">species to enhance the start-up of AD reactors. </w:t>
      </w:r>
    </w:p>
    <w:p w14:paraId="26F2AEA9" w14:textId="77777777" w:rsidR="00436CD0" w:rsidRPr="00C44D8C" w:rsidRDefault="00436CD0" w:rsidP="00436CD0">
      <w:pPr>
        <w:spacing w:line="360" w:lineRule="auto"/>
        <w:ind w:firstLine="720"/>
        <w:rPr>
          <w:rFonts w:asciiTheme="minorHAnsi" w:eastAsia="Cambria" w:hAnsiTheme="minorHAnsi" w:cs="Cambria"/>
          <w:color w:val="000000"/>
          <w:sz w:val="22"/>
          <w:szCs w:val="22"/>
          <w:lang w:eastAsia="zh-CN"/>
        </w:rPr>
      </w:pPr>
    </w:p>
    <w:p w14:paraId="47235599" w14:textId="77777777" w:rsidR="00436CD0" w:rsidRPr="00C44D8C" w:rsidRDefault="00436CD0" w:rsidP="00436CD0">
      <w:pPr>
        <w:spacing w:line="360" w:lineRule="auto"/>
        <w:rPr>
          <w:rFonts w:asciiTheme="minorHAnsi" w:eastAsia="Cambria" w:hAnsiTheme="minorHAnsi" w:cs="Cambria"/>
          <w:color w:val="000000"/>
          <w:sz w:val="22"/>
          <w:szCs w:val="22"/>
          <w:lang w:eastAsia="zh-CN"/>
        </w:rPr>
      </w:pPr>
    </w:p>
    <w:p w14:paraId="49B1B19F" w14:textId="064FA0DC" w:rsidR="005B4620" w:rsidRDefault="005B4620" w:rsidP="00436CD0">
      <w:pPr>
        <w:spacing w:line="360" w:lineRule="auto"/>
        <w:outlineLvl w:val="0"/>
        <w:rPr>
          <w:rFonts w:asciiTheme="minorHAnsi" w:eastAsia="Cambria" w:hAnsiTheme="minorHAnsi" w:cs="Cambria"/>
          <w:color w:val="000000"/>
          <w:sz w:val="22"/>
          <w:szCs w:val="22"/>
          <w:lang w:eastAsia="zh-CN"/>
        </w:rPr>
      </w:pPr>
      <w:bookmarkStart w:id="105" w:name="h.30j0zll" w:colFirst="0" w:colLast="0"/>
      <w:bookmarkEnd w:id="105"/>
    </w:p>
    <w:p w14:paraId="39F67315" w14:textId="77777777" w:rsidR="005B4620" w:rsidRPr="00C44D8C" w:rsidRDefault="005B4620" w:rsidP="00436CD0">
      <w:pPr>
        <w:spacing w:line="360" w:lineRule="auto"/>
        <w:outlineLvl w:val="0"/>
        <w:rPr>
          <w:rFonts w:asciiTheme="minorHAnsi" w:eastAsia="Calibri" w:hAnsiTheme="minorHAnsi" w:cs="Calibri"/>
          <w:b/>
          <w:color w:val="0000FF"/>
          <w:sz w:val="22"/>
          <w:szCs w:val="22"/>
          <w:lang w:eastAsia="en-GB"/>
        </w:rPr>
      </w:pPr>
    </w:p>
    <w:p w14:paraId="78E9C35A" w14:textId="77777777" w:rsidR="0058312F" w:rsidRDefault="0058312F" w:rsidP="00436CD0">
      <w:pPr>
        <w:spacing w:line="360" w:lineRule="auto"/>
        <w:outlineLvl w:val="0"/>
        <w:rPr>
          <w:rFonts w:asciiTheme="minorHAnsi" w:eastAsia="Calibri" w:hAnsiTheme="minorHAnsi" w:cs="Calibri"/>
          <w:b/>
          <w:color w:val="0000FF"/>
          <w:sz w:val="22"/>
          <w:szCs w:val="22"/>
          <w:lang w:eastAsia="en-GB"/>
        </w:rPr>
        <w:sectPr w:rsidR="0058312F" w:rsidSect="00DF337D">
          <w:pgSz w:w="11906" w:h="16838"/>
          <w:pgMar w:top="1418" w:right="1418" w:bottom="1418" w:left="2268" w:header="708" w:footer="708" w:gutter="0"/>
          <w:cols w:space="708"/>
          <w:docGrid w:linePitch="360"/>
        </w:sectPr>
      </w:pPr>
    </w:p>
    <w:p w14:paraId="37F01C2A" w14:textId="2D3A8D7C" w:rsidR="005B4620" w:rsidRPr="005B4620" w:rsidRDefault="005B4620" w:rsidP="005B4620">
      <w:pPr>
        <w:pStyle w:val="Heading2"/>
        <w:jc w:val="right"/>
      </w:pPr>
      <w:bookmarkStart w:id="106" w:name="_Toc462575319"/>
      <w:r w:rsidRPr="005B4620">
        <w:lastRenderedPageBreak/>
        <w:t>Chapter 4</w:t>
      </w:r>
      <w:bookmarkEnd w:id="106"/>
    </w:p>
    <w:p w14:paraId="2C8CEAF9" w14:textId="1CBE1240" w:rsidR="00436CD0" w:rsidRPr="005B4620" w:rsidRDefault="005B4620" w:rsidP="00436CD0">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b/>
          <w:color w:val="000000"/>
          <w:sz w:val="22"/>
          <w:szCs w:val="22"/>
          <w:lang w:eastAsia="zh-CN"/>
        </w:rPr>
        <w:t>____________________________________________________________________</w:t>
      </w:r>
      <w:r>
        <w:rPr>
          <w:rFonts w:asciiTheme="minorHAnsi" w:eastAsia="Calibri" w:hAnsiTheme="minorHAnsi" w:cs="Calibri"/>
          <w:b/>
          <w:color w:val="000000"/>
          <w:sz w:val="22"/>
          <w:szCs w:val="22"/>
          <w:lang w:eastAsia="zh-CN"/>
        </w:rPr>
        <w:t>_______</w:t>
      </w:r>
    </w:p>
    <w:p w14:paraId="351F301E" w14:textId="11A59684" w:rsidR="00436CD0" w:rsidRPr="00C44D8C" w:rsidRDefault="00436CD0" w:rsidP="005B4620">
      <w:pPr>
        <w:pStyle w:val="Heading5"/>
        <w:rPr>
          <w:rFonts w:eastAsia="Arial" w:cs="Arial"/>
          <w:lang w:eastAsia="zh-CN"/>
        </w:rPr>
      </w:pPr>
      <w:bookmarkStart w:id="107" w:name="_Toc462574742"/>
      <w:bookmarkStart w:id="108" w:name="_Toc462575320"/>
      <w:r w:rsidRPr="00C44D8C">
        <w:rPr>
          <w:rFonts w:eastAsia="Calibri"/>
          <w:lang w:eastAsia="zh-CN"/>
        </w:rPr>
        <w:t xml:space="preserve">Influence of the support material on the </w:t>
      </w:r>
      <w:r w:rsidR="005B4620">
        <w:rPr>
          <w:rFonts w:eastAsia="Calibri"/>
          <w:lang w:eastAsia="zh-CN"/>
        </w:rPr>
        <w:t xml:space="preserve">cell </w:t>
      </w:r>
      <w:r w:rsidRPr="00C44D8C">
        <w:rPr>
          <w:rFonts w:eastAsia="Calibri"/>
          <w:lang w:eastAsia="zh-CN"/>
        </w:rPr>
        <w:t xml:space="preserve">surface properties of </w:t>
      </w:r>
      <w:r w:rsidRPr="00C44D8C">
        <w:rPr>
          <w:rFonts w:eastAsia="Calibri"/>
          <w:i/>
          <w:lang w:eastAsia="zh-CN"/>
        </w:rPr>
        <w:t>Methanosarcina barkeri</w:t>
      </w:r>
      <w:bookmarkEnd w:id="107"/>
      <w:bookmarkEnd w:id="108"/>
      <w:r w:rsidRPr="00C44D8C">
        <w:rPr>
          <w:rFonts w:eastAsia="Calibri"/>
          <w:lang w:eastAsia="zh-CN"/>
        </w:rPr>
        <w:t xml:space="preserve"> </w:t>
      </w:r>
    </w:p>
    <w:p w14:paraId="0885CAB0" w14:textId="77777777" w:rsidR="00436CD0" w:rsidRPr="00C44D8C" w:rsidRDefault="00436CD0" w:rsidP="00436CD0">
      <w:pPr>
        <w:spacing w:line="360" w:lineRule="auto"/>
        <w:rPr>
          <w:rFonts w:asciiTheme="minorHAnsi" w:eastAsia="Arial" w:hAnsiTheme="minorHAnsi" w:cs="Arial"/>
          <w:color w:val="000000"/>
          <w:sz w:val="22"/>
          <w:szCs w:val="22"/>
          <w:lang w:eastAsia="zh-CN"/>
        </w:rPr>
      </w:pPr>
    </w:p>
    <w:p w14:paraId="0FBD88F9" w14:textId="65FE3498" w:rsidR="00436CD0" w:rsidRPr="00C44D8C" w:rsidRDefault="00114AA3" w:rsidP="005B4620">
      <w:pPr>
        <w:pStyle w:val="Heading1"/>
        <w:rPr>
          <w:lang w:eastAsia="zh-CN"/>
        </w:rPr>
      </w:pPr>
      <w:bookmarkStart w:id="109" w:name="_Toc462575321"/>
      <w:r w:rsidRPr="00C44D8C">
        <w:rPr>
          <w:lang w:eastAsia="zh-CN"/>
        </w:rPr>
        <w:t xml:space="preserve">4.1. </w:t>
      </w:r>
      <w:r w:rsidR="00436CD0" w:rsidRPr="00C44D8C">
        <w:rPr>
          <w:lang w:eastAsia="zh-CN"/>
        </w:rPr>
        <w:t>Introduction</w:t>
      </w:r>
      <w:bookmarkEnd w:id="109"/>
    </w:p>
    <w:p w14:paraId="13A822D7" w14:textId="362A5614" w:rsidR="00D2574D" w:rsidRDefault="00436CD0" w:rsidP="00D2574D">
      <w:pPr>
        <w:spacing w:line="360" w:lineRule="auto"/>
        <w:rPr>
          <w:rFonts w:asciiTheme="minorHAnsi" w:eastAsia="Calibri" w:hAnsiTheme="minorHAnsi" w:cs="Calibri"/>
          <w:sz w:val="22"/>
          <w:szCs w:val="22"/>
          <w:lang w:eastAsia="zh-CN"/>
        </w:rPr>
      </w:pPr>
      <w:r w:rsidRPr="00C44D8C">
        <w:rPr>
          <w:rFonts w:asciiTheme="minorHAnsi" w:eastAsia="Calibri" w:hAnsiTheme="minorHAnsi" w:cs="Calibri"/>
          <w:sz w:val="22"/>
          <w:szCs w:val="22"/>
          <w:lang w:eastAsia="zh-CN"/>
        </w:rPr>
        <w:t xml:space="preserve">The </w:t>
      </w:r>
      <w:r w:rsidR="00E1227D">
        <w:rPr>
          <w:rFonts w:asciiTheme="minorHAnsi" w:eastAsia="Calibri" w:hAnsiTheme="minorHAnsi" w:cs="Calibri"/>
          <w:sz w:val="22"/>
          <w:szCs w:val="22"/>
          <w:lang w:eastAsia="zh-CN"/>
        </w:rPr>
        <w:t>last chapter revealed that the physicochemical surface properties of the support material</w:t>
      </w:r>
      <w:r w:rsidR="00531DF5">
        <w:rPr>
          <w:rFonts w:asciiTheme="minorHAnsi" w:eastAsia="Calibri" w:hAnsiTheme="minorHAnsi" w:cs="Calibri"/>
          <w:sz w:val="22"/>
          <w:szCs w:val="22"/>
          <w:lang w:eastAsia="zh-CN"/>
        </w:rPr>
        <w:t>s</w:t>
      </w:r>
      <w:r w:rsidR="00E1227D">
        <w:rPr>
          <w:rFonts w:asciiTheme="minorHAnsi" w:eastAsia="Calibri" w:hAnsiTheme="minorHAnsi" w:cs="Calibri"/>
          <w:sz w:val="22"/>
          <w:szCs w:val="22"/>
          <w:lang w:eastAsia="zh-CN"/>
        </w:rPr>
        <w:t xml:space="preserve"> elicited different initial adhesion behaviour from </w:t>
      </w:r>
      <w:r w:rsidR="00E1227D">
        <w:rPr>
          <w:rFonts w:asciiTheme="minorHAnsi" w:eastAsia="Calibri" w:hAnsiTheme="minorHAnsi" w:cs="Calibri"/>
          <w:i/>
          <w:sz w:val="22"/>
          <w:szCs w:val="22"/>
          <w:lang w:eastAsia="zh-CN"/>
        </w:rPr>
        <w:t>M. barkeri</w:t>
      </w:r>
      <w:r w:rsidR="00D2574D">
        <w:rPr>
          <w:rFonts w:asciiTheme="minorHAnsi" w:eastAsia="Calibri" w:hAnsiTheme="minorHAnsi" w:cs="Calibri"/>
          <w:sz w:val="22"/>
          <w:szCs w:val="22"/>
          <w:lang w:eastAsia="zh-CN"/>
        </w:rPr>
        <w:t>. Previous studies have also shown t</w:t>
      </w:r>
      <w:r w:rsidR="00D2574D" w:rsidRPr="00C44D8C">
        <w:rPr>
          <w:rFonts w:asciiTheme="minorHAnsi" w:eastAsia="Calibri" w:hAnsiTheme="minorHAnsi" w:cs="Calibri"/>
          <w:sz w:val="22"/>
          <w:szCs w:val="22"/>
          <w:lang w:eastAsia="zh-CN"/>
        </w:rPr>
        <w:t xml:space="preserve">he nature of the abiotic surface </w:t>
      </w:r>
      <w:r w:rsidR="00D2574D">
        <w:rPr>
          <w:rFonts w:asciiTheme="minorHAnsi" w:eastAsia="Calibri" w:hAnsiTheme="minorHAnsi" w:cs="Calibri"/>
          <w:sz w:val="22"/>
          <w:szCs w:val="22"/>
          <w:lang w:eastAsia="zh-CN"/>
        </w:rPr>
        <w:t>to cause</w:t>
      </w:r>
      <w:r w:rsidR="00D2574D" w:rsidRPr="00C44D8C">
        <w:rPr>
          <w:rFonts w:asciiTheme="minorHAnsi" w:eastAsia="Calibri" w:hAnsiTheme="minorHAnsi" w:cs="Calibri"/>
          <w:sz w:val="22"/>
          <w:szCs w:val="22"/>
          <w:lang w:eastAsia="zh-CN"/>
        </w:rPr>
        <w:t xml:space="preserve"> different patterns of adhesion from methanogens</w:t>
      </w:r>
      <w:r w:rsidR="00D2574D">
        <w:rPr>
          <w:rFonts w:asciiTheme="minorHAnsi" w:eastAsia="Calibri" w:hAnsiTheme="minorHAnsi" w:cs="Calibri"/>
          <w:sz w:val="22"/>
          <w:szCs w:val="22"/>
          <w:lang w:eastAsia="zh-CN"/>
        </w:rPr>
        <w:t>, as well as influencing</w:t>
      </w:r>
      <w:r w:rsidR="00D2574D" w:rsidRPr="00C44D8C">
        <w:rPr>
          <w:rFonts w:asciiTheme="minorHAnsi" w:eastAsia="Calibri" w:hAnsiTheme="minorHAnsi" w:cs="Calibri"/>
          <w:sz w:val="22"/>
          <w:szCs w:val="22"/>
          <w:lang w:eastAsia="zh-CN"/>
        </w:rPr>
        <w:t xml:space="preserve"> the composition of </w:t>
      </w:r>
      <w:r w:rsidR="00D2574D">
        <w:rPr>
          <w:rFonts w:asciiTheme="minorHAnsi" w:eastAsia="Calibri" w:hAnsiTheme="minorHAnsi" w:cs="Calibri"/>
          <w:sz w:val="22"/>
          <w:szCs w:val="22"/>
          <w:lang w:eastAsia="zh-CN"/>
        </w:rPr>
        <w:t xml:space="preserve">adherent microorganisms in </w:t>
      </w:r>
      <w:r w:rsidR="00D2574D" w:rsidRPr="00C44D8C">
        <w:rPr>
          <w:rFonts w:asciiTheme="minorHAnsi" w:eastAsia="Calibri" w:hAnsiTheme="minorHAnsi" w:cs="Calibri"/>
          <w:sz w:val="22"/>
          <w:szCs w:val="22"/>
          <w:lang w:eastAsia="zh-CN"/>
        </w:rPr>
        <w:t xml:space="preserve">mixed biofilms </w:t>
      </w:r>
      <w:r w:rsidR="00D2574D">
        <w:rPr>
          <w:rFonts w:asciiTheme="minorHAnsi" w:eastAsia="Calibri" w:hAnsiTheme="minorHAnsi" w:cs="Calibri"/>
          <w:sz w:val="22"/>
          <w:szCs w:val="22"/>
          <w:lang w:eastAsia="zh-CN"/>
        </w:rPr>
        <w:t xml:space="preserve">from environmental samples </w:t>
      </w:r>
      <w:r w:rsidR="00D2574D">
        <w:rPr>
          <w:rFonts w:asciiTheme="minorHAnsi" w:eastAsia="Calibri" w:hAnsiTheme="minorHAnsi" w:cs="Calibri"/>
          <w:sz w:val="22"/>
          <w:szCs w:val="22"/>
          <w:lang w:eastAsia="zh-CN"/>
        </w:rPr>
        <w:fldChar w:fldCharType="begin" w:fldLock="1"/>
      </w:r>
      <w:r w:rsidR="00AB0CFE">
        <w:rPr>
          <w:rFonts w:asciiTheme="minorHAnsi" w:eastAsia="Calibri" w:hAnsiTheme="minorHAnsi" w:cs="Calibri"/>
          <w:sz w:val="22"/>
          <w:szCs w:val="22"/>
          <w:lang w:eastAsia="zh-CN"/>
        </w:rPr>
        <w:instrText>ADDIN CSL_CITATION { "citationItems" : [ { "id" : "ITEM-1", "itemData" : { "DOI" : "10.1016/j.biortech.2010.12.023", "ISSN" : "1873-2976", "PMID" : "21211965", "abstract" : "In anaerobic wastewater treatment systems, the complex microbial biomass including Archaea and Bacteria can be retained as a biofilm attached to solid supports. The aim of this study was to evaluate the impact of specific properties of support material on early microbial adhesion. Seven different substrata are described in terms of topography and surface energy. Adhesion of a methanogenic consortium to these substrata was tested, the adhesion was quantified as a percentage of the surface area covered and the bacterial and archaeal community structures was assessed by molecular fingerprinting profiles (CE-SSCP). As expected, the overall adhesion on the supports was influenced mainly by total surface energy. Moreover, the adhered communities were different from the parent inocula, including the Archaea/Bacteria ratio. This could have a significant impact on the start-up of anaerobic digesters for which supports favoring Archaea adhesion, responsible for the limiting reaction of the process, should be preferred.", "author" : [ { "dropping-particle" : "", "family" : "Habouzit", "given" : "Fr\u00e9d\u00e9ric", "non-dropping-particle" : "", "parse-names" : false, "suffix" : "" }, { "dropping-particle" : "", "family" : "G\u00e9vaudan", "given" : "Ga\u00eblle", "non-dropping-particle" : "", "parse-names" : false, "suffix" : "" }, { "dropping-particle" : "", "family" : "Hamelin", "given" : "J\u00e9r\u00f4me", "non-dropping-particle" : "", "parse-names" : false, "suffix" : "" }, { "dropping-particle" : "", "family" : "Steyer", "given" : "Jean-Philippe", "non-dropping-particle" : "", "parse-names" : false, "suffix" : "" }, { "dropping-particle" : "", "family" : "Bernet", "given" : "Nicolas", "non-dropping-particle" : "", "parse-names" : false, "suffix" : "" } ], "container-title" : "Bioresource technology", "id" : "ITEM-1", "issue" : "5", "issued" : { "date-parts" : [ [ "2011", "3" ] ] }, "page" : "4054-60", "title" : "Influence of support material properties on the potential selection of Archaea during initial adhesion of a methanogenic consortium.", "type" : "article-journal", "volume" : "102" }, "uris" : [ "http://www.mendeley.com/documents/?uuid=4bf566e3-042c-46b5-9d07-ed10ce554bbb" ] }, { "id" : "ITEM-2", "itemData" : { "author" : [ { "dropping-particle" : "", "family" : "Verrier", "given" : "D.", "non-dropping-particle" : "", "parse-names" : false, "suffix" : "" }, { "dropping-particle" : "", "family" : "MORTIER", "given" : "B.", "non-dropping-particle" : "", "parse-names" : false, "suffix" : "" }, { "dropping-particle" : "", "family" : "Albagnac", "given" : "G.", "non-dropping-particle" : "", "parse-names" : false, "suffix" : "" } ], "container-title" : "Biotechnology Letters", "id" : "ITEM-2", "issue" : "10", "issued" : { "date-parts" : [ [ "1987" ] ] }, "page" : "735-740", "title" : "INITIAL ADHESION OF METHANOGENIC BACTERIA TO POLYMERS", "type" : "article-journal", "volume" : "9" }, "uris" : [ "http://www.mendeley.com/documents/?uuid=0930b16e-69fc-4a28-8a97-9211d32a600c" ] }, { "id" : "ITEM-3", "itemData" : { "author" : [ { "dropping-particle" : "", "family" : "Gracia", "given" : "E", "non-dropping-particle" : "", "parse-names" : false, "suffix" : "" }, { "dropping-particle" : "", "family" : "Fernandez", "given" : "A", "non-dropping-particle" : "", "parse-names" : false, "suffix" : "" }, { "dropping-particle" : "", "family" : "Conchello", "given" : "P", "non-dropping-particle" : "", "parse-names" : false, "suffix" : "" }, { "dropping-particle" : "", "family" : "Alabart", "given" : "J L", "non-dropping-particle" : "", "parse-names" : false, "suffix" : "" }, { "dropping-particle" : "", "family" : "Perez", "given" : "M", "non-dropping-particle" : "", "parse-names" : false, "suffix" : "" }, { "dropping-particle" : "", "family" : "Amorena", "given" : "B", "non-dropping-particle" : "", "parse-names" : false, "suffix" : "" } ], "container-title" : "Luminescence", "id" : "ITEM-3", "issue" : "8", "issued" : { "date-parts" : [ [ "1999" ] ] }, "page" : "23-31", "title" : "In vitro development of Staphylococcus aureus biofilms using slime-producing variants and ATP- bioluminescence for automated bacterial quantification", "type" : "article-journal", "volume" : "14" }, "uris" : [ "http://www.mendeley.com/documents/?uuid=e0757464-7b3f-40f1-a16a-737a34637f28" ] }, { "id" : "ITEM-4", "itemData" : { "DOI" : "10.1016/j.energy.2011.03.068", "ISSN" : "03605442", "author" : [ { "dropping-particle" : "", "family" : "Gong", "given" : "Wei-jia", "non-dropping-particle" : "", "parse-names" : false, "suffix" : "" }, { "dropping-particle" : "", "family" : "Liang", "given" : "Heng", "non-dropping-particle" : "", "parse-names" : false, "suffix" : "" }, { "dropping-particle" : "", "family" : "Li", "given" : "Wen-zhe", "non-dropping-particle" : "", "parse-names" : false, "suffix" : "" }, { "dropping-particle" : "", "family" : "Wang", "given" : "Zhen-zhen", "non-dropping-particle" : "", "parse-names" : false, "suffix" : "" } ], "container-title" : "Energy", "id" : "ITEM-4", "issue" : "5", "issued" : { "date-parts" : [ [ "2011", "5" ] ] }, "page" : "3572-3578", "publisher" : "Elsevier Ltd", "title" : "Selection and evaluation of biofilm carrier in anaerobic digestion treatment of cattle manure", "type" : "article-journal", "volume" : "36" }, "uris" : [ "http://www.mendeley.com/documents/?uuid=b9fcefda-449d-47c6-b11b-37a0d0560b03" ] } ], "mendeley" : { "formattedCitation" : "[42,94,96,126]", "plainTextFormattedCitation" : "[42,94,96,126]", "previouslyFormattedCitation" : "[42,94,96,126]" }, "properties" : { "noteIndex" : 0 }, "schema" : "https://github.com/citation-style-language/schema/raw/master/csl-citation.json" }</w:instrText>
      </w:r>
      <w:r w:rsidR="00D2574D">
        <w:rPr>
          <w:rFonts w:asciiTheme="minorHAnsi" w:eastAsia="Calibri" w:hAnsiTheme="minorHAnsi" w:cs="Calibri"/>
          <w:sz w:val="22"/>
          <w:szCs w:val="22"/>
          <w:lang w:eastAsia="zh-CN"/>
        </w:rPr>
        <w:fldChar w:fldCharType="separate"/>
      </w:r>
      <w:r w:rsidR="00BB3D6F" w:rsidRPr="00BB3D6F">
        <w:rPr>
          <w:rFonts w:asciiTheme="minorHAnsi" w:eastAsia="Calibri" w:hAnsiTheme="minorHAnsi" w:cs="Calibri"/>
          <w:noProof/>
          <w:sz w:val="22"/>
          <w:szCs w:val="22"/>
          <w:lang w:eastAsia="zh-CN"/>
        </w:rPr>
        <w:t>[42,94,96,126]</w:t>
      </w:r>
      <w:r w:rsidR="00D2574D">
        <w:rPr>
          <w:rFonts w:asciiTheme="minorHAnsi" w:eastAsia="Calibri" w:hAnsiTheme="minorHAnsi" w:cs="Calibri"/>
          <w:sz w:val="22"/>
          <w:szCs w:val="22"/>
          <w:lang w:eastAsia="zh-CN"/>
        </w:rPr>
        <w:fldChar w:fldCharType="end"/>
      </w:r>
      <w:r w:rsidR="00D2574D" w:rsidRPr="00C44D8C">
        <w:rPr>
          <w:rFonts w:asciiTheme="minorHAnsi" w:eastAsia="Calibri" w:hAnsiTheme="minorHAnsi" w:cs="Calibri"/>
          <w:sz w:val="22"/>
          <w:szCs w:val="22"/>
          <w:lang w:eastAsia="zh-CN"/>
        </w:rPr>
        <w:t xml:space="preserve">. </w:t>
      </w:r>
      <w:r w:rsidR="00CD21F3">
        <w:rPr>
          <w:rFonts w:asciiTheme="minorHAnsi" w:eastAsia="Calibri" w:hAnsiTheme="minorHAnsi" w:cs="Calibri"/>
          <w:sz w:val="22"/>
          <w:szCs w:val="22"/>
          <w:lang w:eastAsia="zh-CN"/>
        </w:rPr>
        <w:t>This suggests that</w:t>
      </w:r>
      <w:r w:rsidR="00D2574D" w:rsidRPr="00C44D8C">
        <w:rPr>
          <w:rFonts w:asciiTheme="minorHAnsi" w:eastAsia="Calibri" w:hAnsiTheme="minorHAnsi" w:cs="Calibri"/>
          <w:sz w:val="22"/>
          <w:szCs w:val="22"/>
          <w:lang w:eastAsia="zh-CN"/>
        </w:rPr>
        <w:t xml:space="preserve"> the abiotic </w:t>
      </w:r>
      <w:r w:rsidR="00D2574D">
        <w:rPr>
          <w:rFonts w:asciiTheme="minorHAnsi" w:eastAsia="Calibri" w:hAnsiTheme="minorHAnsi" w:cs="Calibri"/>
          <w:sz w:val="22"/>
          <w:szCs w:val="22"/>
          <w:lang w:eastAsia="zh-CN"/>
        </w:rPr>
        <w:t>s</w:t>
      </w:r>
      <w:r w:rsidR="00D2574D" w:rsidRPr="00C44D8C">
        <w:rPr>
          <w:rFonts w:asciiTheme="minorHAnsi" w:eastAsia="Calibri" w:hAnsiTheme="minorHAnsi" w:cs="Calibri"/>
          <w:sz w:val="22"/>
          <w:szCs w:val="22"/>
          <w:lang w:eastAsia="zh-CN"/>
        </w:rPr>
        <w:t xml:space="preserve">urface is an important environmental </w:t>
      </w:r>
      <w:r w:rsidR="00D2574D">
        <w:rPr>
          <w:rFonts w:asciiTheme="minorHAnsi" w:eastAsia="Calibri" w:hAnsiTheme="minorHAnsi" w:cs="Calibri"/>
          <w:sz w:val="22"/>
          <w:szCs w:val="22"/>
          <w:lang w:eastAsia="zh-CN"/>
        </w:rPr>
        <w:t xml:space="preserve">factor </w:t>
      </w:r>
      <w:r w:rsidR="00D2574D" w:rsidRPr="00C44D8C">
        <w:rPr>
          <w:rFonts w:asciiTheme="minorHAnsi" w:eastAsia="Calibri" w:hAnsiTheme="minorHAnsi" w:cs="Calibri"/>
          <w:sz w:val="22"/>
          <w:szCs w:val="22"/>
          <w:lang w:eastAsia="zh-CN"/>
        </w:rPr>
        <w:t xml:space="preserve">in triggering </w:t>
      </w:r>
      <w:r w:rsidR="00CD21F3">
        <w:rPr>
          <w:rFonts w:asciiTheme="minorHAnsi" w:eastAsia="Calibri" w:hAnsiTheme="minorHAnsi" w:cs="Calibri"/>
          <w:sz w:val="22"/>
          <w:szCs w:val="22"/>
          <w:lang w:eastAsia="zh-CN"/>
        </w:rPr>
        <w:t xml:space="preserve">different microbial responses to facilitate </w:t>
      </w:r>
      <w:r w:rsidR="00DB0D18">
        <w:rPr>
          <w:rFonts w:asciiTheme="minorHAnsi" w:eastAsia="Calibri" w:hAnsiTheme="minorHAnsi" w:cs="Calibri"/>
          <w:sz w:val="22"/>
          <w:szCs w:val="22"/>
          <w:lang w:eastAsia="zh-CN"/>
        </w:rPr>
        <w:t>biofilm formation on abiotic</w:t>
      </w:r>
      <w:r w:rsidR="00D2574D" w:rsidRPr="00C44D8C">
        <w:rPr>
          <w:rFonts w:asciiTheme="minorHAnsi" w:eastAsia="Calibri" w:hAnsiTheme="minorHAnsi" w:cs="Calibri"/>
          <w:sz w:val="22"/>
          <w:szCs w:val="22"/>
          <w:lang w:eastAsia="zh-CN"/>
        </w:rPr>
        <w:t xml:space="preserve"> surface</w:t>
      </w:r>
      <w:r w:rsidR="00DB0D18">
        <w:rPr>
          <w:rFonts w:asciiTheme="minorHAnsi" w:eastAsia="Calibri" w:hAnsiTheme="minorHAnsi" w:cs="Calibri"/>
          <w:sz w:val="22"/>
          <w:szCs w:val="22"/>
          <w:lang w:eastAsia="zh-CN"/>
        </w:rPr>
        <w:t>s</w:t>
      </w:r>
      <w:r w:rsidR="00D2574D">
        <w:rPr>
          <w:rFonts w:asciiTheme="minorHAnsi" w:eastAsia="Calibri" w:hAnsiTheme="minorHAnsi" w:cs="Calibri"/>
          <w:sz w:val="22"/>
          <w:szCs w:val="22"/>
          <w:lang w:eastAsia="zh-CN"/>
        </w:rPr>
        <w:t xml:space="preserve"> </w:t>
      </w:r>
      <w:r w:rsidR="00D2574D">
        <w:rPr>
          <w:rFonts w:asciiTheme="minorHAnsi" w:eastAsia="Calibri" w:hAnsiTheme="minorHAnsi" w:cs="Calibri"/>
          <w:sz w:val="22"/>
          <w:szCs w:val="22"/>
          <w:lang w:eastAsia="zh-CN"/>
        </w:rPr>
        <w:fldChar w:fldCharType="begin" w:fldLock="1"/>
      </w:r>
      <w:r w:rsidR="00AB0CFE">
        <w:rPr>
          <w:rFonts w:asciiTheme="minorHAnsi" w:eastAsia="Calibri" w:hAnsiTheme="minorHAnsi" w:cs="Calibri"/>
          <w:sz w:val="22"/>
          <w:szCs w:val="22"/>
          <w:lang w:eastAsia="zh-CN"/>
        </w:rPr>
        <w:instrText>ADDIN CSL_CITATION { "citationItems" : [ { "id" : "ITEM-1", "itemData" : { "DOI" : "10.1073/pnas.042521699", "ISBN" : "0027-8424 (Print)\\n0027-8424 (Linking)", "ISSN" : "00278424", "PMID" : "11830644", "abstract" : "Bacterial adhesion is an important initial step in biofilm formation, which may cause problems in medical, environmental, and industrial settings. In spite of obvious phenotypic differences between attached and planktonic cells, knowledge about the genetic basis for these differences and how adhesion-induced changes are mediated is limited. The Cpx two-component signal transduction pathway responds specifically to stress caused by disturbances in the cell envelope and activates genes encoding periplasmic protein folding and degrading factors. Here, we address the role of the Cpx-signaling pathway in sensing and responding to the physical change occurring during adhesion of Escherichia coli to surfaces. We present evidence that the expression of Cpx-regulated genes is induced during initial adhesion of E. coli to abiotic surfaces. This induction is specifically observed upon attachment of stationary-phase cells to hydrophobic surfaces. Moreover, surface-induced activity of the Cpx response requires NlpE, an outer membrane lipoprotein, which has previously been shown to induce the Cpx system when overproduced. The importance of a functional Cpx response during adhesion is further supported by the fact that a dramatically lower number of cells attach to the surface and dynamic cell-surface interactions as measured by a quartz crystal microbalance technique are altered when the CpxRA pathway is disrupted. The defects in adhesion exhibited by the cpxR and nlpE mutants were strikingly similar to those of wild-type cells in which protein synthesis was inhibited, suggesting that the Cpx pathway plays a key role in the regulation of adhesion-induced gene expression.", "author" : [ { "dropping-particle" : "", "family" : "Otto", "given" : "Karen", "non-dropping-particle" : "", "parse-names" : false, "suffix" : "" }, { "dropping-particle" : "", "family" : "Silhavy", "given" : "Thomas J", "non-dropping-particle" : "", "parse-names" : false, "suffix" : "" } ], "container-title" : "Proceedings of the National Academy of Sciences of the United States of America", "id" : "ITEM-1", "issue" : "4", "issued" : { "date-parts" : [ [ "2002" ] ] }, "page" : "2287-2292", "title" : "Surface sensing and adhesion of Escherichia coli controlled by the Cpx-signaling pathway.", "type" : "article-journal", "volume" : "99" }, "uris" : [ "http://www.mendeley.com/documents/?uuid=13ea6281-9e60-4220-ae39-bbd5e55f77e3" ] } ], "mendeley" : { "formattedCitation" : "[91]", "plainTextFormattedCitation" : "[91]", "previouslyFormattedCitation" : "[91]" }, "properties" : { "noteIndex" : 0 }, "schema" : "https://github.com/citation-style-language/schema/raw/master/csl-citation.json" }</w:instrText>
      </w:r>
      <w:r w:rsidR="00D2574D">
        <w:rPr>
          <w:rFonts w:asciiTheme="minorHAnsi" w:eastAsia="Calibri" w:hAnsiTheme="minorHAnsi" w:cs="Calibri"/>
          <w:sz w:val="22"/>
          <w:szCs w:val="22"/>
          <w:lang w:eastAsia="zh-CN"/>
        </w:rPr>
        <w:fldChar w:fldCharType="separate"/>
      </w:r>
      <w:r w:rsidR="00BB3D6F" w:rsidRPr="00BB3D6F">
        <w:rPr>
          <w:rFonts w:asciiTheme="minorHAnsi" w:eastAsia="Calibri" w:hAnsiTheme="minorHAnsi" w:cs="Calibri"/>
          <w:noProof/>
          <w:sz w:val="22"/>
          <w:szCs w:val="22"/>
          <w:lang w:eastAsia="zh-CN"/>
        </w:rPr>
        <w:t>[91]</w:t>
      </w:r>
      <w:r w:rsidR="00D2574D">
        <w:rPr>
          <w:rFonts w:asciiTheme="minorHAnsi" w:eastAsia="Calibri" w:hAnsiTheme="minorHAnsi" w:cs="Calibri"/>
          <w:sz w:val="22"/>
          <w:szCs w:val="22"/>
          <w:lang w:eastAsia="zh-CN"/>
        </w:rPr>
        <w:fldChar w:fldCharType="end"/>
      </w:r>
      <w:r w:rsidR="00D2574D" w:rsidRPr="00C44D8C">
        <w:rPr>
          <w:rFonts w:asciiTheme="minorHAnsi" w:eastAsia="Calibri" w:hAnsiTheme="minorHAnsi" w:cs="Calibri"/>
          <w:sz w:val="22"/>
          <w:szCs w:val="22"/>
          <w:lang w:eastAsia="zh-CN"/>
        </w:rPr>
        <w:t xml:space="preserve">. </w:t>
      </w:r>
    </w:p>
    <w:p w14:paraId="6D82E686" w14:textId="6361785E" w:rsidR="00D2574D" w:rsidRPr="000D08C1" w:rsidRDefault="00D2574D" w:rsidP="00531DF5">
      <w:pPr>
        <w:spacing w:line="360" w:lineRule="auto"/>
        <w:rPr>
          <w:rFonts w:asciiTheme="minorHAnsi" w:eastAsia="Calibri" w:hAnsiTheme="minorHAnsi" w:cs="Calibri"/>
          <w:sz w:val="22"/>
          <w:szCs w:val="22"/>
          <w:highlight w:val="white"/>
          <w:lang w:eastAsia="zh-CN"/>
        </w:rPr>
      </w:pPr>
      <w:r>
        <w:rPr>
          <w:rFonts w:asciiTheme="minorHAnsi" w:eastAsia="Calibri" w:hAnsiTheme="minorHAnsi" w:cs="Calibri"/>
          <w:sz w:val="22"/>
          <w:szCs w:val="22"/>
          <w:lang w:eastAsia="zh-CN"/>
        </w:rPr>
        <w:tab/>
        <w:t xml:space="preserve">The </w:t>
      </w:r>
      <w:r w:rsidRPr="00C44D8C">
        <w:rPr>
          <w:rFonts w:asciiTheme="minorHAnsi" w:eastAsia="Calibri" w:hAnsiTheme="minorHAnsi" w:cs="Calibri"/>
          <w:sz w:val="22"/>
          <w:szCs w:val="22"/>
          <w:lang w:eastAsia="zh-CN"/>
        </w:rPr>
        <w:t xml:space="preserve">abundance of bacterial biofilm studies in the literature has provided valuable insight into some of the influential physiological changes that occur </w:t>
      </w:r>
      <w:r>
        <w:rPr>
          <w:rFonts w:asciiTheme="minorHAnsi" w:eastAsia="Calibri" w:hAnsiTheme="minorHAnsi" w:cs="Calibri"/>
          <w:sz w:val="22"/>
          <w:szCs w:val="22"/>
          <w:lang w:eastAsia="zh-CN"/>
        </w:rPr>
        <w:t xml:space="preserve">in the </w:t>
      </w:r>
      <w:r w:rsidR="00CD21F3">
        <w:rPr>
          <w:rFonts w:asciiTheme="minorHAnsi" w:eastAsia="Calibri" w:hAnsiTheme="minorHAnsi" w:cs="Calibri"/>
          <w:sz w:val="22"/>
          <w:szCs w:val="22"/>
          <w:lang w:eastAsia="zh-CN"/>
        </w:rPr>
        <w:t xml:space="preserve">cellular </w:t>
      </w:r>
      <w:r>
        <w:rPr>
          <w:rFonts w:asciiTheme="minorHAnsi" w:eastAsia="Calibri" w:hAnsiTheme="minorHAnsi" w:cs="Calibri"/>
          <w:sz w:val="22"/>
          <w:szCs w:val="22"/>
          <w:lang w:eastAsia="zh-CN"/>
        </w:rPr>
        <w:t>transition to a biofilm lifestyle</w:t>
      </w:r>
      <w:r w:rsidRPr="00C44D8C">
        <w:rPr>
          <w:rFonts w:asciiTheme="minorHAnsi" w:eastAsia="Calibri" w:hAnsiTheme="minorHAnsi" w:cs="Calibri"/>
          <w:sz w:val="22"/>
          <w:szCs w:val="22"/>
          <w:lang w:eastAsia="zh-CN"/>
        </w:rPr>
        <w:t xml:space="preserve">, such as substantial changes to the cell surface </w:t>
      </w:r>
      <w:r>
        <w:rPr>
          <w:rFonts w:asciiTheme="minorHAnsi" w:eastAsia="Calibri" w:hAnsiTheme="minorHAnsi" w:cs="Calibri"/>
          <w:sz w:val="22"/>
          <w:szCs w:val="22"/>
          <w:lang w:eastAsia="zh-CN"/>
        </w:rPr>
        <w:fldChar w:fldCharType="begin" w:fldLock="1"/>
      </w:r>
      <w:r w:rsidR="007E3308">
        <w:rPr>
          <w:rFonts w:asciiTheme="minorHAnsi" w:eastAsia="Calibri" w:hAnsiTheme="minorHAnsi" w:cs="Calibri"/>
          <w:sz w:val="22"/>
          <w:szCs w:val="22"/>
          <w:lang w:eastAsia="zh-CN"/>
        </w:rPr>
        <w:instrText>ADDIN CSL_CITATION { "citationItems" : [ { "id" : "ITEM-1", "itemData" : { "ISSN" : "1350-0872", "PMID" : "11160795", "author" : [ { "dropping-particle" : "", "family" : "Sutherland", "given" : "I", "non-dropping-particle" : "", "parse-names" : false, "suffix" : "" } ], "container-title" : "Microbiology (Reading, England)", "id" : "ITEM-1", "issue" : "Pt 1", "issued" : { "date-parts" : [ [ "2001", "1" ] ] }, "page" : "3-9", "title" : "Biofilm exopolysaccharides: a strong and sticky framework.", "type" : "article-journal", "volume" : "147" }, "uris" : [ "http://www.mendeley.com/documents/?uuid=f90cdf2e-6f01-4f64-9182-74521c4abfe9" ] }, { "id" : "ITEM-2", "itemData" : { "author" : [ { "dropping-particle" : "", "family" : "Sutherland", "given" : "I W", "non-dropping-particle" : "", "parse-names" : false, "suffix" : "" } ], "container-title" : "Trends in Microbiology", "id" : "ITEM-2", "issue" : "5", "issued" : { "date-parts" : [ [ "2001" ] ] }, "page" : "222-227", "title" : "The biofilm matrix- An immobilized but dynamic microbial environments", "type" : "article-journal", "volume" : "9" }, "uris" : [ "http://www.mendeley.com/documents/?uuid=11185ee6-91fd-4a28-9715-40b487e36d12" ] }, { "id" : "ITEM-3", "itemData" : { "author" : [ { "dropping-particle" : "", "family" : "Mukherjee, J., Karunakaran, E., Biggs", "given" : "C.A.", "non-dropping-particle" : "", "parse-names" : false, "suffix" : "" } ], "container-title" : "Biofouling", "id" : "ITEM-3",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"mendeley" : { "formattedCitation" : "[85,92,190]", "plainTextFormattedCitation" : "[85,92,190]", "previouslyFormattedCitation" : "[85,92,190]" }, "properties" : { "noteIndex" : 0 }, "schema" : "https://github.com/citation-style-language/schema/raw/master/csl-citation.json" }</w:instrText>
      </w:r>
      <w:r>
        <w:rPr>
          <w:rFonts w:asciiTheme="minorHAnsi" w:eastAsia="Calibri" w:hAnsiTheme="minorHAnsi" w:cs="Calibri"/>
          <w:sz w:val="22"/>
          <w:szCs w:val="22"/>
          <w:lang w:eastAsia="zh-CN"/>
        </w:rPr>
        <w:fldChar w:fldCharType="separate"/>
      </w:r>
      <w:r w:rsidR="007E3308" w:rsidRPr="007E3308">
        <w:rPr>
          <w:rFonts w:asciiTheme="minorHAnsi" w:eastAsia="Calibri" w:hAnsiTheme="minorHAnsi" w:cs="Calibri"/>
          <w:noProof/>
          <w:sz w:val="22"/>
          <w:szCs w:val="22"/>
          <w:lang w:eastAsia="zh-CN"/>
        </w:rPr>
        <w:t>[85,92,190]</w:t>
      </w:r>
      <w:r>
        <w:rPr>
          <w:rFonts w:asciiTheme="minorHAnsi" w:eastAsia="Calibri" w:hAnsiTheme="minorHAnsi" w:cs="Calibri"/>
          <w:sz w:val="22"/>
          <w:szCs w:val="22"/>
          <w:lang w:eastAsia="zh-CN"/>
        </w:rPr>
        <w:fldChar w:fldCharType="end"/>
      </w:r>
      <w:r w:rsidRPr="00C44D8C">
        <w:rPr>
          <w:rFonts w:asciiTheme="minorHAnsi" w:eastAsia="Calibri" w:hAnsiTheme="minorHAnsi" w:cs="Calibri"/>
          <w:sz w:val="22"/>
          <w:szCs w:val="22"/>
          <w:lang w:eastAsia="zh-CN"/>
        </w:rPr>
        <w:t xml:space="preserve">. </w:t>
      </w:r>
      <w:r>
        <w:rPr>
          <w:rFonts w:asciiTheme="minorHAnsi" w:eastAsia="Calibri" w:hAnsiTheme="minorHAnsi" w:cs="Calibri"/>
          <w:sz w:val="22"/>
          <w:szCs w:val="22"/>
          <w:lang w:eastAsia="zh-CN"/>
        </w:rPr>
        <w:t xml:space="preserve">It is well known that </w:t>
      </w:r>
      <w:r w:rsidRPr="00C44D8C">
        <w:rPr>
          <w:rFonts w:asciiTheme="minorHAnsi" w:eastAsia="Calibri" w:hAnsiTheme="minorHAnsi" w:cs="Calibri"/>
          <w:sz w:val="22"/>
          <w:szCs w:val="22"/>
          <w:lang w:eastAsia="zh-CN"/>
        </w:rPr>
        <w:t>the</w:t>
      </w:r>
      <w:r w:rsidRPr="00C44D8C">
        <w:rPr>
          <w:rFonts w:asciiTheme="minorHAnsi" w:eastAsia="Calibri" w:hAnsiTheme="minorHAnsi" w:cs="Calibri"/>
          <w:sz w:val="22"/>
          <w:szCs w:val="22"/>
          <w:highlight w:val="white"/>
          <w:lang w:eastAsia="zh-CN"/>
        </w:rPr>
        <w:t xml:space="preserve"> </w:t>
      </w:r>
      <w:r w:rsidR="00CD21F3">
        <w:rPr>
          <w:rFonts w:asciiTheme="minorHAnsi" w:eastAsia="Calibri" w:hAnsiTheme="minorHAnsi" w:cs="Calibri"/>
          <w:sz w:val="22"/>
          <w:szCs w:val="22"/>
          <w:highlight w:val="white"/>
          <w:lang w:eastAsia="zh-CN"/>
        </w:rPr>
        <w:t xml:space="preserve">microbial </w:t>
      </w:r>
      <w:r w:rsidRPr="00C44D8C">
        <w:rPr>
          <w:rFonts w:asciiTheme="minorHAnsi" w:eastAsia="Calibri" w:hAnsiTheme="minorHAnsi" w:cs="Calibri"/>
          <w:sz w:val="22"/>
          <w:szCs w:val="22"/>
          <w:highlight w:val="white"/>
          <w:lang w:eastAsia="zh-CN"/>
        </w:rPr>
        <w:t xml:space="preserve">outer cell surface forges direct contact with the external environment, </w:t>
      </w:r>
      <w:r>
        <w:rPr>
          <w:rFonts w:asciiTheme="minorHAnsi" w:eastAsia="Calibri" w:hAnsiTheme="minorHAnsi" w:cs="Calibri"/>
          <w:sz w:val="22"/>
          <w:szCs w:val="22"/>
          <w:highlight w:val="white"/>
          <w:lang w:eastAsia="zh-CN"/>
        </w:rPr>
        <w:t xml:space="preserve">and that </w:t>
      </w:r>
      <w:r w:rsidRPr="00C44D8C">
        <w:rPr>
          <w:rFonts w:asciiTheme="minorHAnsi" w:eastAsia="Calibri" w:hAnsiTheme="minorHAnsi" w:cs="Calibri"/>
          <w:sz w:val="22"/>
          <w:szCs w:val="22"/>
          <w:highlight w:val="white"/>
          <w:lang w:eastAsia="zh-CN"/>
        </w:rPr>
        <w:t xml:space="preserve">it plays a crucial role in sensing and responding to environmental </w:t>
      </w:r>
      <w:r>
        <w:rPr>
          <w:rFonts w:asciiTheme="minorHAnsi" w:eastAsia="Calibri" w:hAnsiTheme="minorHAnsi" w:cs="Calibri"/>
          <w:sz w:val="22"/>
          <w:szCs w:val="22"/>
          <w:highlight w:val="white"/>
          <w:lang w:eastAsia="zh-CN"/>
        </w:rPr>
        <w:t xml:space="preserve">factors </w:t>
      </w:r>
      <w:r w:rsidRPr="00C44D8C">
        <w:rPr>
          <w:rFonts w:asciiTheme="minorHAnsi" w:eastAsia="Calibri" w:hAnsiTheme="minorHAnsi" w:cs="Calibri"/>
          <w:sz w:val="22"/>
          <w:szCs w:val="22"/>
          <w:highlight w:val="white"/>
          <w:lang w:eastAsia="zh-CN"/>
        </w:rPr>
        <w:t xml:space="preserve">to </w:t>
      </w:r>
      <w:r>
        <w:rPr>
          <w:rFonts w:asciiTheme="minorHAnsi" w:eastAsia="Calibri" w:hAnsiTheme="minorHAnsi" w:cs="Calibri"/>
          <w:sz w:val="22"/>
          <w:szCs w:val="22"/>
          <w:highlight w:val="white"/>
          <w:lang w:eastAsia="zh-CN"/>
        </w:rPr>
        <w:t>mediate irreversible adhesion and mature</w:t>
      </w:r>
      <w:r w:rsidRPr="00C44D8C">
        <w:rPr>
          <w:rFonts w:asciiTheme="minorHAnsi" w:eastAsia="Calibri" w:hAnsiTheme="minorHAnsi" w:cs="Calibri"/>
          <w:sz w:val="22"/>
          <w:szCs w:val="22"/>
          <w:highlight w:val="white"/>
          <w:lang w:eastAsia="zh-CN"/>
        </w:rPr>
        <w:t xml:space="preserve"> biofilm formation</w:t>
      </w:r>
      <w:r>
        <w:rPr>
          <w:rFonts w:asciiTheme="minorHAnsi" w:eastAsia="Calibri" w:hAnsiTheme="minorHAnsi" w:cs="Calibri"/>
          <w:sz w:val="22"/>
          <w:szCs w:val="22"/>
          <w:highlight w:val="white"/>
          <w:lang w:eastAsia="zh-CN"/>
        </w:rPr>
        <w:t xml:space="preserve"> </w:t>
      </w:r>
      <w:r>
        <w:rPr>
          <w:rFonts w:asciiTheme="minorHAnsi" w:eastAsia="Calibri" w:hAnsiTheme="minorHAnsi" w:cs="Calibri"/>
          <w:sz w:val="22"/>
          <w:szCs w:val="22"/>
          <w:highlight w:val="white"/>
          <w:lang w:eastAsia="zh-CN"/>
        </w:rPr>
        <w:fldChar w:fldCharType="begin" w:fldLock="1"/>
      </w:r>
      <w:r w:rsidR="00AB0CFE">
        <w:rPr>
          <w:rFonts w:asciiTheme="minorHAnsi" w:eastAsia="Calibri" w:hAnsiTheme="minorHAnsi" w:cs="Calibri"/>
          <w:sz w:val="22"/>
          <w:szCs w:val="22"/>
          <w:highlight w:val="white"/>
          <w:lang w:eastAsia="zh-CN"/>
        </w:rPr>
        <w:instrText>ADDIN CSL_CITATION { "citationItems" : [ { "id" : "ITEM-1", "itemData" : { "DOI" : "10.1016/j.resmic.2005.01.007", "ISSN" : "09232508", "PMID" : "15862449", "abstract" : "Staphylococcus epidermidis is now well established as a major nosocomial pathogen associated with infections of indwelling medical devices. The major virulence factor of these organisms is their ability to adhere to devices and form biofilms. However, it has not been established that adherence and biofilm formation are closely linked phenotypes for clinical isolates. In this study, the initial adhesion to different materials (acrylic and glass) of 9 clinical isolates of S. epidermidis, along with biofilm-positive and biofilm-negative control strains, was assayed using physico-chemical interactions to analyze the basis for bacterial adherence to the substratum. X-ray photo electron spectroscopy (XPS) analysis of the cell surface elemental composition was also performed in an attempt to find a relationship between chemical composition and adhesion capabilities. Biofilm formation on the two surfaces was evaluated by dry weight measurements. Human erythrocytes were used to evaluate the ability of S. epidermidis strains to cause hemagglutination, an indicator of the production of a poly-N-acetyl glucosamine cell surface polysaccharide also involved in biofilm formation. The clinical isolates exhibited different cell wall physico-chemical properties, resulting in differing abilities to adhere to surfaces. Adhesion to hydrophobic substrata for all strains occurred to a greater extent than that to hydrophilic surfaces. Bacterial cell hydrophobicity seemed to have little or no influence on adhesion. X-ray photoelectron spectroscopy analysis showed a high ratio of oxygen/carbon for all strains, which is a common characteristic of S. epidermidis species. No relevant relationship was found between XPS data and adhesion values. All strains forming biofilms were able to agglutinate erythrocytes. However, no direct relationship was found between the amount of biofilm formed and the initial adhesion extent. These results indicate that high levels of initial adherence do not necessarily lead to thick biofilm formation. These two aspects of the pathogenesis of medical device related-infection may need to be evaluated independently to ascertain the contribution of each to the virulence of S. epidermidis causing device-related infections. \u00a9 2005 Elsevier SAS. All rights reserved.", "author" : [ { "dropping-particle" : "", "family" : "Cerca", "given" : "Nuno", "non-dropping-particle" : "", "parse-names" : false, "suffix" : "" }, { "dropping-particle" : "", "family" : "Pier", "given" : "Gerald B.", "non-dropping-particle" : "", "parse-names" : false, "suffix" : "" }, { "dropping-particle" : "", "family" : "Vilanova", "given" : "Manuel", "non-dropping-particle" : "", "parse-names" : false, "suffix" : "" }, { "dropping-particle" : "", "family" : "Oliveira", "given" : "Ros\u00e1rio", "non-dropping-particle" : "", "parse-names" : false, "suffix" : "" }, { "dropping-particle" : "", "family" : "Azeredo", "given" : "Joana", "non-dropping-particle" : "", "parse-names" : false, "suffix" : "" } ], "container-title" : "Research in Microbiology", "id" : "ITEM-1", "issued" : { "date-parts" : [ [ "2005" ] ] }, "page" : "506-514", "title" : "Quantitative analysis of adhesion and biofilm formation on hydrophilic and hydrophobic surfaces of clinical isolates of Staphylococcus epidermidis", "type" : "article-journal", "volume" : "156" }, "uris" : [ "http://www.mendeley.com/documents/?uuid=2d999e23-a8b3-4077-a134-f6083bfd28ff" ] } ], "mendeley" : { "formattedCitation" : "[101]", "plainTextFormattedCitation" : "[101]", "previouslyFormattedCitation" : "[101]" }, "properties" : { "noteIndex" : 0 }, "schema" : "https://github.com/citation-style-language/schema/raw/master/csl-citation.json" }</w:instrText>
      </w:r>
      <w:r>
        <w:rPr>
          <w:rFonts w:asciiTheme="minorHAnsi" w:eastAsia="Calibri" w:hAnsiTheme="minorHAnsi" w:cs="Calibri"/>
          <w:sz w:val="22"/>
          <w:szCs w:val="22"/>
          <w:highlight w:val="white"/>
          <w:lang w:eastAsia="zh-CN"/>
        </w:rPr>
        <w:fldChar w:fldCharType="separate"/>
      </w:r>
      <w:r w:rsidR="00BB3D6F" w:rsidRPr="00BB3D6F">
        <w:rPr>
          <w:rFonts w:asciiTheme="minorHAnsi" w:eastAsia="Calibri" w:hAnsiTheme="minorHAnsi" w:cs="Calibri"/>
          <w:noProof/>
          <w:sz w:val="22"/>
          <w:szCs w:val="22"/>
          <w:highlight w:val="white"/>
          <w:lang w:eastAsia="zh-CN"/>
        </w:rPr>
        <w:t>[101]</w:t>
      </w:r>
      <w:r>
        <w:rPr>
          <w:rFonts w:asciiTheme="minorHAnsi" w:eastAsia="Calibri" w:hAnsiTheme="minorHAnsi" w:cs="Calibri"/>
          <w:sz w:val="22"/>
          <w:szCs w:val="22"/>
          <w:highlight w:val="white"/>
          <w:lang w:eastAsia="zh-CN"/>
        </w:rPr>
        <w:fldChar w:fldCharType="end"/>
      </w:r>
      <w:r w:rsidRPr="00C44D8C">
        <w:rPr>
          <w:rFonts w:asciiTheme="minorHAnsi" w:eastAsia="Calibri" w:hAnsiTheme="minorHAnsi" w:cs="Calibri"/>
          <w:sz w:val="22"/>
          <w:szCs w:val="22"/>
          <w:highlight w:val="white"/>
          <w:lang w:eastAsia="zh-CN"/>
        </w:rPr>
        <w:t>.</w:t>
      </w:r>
      <w:r w:rsidRPr="00C44D8C">
        <w:rPr>
          <w:rFonts w:asciiTheme="minorHAnsi" w:eastAsia="Calibri" w:hAnsiTheme="minorHAnsi" w:cs="Calibri"/>
          <w:sz w:val="22"/>
          <w:szCs w:val="22"/>
          <w:lang w:eastAsia="zh-CN"/>
        </w:rPr>
        <w:t xml:space="preserve"> </w:t>
      </w:r>
      <w:r>
        <w:rPr>
          <w:rFonts w:asciiTheme="minorHAnsi" w:eastAsia="Calibri" w:hAnsiTheme="minorHAnsi" w:cs="Calibri"/>
          <w:sz w:val="22"/>
          <w:szCs w:val="22"/>
          <w:lang w:eastAsia="zh-CN"/>
        </w:rPr>
        <w:t>P</w:t>
      </w:r>
      <w:r w:rsidRPr="00C44D8C">
        <w:rPr>
          <w:rFonts w:asciiTheme="minorHAnsi" w:eastAsia="Calibri" w:hAnsiTheme="minorHAnsi" w:cs="Calibri"/>
          <w:sz w:val="22"/>
          <w:szCs w:val="22"/>
          <w:lang w:eastAsia="zh-CN"/>
        </w:rPr>
        <w:t xml:space="preserve">revious studies have established that changes to the cell surface are </w:t>
      </w:r>
      <w:r w:rsidR="00CD21F3">
        <w:rPr>
          <w:rFonts w:asciiTheme="minorHAnsi" w:eastAsia="Calibri" w:hAnsiTheme="minorHAnsi" w:cs="Calibri"/>
          <w:sz w:val="22"/>
          <w:szCs w:val="22"/>
          <w:lang w:eastAsia="zh-CN"/>
        </w:rPr>
        <w:t>important</w:t>
      </w:r>
      <w:r w:rsidRPr="00C44D8C">
        <w:rPr>
          <w:rFonts w:asciiTheme="minorHAnsi" w:eastAsia="Calibri" w:hAnsiTheme="minorHAnsi" w:cs="Calibri"/>
          <w:sz w:val="22"/>
          <w:szCs w:val="22"/>
          <w:lang w:eastAsia="zh-CN"/>
        </w:rPr>
        <w:t xml:space="preserve"> during </w:t>
      </w:r>
      <w:r>
        <w:rPr>
          <w:rFonts w:asciiTheme="minorHAnsi" w:eastAsia="Calibri" w:hAnsiTheme="minorHAnsi" w:cs="Calibri"/>
          <w:sz w:val="22"/>
          <w:szCs w:val="22"/>
          <w:lang w:eastAsia="zh-CN"/>
        </w:rPr>
        <w:t xml:space="preserve">biofilm formation for </w:t>
      </w:r>
      <w:r w:rsidR="00CD21F3">
        <w:rPr>
          <w:rFonts w:asciiTheme="minorHAnsi" w:eastAsia="Calibri" w:hAnsiTheme="minorHAnsi" w:cs="Calibri"/>
          <w:sz w:val="22"/>
          <w:szCs w:val="22"/>
          <w:lang w:eastAsia="zh-CN"/>
        </w:rPr>
        <w:t>various</w:t>
      </w:r>
      <w:r>
        <w:rPr>
          <w:rFonts w:asciiTheme="minorHAnsi" w:eastAsia="Calibri" w:hAnsiTheme="minorHAnsi" w:cs="Calibri"/>
          <w:sz w:val="22"/>
          <w:szCs w:val="22"/>
          <w:lang w:eastAsia="zh-CN"/>
        </w:rPr>
        <w:t xml:space="preserve"> microbial systems</w:t>
      </w:r>
      <w:r w:rsidRPr="00C44D8C">
        <w:rPr>
          <w:rFonts w:asciiTheme="minorHAnsi" w:eastAsia="Calibri" w:hAnsiTheme="minorHAnsi" w:cs="Calibri"/>
          <w:sz w:val="22"/>
          <w:szCs w:val="22"/>
          <w:lang w:eastAsia="zh-CN"/>
        </w:rPr>
        <w:t xml:space="preserve"> </w:t>
      </w:r>
      <w:r>
        <w:rPr>
          <w:rFonts w:asciiTheme="minorHAnsi" w:eastAsia="Calibri" w:hAnsiTheme="minorHAnsi" w:cs="Calibri"/>
          <w:sz w:val="22"/>
          <w:szCs w:val="22"/>
          <w:lang w:eastAsia="zh-CN"/>
        </w:rPr>
        <w:fldChar w:fldCharType="begin" w:fldLock="1"/>
      </w:r>
      <w:r w:rsidR="00AB0CFE">
        <w:rPr>
          <w:rFonts w:asciiTheme="minorHAnsi" w:eastAsia="Calibri" w:hAnsiTheme="minorHAnsi" w:cs="Calibri"/>
          <w:sz w:val="22"/>
          <w:szCs w:val="22"/>
          <w:lang w:eastAsia="zh-CN"/>
        </w:rPr>
        <w:instrText>ADDIN CSL_CITATION { "citationItems" : [ { "id" : "ITEM-1", "itemData" : { "DOI" : "10.1073/pnas.042521699", "ISBN" : "0027-8424 (Print)\\n0027-8424 (Linking)", "ISSN" : "00278424", "PMID" : "11830644", "abstract" : "Bacterial adhesion is an important initial step in biofilm formation, which may cause problems in medical, environmental, and industrial settings. In spite of obvious phenotypic differences between attached and planktonic cells, knowledge about the genetic basis for these differences and how adhesion-induced changes are mediated is limited. The Cpx two-component signal transduction pathway responds specifically to stress caused by disturbances in the cell envelope and activates genes encoding periplasmic protein folding and degrading factors. Here, we address the role of the Cpx-signaling pathway in sensing and responding to the physical change occurring during adhesion of Escherichia coli to surfaces. We present evidence that the expression of Cpx-regulated genes is induced during initial adhesion of E. coli to abiotic surfaces. This induction is specifically observed upon attachment of stationary-phase cells to hydrophobic surfaces. Moreover, surface-induced activity of the Cpx response requires NlpE, an outer membrane lipoprotein, which has previously been shown to induce the Cpx system when overproduced. The importance of a functional Cpx response during adhesion is further supported by the fact that a dramatically lower number of cells attach to the surface and dynamic cell-surface interactions as measured by a quartz crystal microbalance technique are altered when the CpxRA pathway is disrupted. The defects in adhesion exhibited by the cpxR and nlpE mutants were strikingly similar to those of wild-type cells in which protein synthesis was inhibited, suggesting that the Cpx pathway plays a key role in the regulation of adhesion-induced gene expression.", "author" : [ { "dropping-particle" : "", "family" : "Otto", "given" : "Karen", "non-dropping-particle" : "", "parse-names" : false, "suffix" : "" }, { "dropping-particle" : "", "family" : "Silhavy", "given" : "Thomas J", "non-dropping-particle" : "", "parse-names" : false, "suffix" : "" } ], "container-title" : "Proceedings of the National Academy of Sciences of the United States of America", "id" : "ITEM-1", "issue" : "4", "issued" : { "date-parts" : [ [ "2002" ] ] }, "page" : "2287-2292", "title" : "Surface sensing and adhesion of Escherichia coli controlled by the Cpx-signaling pathway.", "type" : "article-journal", "volume" : "99" }, "uris" : [ "http://www.mendeley.com/documents/?uuid=13ea6281-9e60-4220-ae39-bbd5e55f77e3" ] }, { "id" : "ITEM-2", "itemData" : { "author" : [ { "dropping-particle" : "", "family" : "Mukherjee, J., Karunakaran, E., Biggs", "given" : "C.A.", "non-dropping-particle" : "", "parse-names" : false, "suffix" : "" } ], "container-title" : "Biofouling", "id" : "ITEM-2",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"id" : "ITEM-3",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"ITEM-3",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"id" : "ITEM-4", "itemData" : { "DOI" : "10.1007/s00253-010-2919-2", "ISBN" : "0025301029192", "ISSN" : "1432-0614", "PMID" : "20936277", "abstract" : "Microbial biofilms contribute to biofouling in a wide range of processes from medical implants to processed food. The extracellular polymeric substances (EPS) are implicated in imparting biofilms with structural stability and resistance to cleaning products. Still, very little is known about the structural role of the EPS in Gram-positive systems. Here, we have compared the cell surface and EPS of surface-attached (biofilm) and free-floating (planktonic) cells of Bacillus cereus, an organism routinely isolated from within biofilms on different surfaces. Our results indicate that the surface properties of cells change during biofilm formation and that the EPS proteins function as non-specific adhesions during biofilm formation. The physicochemical traits of the cell surface and the EPS proteins give us an insight into the forces that drive biofilm formation and maintenance in B. cereus.", "author" : [ { "dropping-particle" : "", "family" : "Karunakaran", "given" : "Esther", "non-dropping-particle" : "", "parse-names" : false, "suffix" : "" }, { "dropping-particle" : "", "family" : "Biggs", "given" : "Catherine a", "non-dropping-particle" : "", "parse-names" : false, "suffix" : "" } ], "container-title" : "Applied microbiology and biotechnology", "id" : "ITEM-4", "issue" : "4", "issued" : { "date-parts" : [ [ "2011", "2" ] ] }, "page" : "1161-75", "title" : "Mechanisms of Bacillus cereus biofilm formation: an investigation of the physicochemical characteristics of cell surfaces and extracellular proteins.", "type" : "article-journal", "volume" : "89" }, "uris" : [ "http://www.mendeley.com/documents/?uuid=9047155f-6cf2-4a15-bdb8-e8e0fac78d52" ] } ], "mendeley" : { "formattedCitation" : "[89,91,92,133]", "plainTextFormattedCitation" : "[89,91,92,133]", "previouslyFormattedCitation" : "[89,91,92,133]" }, "properties" : { "noteIndex" : 0 }, "schema" : "https://github.com/citation-style-language/schema/raw/master/csl-citation.json" }</w:instrText>
      </w:r>
      <w:r>
        <w:rPr>
          <w:rFonts w:asciiTheme="minorHAnsi" w:eastAsia="Calibri" w:hAnsiTheme="minorHAnsi" w:cs="Calibri"/>
          <w:sz w:val="22"/>
          <w:szCs w:val="22"/>
          <w:lang w:eastAsia="zh-CN"/>
        </w:rPr>
        <w:fldChar w:fldCharType="separate"/>
      </w:r>
      <w:r w:rsidR="00BB3D6F" w:rsidRPr="00BB3D6F">
        <w:rPr>
          <w:rFonts w:asciiTheme="minorHAnsi" w:eastAsia="Calibri" w:hAnsiTheme="minorHAnsi" w:cs="Calibri"/>
          <w:noProof/>
          <w:sz w:val="22"/>
          <w:szCs w:val="22"/>
          <w:lang w:eastAsia="zh-CN"/>
        </w:rPr>
        <w:t>[89,91,92,133]</w:t>
      </w:r>
      <w:r>
        <w:rPr>
          <w:rFonts w:asciiTheme="minorHAnsi" w:eastAsia="Calibri" w:hAnsiTheme="minorHAnsi" w:cs="Calibri"/>
          <w:sz w:val="22"/>
          <w:szCs w:val="22"/>
          <w:lang w:eastAsia="zh-CN"/>
        </w:rPr>
        <w:fldChar w:fldCharType="end"/>
      </w:r>
      <w:r>
        <w:rPr>
          <w:rFonts w:asciiTheme="minorHAnsi" w:eastAsia="Calibri" w:hAnsiTheme="minorHAnsi" w:cs="Calibri"/>
          <w:sz w:val="22"/>
          <w:szCs w:val="22"/>
          <w:lang w:eastAsia="zh-CN"/>
        </w:rPr>
        <w:t xml:space="preserve">. </w:t>
      </w:r>
      <w:r w:rsidRPr="00C44D8C">
        <w:rPr>
          <w:rFonts w:asciiTheme="minorHAnsi" w:eastAsia="Calibri" w:hAnsiTheme="minorHAnsi" w:cs="Calibri"/>
          <w:color w:val="000000"/>
          <w:sz w:val="22"/>
          <w:szCs w:val="22"/>
          <w:lang w:eastAsia="zh-CN"/>
        </w:rPr>
        <w:t>T</w:t>
      </w:r>
      <w:r w:rsidRPr="00C44D8C">
        <w:rPr>
          <w:rFonts w:asciiTheme="minorHAnsi" w:eastAsia="Calibri" w:hAnsiTheme="minorHAnsi" w:cs="Calibri"/>
          <w:sz w:val="22"/>
          <w:szCs w:val="22"/>
          <w:lang w:eastAsia="zh-CN"/>
        </w:rPr>
        <w:t xml:space="preserve">he cell surface of </w:t>
      </w:r>
      <w:r w:rsidRPr="00C44D8C">
        <w:rPr>
          <w:rFonts w:asciiTheme="minorHAnsi" w:eastAsia="Calibri" w:hAnsiTheme="minorHAnsi" w:cs="Calibri"/>
          <w:i/>
          <w:iCs/>
          <w:sz w:val="22"/>
          <w:szCs w:val="22"/>
          <w:lang w:eastAsia="zh-CN"/>
        </w:rPr>
        <w:t xml:space="preserve">Methanosarcina </w:t>
      </w:r>
      <w:r w:rsidRPr="00C44D8C">
        <w:rPr>
          <w:rFonts w:asciiTheme="minorHAnsi" w:eastAsia="Calibri" w:hAnsiTheme="minorHAnsi" w:cs="Calibri"/>
          <w:iCs/>
          <w:sz w:val="22"/>
          <w:szCs w:val="22"/>
          <w:lang w:eastAsia="zh-CN"/>
        </w:rPr>
        <w:t xml:space="preserve">is </w:t>
      </w:r>
      <w:r w:rsidR="00CD21F3">
        <w:rPr>
          <w:rFonts w:asciiTheme="minorHAnsi" w:eastAsia="Calibri" w:hAnsiTheme="minorHAnsi" w:cs="Calibri"/>
          <w:iCs/>
          <w:sz w:val="22"/>
          <w:szCs w:val="22"/>
          <w:lang w:eastAsia="zh-CN"/>
        </w:rPr>
        <w:t xml:space="preserve">also </w:t>
      </w:r>
      <w:r w:rsidRPr="00C44D8C">
        <w:rPr>
          <w:rFonts w:asciiTheme="minorHAnsi" w:eastAsia="Calibri" w:hAnsiTheme="minorHAnsi" w:cs="Calibri"/>
          <w:iCs/>
          <w:sz w:val="22"/>
          <w:szCs w:val="22"/>
          <w:lang w:eastAsia="zh-CN"/>
        </w:rPr>
        <w:t xml:space="preserve">known to </w:t>
      </w:r>
      <w:r w:rsidR="00CD21F3">
        <w:rPr>
          <w:rFonts w:asciiTheme="minorHAnsi" w:eastAsia="Calibri" w:hAnsiTheme="minorHAnsi" w:cs="Calibri"/>
          <w:sz w:val="22"/>
          <w:szCs w:val="22"/>
          <w:lang w:eastAsia="zh-CN"/>
        </w:rPr>
        <w:t>be involved in</w:t>
      </w:r>
      <w:r w:rsidRPr="00C44D8C">
        <w:rPr>
          <w:rFonts w:asciiTheme="minorHAnsi" w:eastAsia="Calibri" w:hAnsiTheme="minorHAnsi" w:cs="Calibri"/>
          <w:sz w:val="22"/>
          <w:szCs w:val="22"/>
          <w:lang w:eastAsia="zh-CN"/>
        </w:rPr>
        <w:t xml:space="preserve"> adhesion</w:t>
      </w:r>
      <w:r>
        <w:rPr>
          <w:rFonts w:asciiTheme="minorHAnsi" w:eastAsia="Calibri" w:hAnsiTheme="minorHAnsi" w:cs="Calibri"/>
          <w:sz w:val="22"/>
          <w:szCs w:val="22"/>
          <w:lang w:eastAsia="zh-CN"/>
        </w:rPr>
        <w:t xml:space="preserve"> </w:t>
      </w:r>
      <w:r>
        <w:rPr>
          <w:rFonts w:asciiTheme="minorHAnsi" w:eastAsia="Calibri" w:hAnsiTheme="minorHAnsi" w:cs="Calibri"/>
          <w:sz w:val="22"/>
          <w:szCs w:val="22"/>
          <w:lang w:eastAsia="zh-CN"/>
        </w:rPr>
        <w:fldChar w:fldCharType="begin" w:fldLock="1"/>
      </w:r>
      <w:r w:rsidR="00F6573E">
        <w:rPr>
          <w:rFonts w:asciiTheme="minorHAnsi" w:eastAsia="Calibri" w:hAnsiTheme="minorHAnsi" w:cs="Calibri"/>
          <w:sz w:val="22"/>
          <w:szCs w:val="22"/>
          <w:lang w:eastAsia="zh-CN"/>
        </w:rPr>
        <w:instrText>ADDIN CSL_CITATION { "citationItems" : [ { "id" : "ITEM-1", "itemData" : { "DOI" : "10.1016/j.colsurfb.2014.12.035", "ISSN" : "09277765", "author" : [ { "dropping-particle" : "", "family" : "Milkevych", "given" : "V.", "non-dropping-particle" : "", "parse-names" : false, "suffix" : "" }, { "dropping-particle" : "", "family" : "Donose", "given" : "B.C.", "non-dropping-particle" : "", "parse-names" : false, "suffix" : "" }, { "dropping-particle" : "", "family" : "Juste-Poinapen", "given" : "N.", "non-dropping-particle" : "", "parse-names" : false, "suffix" : "" }, { "dropping-particle" : "", "family" : "Batstone", "given" : "D.J.", "non-dropping-particle" : "", "parse-names" : false, "suffix" : "" } ], "container-title" : "Colloids and Surfaces B: Biointerfaces", "id" : "ITEM-1", "issued" : { "date-parts" : [ [ "2015" ] ] }, "page" : "303-312", "publisher" : "Elsevier B.V.", "title" : "Mechanical and cell-to-cell adhesive properties of aggregated Methanosarcina", "type" : "article-journal", "volume" : "126" }, "uris" : [ "http://www.mendeley.com/documents/?uuid=68b9cc12-02de-426e-a6b7-9d3bf7b064c3" ] }, { "id" : "ITEM-2",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"ITEM-2",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"[19,53]", "plainTextFormattedCitation" : "[19,53]", "previouslyFormattedCitation" : "[19,53]" }, "properties" : { "noteIndex" : 0 }, "schema" : "https://github.com/citation-style-language/schema/raw/master/csl-citation.json" }</w:instrText>
      </w:r>
      <w:r>
        <w:rPr>
          <w:rFonts w:asciiTheme="minorHAnsi" w:eastAsia="Calibri" w:hAnsiTheme="minorHAnsi" w:cs="Calibri"/>
          <w:sz w:val="22"/>
          <w:szCs w:val="22"/>
          <w:lang w:eastAsia="zh-CN"/>
        </w:rPr>
        <w:fldChar w:fldCharType="separate"/>
      </w:r>
      <w:r w:rsidRPr="003250CB">
        <w:rPr>
          <w:rFonts w:asciiTheme="minorHAnsi" w:eastAsia="Calibri" w:hAnsiTheme="minorHAnsi" w:cs="Calibri"/>
          <w:noProof/>
          <w:sz w:val="22"/>
          <w:szCs w:val="22"/>
          <w:lang w:eastAsia="zh-CN"/>
        </w:rPr>
        <w:t>[19,53]</w:t>
      </w:r>
      <w:r>
        <w:rPr>
          <w:rFonts w:asciiTheme="minorHAnsi" w:eastAsia="Calibri" w:hAnsiTheme="minorHAnsi" w:cs="Calibri"/>
          <w:sz w:val="22"/>
          <w:szCs w:val="22"/>
          <w:lang w:eastAsia="zh-CN"/>
        </w:rPr>
        <w:fldChar w:fldCharType="end"/>
      </w:r>
      <w:r w:rsidRPr="00C44D8C">
        <w:rPr>
          <w:rFonts w:asciiTheme="minorHAnsi" w:eastAsia="Calibri" w:hAnsiTheme="minorHAnsi" w:cs="Calibri"/>
          <w:sz w:val="22"/>
          <w:szCs w:val="22"/>
          <w:lang w:eastAsia="zh-CN"/>
        </w:rPr>
        <w:t xml:space="preserve">, </w:t>
      </w:r>
      <w:r w:rsidR="00CD21F3">
        <w:rPr>
          <w:rFonts w:asciiTheme="minorHAnsi" w:eastAsia="Calibri" w:hAnsiTheme="minorHAnsi" w:cs="Calibri"/>
          <w:sz w:val="22"/>
          <w:szCs w:val="22"/>
          <w:lang w:eastAsia="zh-CN"/>
        </w:rPr>
        <w:t>yet the question of</w:t>
      </w:r>
      <w:r w:rsidRPr="00C44D8C">
        <w:rPr>
          <w:rFonts w:asciiTheme="minorHAnsi" w:eastAsia="Calibri" w:hAnsiTheme="minorHAnsi" w:cs="Calibri"/>
          <w:sz w:val="22"/>
          <w:szCs w:val="22"/>
          <w:lang w:eastAsia="zh-CN"/>
        </w:rPr>
        <w:t xml:space="preserve"> </w:t>
      </w:r>
      <w:r w:rsidR="00CD21F3">
        <w:rPr>
          <w:rFonts w:asciiTheme="minorHAnsi" w:eastAsia="Calibri" w:hAnsiTheme="minorHAnsi" w:cs="Calibri"/>
          <w:sz w:val="22"/>
          <w:szCs w:val="22"/>
          <w:lang w:eastAsia="zh-CN"/>
        </w:rPr>
        <w:t xml:space="preserve">how the cell surface responds </w:t>
      </w:r>
      <w:r w:rsidR="00DB0D18">
        <w:rPr>
          <w:rFonts w:asciiTheme="minorHAnsi" w:eastAsia="Calibri" w:hAnsiTheme="minorHAnsi" w:cs="Calibri"/>
          <w:sz w:val="22"/>
          <w:szCs w:val="22"/>
          <w:lang w:eastAsia="zh-CN"/>
        </w:rPr>
        <w:t xml:space="preserve">to an abiotic surface to </w:t>
      </w:r>
      <w:r w:rsidR="00CD21F3">
        <w:rPr>
          <w:rFonts w:asciiTheme="minorHAnsi" w:eastAsia="Calibri" w:hAnsiTheme="minorHAnsi" w:cs="Calibri"/>
          <w:sz w:val="22"/>
          <w:szCs w:val="22"/>
          <w:lang w:eastAsia="zh-CN"/>
        </w:rPr>
        <w:t>a</w:t>
      </w:r>
      <w:r w:rsidR="00DB0D18">
        <w:rPr>
          <w:rFonts w:asciiTheme="minorHAnsi" w:eastAsia="Calibri" w:hAnsiTheme="minorHAnsi" w:cs="Calibri"/>
          <w:sz w:val="22"/>
          <w:szCs w:val="22"/>
          <w:lang w:eastAsia="zh-CN"/>
        </w:rPr>
        <w:t>dapt</w:t>
      </w:r>
      <w:r w:rsidR="00CD21F3">
        <w:rPr>
          <w:rFonts w:asciiTheme="minorHAnsi" w:eastAsia="Calibri" w:hAnsiTheme="minorHAnsi" w:cs="Calibri"/>
          <w:sz w:val="22"/>
          <w:szCs w:val="22"/>
          <w:lang w:eastAsia="zh-CN"/>
        </w:rPr>
        <w:t xml:space="preserve"> cells for a more irreversible attachment is not </w:t>
      </w:r>
      <w:r w:rsidRPr="00C44D8C">
        <w:rPr>
          <w:rFonts w:asciiTheme="minorHAnsi" w:eastAsia="Calibri" w:hAnsiTheme="minorHAnsi" w:cs="Calibri"/>
          <w:sz w:val="22"/>
          <w:szCs w:val="22"/>
          <w:lang w:eastAsia="zh-CN"/>
        </w:rPr>
        <w:t>well understood</w:t>
      </w:r>
      <w:r w:rsidR="00CD21F3">
        <w:rPr>
          <w:rFonts w:asciiTheme="minorHAnsi" w:eastAsia="Calibri" w:hAnsiTheme="minorHAnsi" w:cs="Calibri"/>
          <w:sz w:val="22"/>
          <w:szCs w:val="22"/>
          <w:lang w:eastAsia="zh-CN"/>
        </w:rPr>
        <w:t xml:space="preserve">. </w:t>
      </w:r>
    </w:p>
    <w:p w14:paraId="43C71BBE" w14:textId="5A235666" w:rsidR="00436CD0" w:rsidRPr="00C44D8C" w:rsidRDefault="00CD21F3" w:rsidP="00CD21F3">
      <w:pPr>
        <w:spacing w:line="360" w:lineRule="auto"/>
        <w:ind w:firstLine="720"/>
        <w:rPr>
          <w:rFonts w:asciiTheme="minorHAnsi" w:eastAsia="Arial" w:hAnsiTheme="minorHAnsi" w:cs="Arial"/>
          <w:sz w:val="22"/>
          <w:szCs w:val="22"/>
          <w:lang w:eastAsia="zh-CN"/>
        </w:rPr>
      </w:pPr>
      <w:r>
        <w:rPr>
          <w:rFonts w:asciiTheme="minorHAnsi" w:eastAsia="Calibri" w:hAnsiTheme="minorHAnsi" w:cs="Calibri"/>
          <w:sz w:val="22"/>
          <w:szCs w:val="22"/>
          <w:lang w:eastAsia="zh-CN"/>
        </w:rPr>
        <w:t>I</w:t>
      </w:r>
      <w:r w:rsidR="00436CD0" w:rsidRPr="00C44D8C">
        <w:rPr>
          <w:rFonts w:asciiTheme="minorHAnsi" w:eastAsia="Calibri" w:hAnsiTheme="minorHAnsi" w:cs="Calibri"/>
          <w:sz w:val="22"/>
          <w:szCs w:val="22"/>
          <w:lang w:eastAsia="zh-CN"/>
        </w:rPr>
        <w:t>t is already established that initial adhesion is mediated by various physicochemical surface interactions, influenced by surface hydrophobicity, surface charge and surface free energy</w:t>
      </w:r>
      <w:r w:rsidR="000D08C1">
        <w:rPr>
          <w:rFonts w:asciiTheme="minorHAnsi" w:eastAsia="Calibri" w:hAnsiTheme="minorHAnsi" w:cs="Calibri"/>
          <w:sz w:val="22"/>
          <w:szCs w:val="22"/>
          <w:lang w:eastAsia="zh-CN"/>
        </w:rPr>
        <w:t xml:space="preserve"> </w:t>
      </w:r>
      <w:r w:rsidR="000D08C1">
        <w:rPr>
          <w:rFonts w:asciiTheme="minorHAnsi" w:eastAsia="Calibri" w:hAnsiTheme="minorHAnsi" w:cs="Calibri"/>
          <w:sz w:val="22"/>
          <w:szCs w:val="22"/>
          <w:lang w:eastAsia="zh-CN"/>
        </w:rPr>
        <w:fldChar w:fldCharType="begin" w:fldLock="1"/>
      </w:r>
      <w:r w:rsidR="00AF47D2">
        <w:rPr>
          <w:rFonts w:asciiTheme="minorHAnsi" w:eastAsia="Calibri" w:hAnsiTheme="minorHAnsi" w:cs="Calibri"/>
          <w:sz w:val="22"/>
          <w:szCs w:val="22"/>
          <w:lang w:eastAsia="zh-CN"/>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0D08C1">
        <w:rPr>
          <w:rFonts w:asciiTheme="minorHAnsi" w:eastAsia="Calibri" w:hAnsiTheme="minorHAnsi" w:cs="Calibri"/>
          <w:sz w:val="22"/>
          <w:szCs w:val="22"/>
          <w:lang w:eastAsia="zh-CN"/>
        </w:rPr>
        <w:fldChar w:fldCharType="separate"/>
      </w:r>
      <w:r w:rsidR="00AF47D2" w:rsidRPr="00AF47D2">
        <w:rPr>
          <w:rFonts w:asciiTheme="minorHAnsi" w:eastAsia="Calibri" w:hAnsiTheme="minorHAnsi" w:cs="Calibri"/>
          <w:noProof/>
          <w:sz w:val="22"/>
          <w:szCs w:val="22"/>
          <w:lang w:eastAsia="zh-CN"/>
        </w:rPr>
        <w:t>[63]</w:t>
      </w:r>
      <w:r w:rsidR="000D08C1">
        <w:rPr>
          <w:rFonts w:asciiTheme="minorHAnsi" w:eastAsia="Calibri" w:hAnsiTheme="minorHAnsi" w:cs="Calibri"/>
          <w:sz w:val="22"/>
          <w:szCs w:val="22"/>
          <w:lang w:eastAsia="zh-CN"/>
        </w:rPr>
        <w:fldChar w:fldCharType="end"/>
      </w:r>
      <w:r w:rsidR="00436CD0" w:rsidRPr="00C44D8C">
        <w:rPr>
          <w:rFonts w:asciiTheme="minorHAnsi" w:eastAsia="Calibri" w:hAnsiTheme="minorHAnsi" w:cs="Calibri"/>
          <w:sz w:val="22"/>
          <w:szCs w:val="22"/>
          <w:lang w:eastAsia="zh-CN"/>
        </w:rPr>
        <w:t>. The progression towards a more irreversibly attached biofilm is mediated by more biological factors, such as the production of EPS</w:t>
      </w:r>
      <w:r w:rsidR="000D08C1">
        <w:rPr>
          <w:rFonts w:asciiTheme="minorHAnsi" w:eastAsia="Calibri" w:hAnsiTheme="minorHAnsi" w:cs="Calibri"/>
          <w:sz w:val="22"/>
          <w:szCs w:val="22"/>
          <w:lang w:eastAsia="zh-CN"/>
        </w:rPr>
        <w:t xml:space="preserve"> </w:t>
      </w:r>
      <w:r w:rsidR="000D08C1">
        <w:rPr>
          <w:rFonts w:asciiTheme="minorHAnsi" w:eastAsia="Calibri" w:hAnsiTheme="minorHAnsi" w:cs="Calibri"/>
          <w:sz w:val="22"/>
          <w:szCs w:val="22"/>
          <w:lang w:eastAsia="zh-CN"/>
        </w:rPr>
        <w:fldChar w:fldCharType="begin" w:fldLock="1"/>
      </w:r>
      <w:r w:rsidR="00AB0CFE">
        <w:rPr>
          <w:rFonts w:asciiTheme="minorHAnsi" w:eastAsia="Calibri" w:hAnsiTheme="minorHAnsi" w:cs="Calibri"/>
          <w:sz w:val="22"/>
          <w:szCs w:val="22"/>
          <w:lang w:eastAsia="zh-CN"/>
        </w:rPr>
        <w:instrText>ADDIN CSL_CITATION { "citationItems" : [ { "id" : "ITEM-1", "itemData" : { "DOI" : "10.1007/s00253-011-3293-4", "ISSN" : "1432-0614", "PMID" : "21538113", "abstract" : "The observation of biofilm formation is not a new phenomenon. The prevalence and significance of biofilm and aggregate formation in various processes have encouraged extensive research in this field for more than 40\u00a0years. In this review, we highlight techniques from different disciplines that have been used to successfully describe the extracellular, surface and intracellular elements that are predominant in understanding biofilm formation. To reduce the complexities involved in studying biofilms, researchers in the past have generally taken a parts-based, disciplinary specific approach to understand the different components of biofilms in isolation from one another. Recently, a few studies have looked into combining the different techniques to achieve a more holistic understanding of biofilms, yet this approach is still in its infancy. In order to attain a global understanding of the processes involved in the formation of biofilms and to formulate effective biofilm control strategies, researchers in the next decade should recognise that the study of biofilms, i.e. biofilmology, has evolved into a discipline in its own right and that mutual cooperation between the various disciplines towards a multidisciplinary research vision is vital in this field.", "author" : [ { "dropping-particle" : "", "family" : "Karunakaran", "given" : "Esther", "non-dropping-particle" : "", "parse-names" : false, "suffix" : "" }, { "dropping-particle" : "", "family" : "Mukherjee", "given" : "Joy", "non-dropping-particle" : "", "parse-names" : false, "suffix" : "" }, { "dropping-particle" : "", "family" : "Ramalingam", "given" : "Bharathi", "non-dropping-particle" : "", "parse-names" : false, "suffix" : "" }, { "dropping-particle" : "", "family" : "Biggs", "given" : "Catherine a", "non-dropping-particle" : "", "parse-names" : false, "suffix" : "" } ], "container-title" : "Applied microbiology and biotechnology", "id" : "ITEM-1", "issue" : "6", "issued" : { "date-parts" : [ [ "2011", "6" ] ] }, "page" : "1869-81", "title" : "\"Biofilmology\": a multidisciplinary review of the study of microbial biofilms.", "type" : "article-journal", "volume" : "90" }, "uris" : [ "http://www.mendeley.com/documents/?uuid=de0b8606-7f89-4690-a0b4-7d032dad0ea6" ] }, { "id" : "ITEM-2", "itemData" : { "DOI" : "10.1038/nrmicro2415", "ISSN" : "1740-1534", "PMID" : "20676145", "abstract" :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 "author" : [ { "dropping-particle" : "", "family" : "Flemming", "given" : "Hans-Curt", "non-dropping-particle" : "", "parse-names" : false, "suffix" : "" }, { "dropping-particle" : "", "family" : "Wingender", "given" : "Jost", "non-dropping-particle" : "", "parse-names" : false, "suffix" : "" } ], "container-title" : "Nature reviews. Microbiology", "id" : "ITEM-2", "issue" : "9", "issued" : { "date-parts" : [ [ "2010", "9" ] ] }, "page" : "623-33", "publisher" : "Nature Publishing Group", "title" : "The biofilm matrix.", "type" : "article-journal", "volume" : "8" }, "uris" : [ "http://www.mendeley.com/documents/?uuid=fe9f960b-59a2-4bd8-8a0d-3a3ef1a6a342" ] } ], "mendeley" : { "formattedCitation" : "[23,99]", "manualFormatting" : "[96]", "plainTextFormattedCitation" : "[23,99]", "previouslyFormattedCitation" : "[23,99]" }, "properties" : { "noteIndex" : 0 }, "schema" : "https://github.com/citation-style-language/schema/raw/master/csl-citation.json" }</w:instrText>
      </w:r>
      <w:r w:rsidR="000D08C1">
        <w:rPr>
          <w:rFonts w:asciiTheme="minorHAnsi" w:eastAsia="Calibri" w:hAnsiTheme="minorHAnsi" w:cs="Calibri"/>
          <w:sz w:val="22"/>
          <w:szCs w:val="22"/>
          <w:lang w:eastAsia="zh-CN"/>
        </w:rPr>
        <w:fldChar w:fldCharType="separate"/>
      </w:r>
      <w:r w:rsidR="000D08C1">
        <w:rPr>
          <w:rFonts w:asciiTheme="minorHAnsi" w:eastAsia="Calibri" w:hAnsiTheme="minorHAnsi" w:cs="Calibri"/>
          <w:noProof/>
          <w:sz w:val="22"/>
          <w:szCs w:val="22"/>
          <w:lang w:eastAsia="zh-CN"/>
        </w:rPr>
        <w:t>[</w:t>
      </w:r>
      <w:r w:rsidR="000D08C1" w:rsidRPr="000D08C1">
        <w:rPr>
          <w:rFonts w:asciiTheme="minorHAnsi" w:eastAsia="Calibri" w:hAnsiTheme="minorHAnsi" w:cs="Calibri"/>
          <w:noProof/>
          <w:sz w:val="22"/>
          <w:szCs w:val="22"/>
          <w:lang w:eastAsia="zh-CN"/>
        </w:rPr>
        <w:t>96]</w:t>
      </w:r>
      <w:r w:rsidR="000D08C1">
        <w:rPr>
          <w:rFonts w:asciiTheme="minorHAnsi" w:eastAsia="Calibri" w:hAnsiTheme="minorHAnsi" w:cs="Calibri"/>
          <w:sz w:val="22"/>
          <w:szCs w:val="22"/>
          <w:lang w:eastAsia="zh-CN"/>
        </w:rPr>
        <w:fldChar w:fldCharType="end"/>
      </w:r>
      <w:r w:rsidR="00436CD0" w:rsidRPr="00C44D8C">
        <w:rPr>
          <w:rFonts w:asciiTheme="minorHAnsi" w:eastAsia="Calibri" w:hAnsiTheme="minorHAnsi" w:cs="Calibri"/>
          <w:sz w:val="22"/>
          <w:szCs w:val="22"/>
          <w:lang w:eastAsia="zh-CN"/>
        </w:rPr>
        <w:t xml:space="preserve"> or significant compositional changes to the cell surface to mediate biofilm formation </w:t>
      </w:r>
      <w:r w:rsidR="000D08C1">
        <w:rPr>
          <w:rFonts w:asciiTheme="minorHAnsi" w:eastAsia="Calibri" w:hAnsiTheme="minorHAnsi" w:cs="Calibri"/>
          <w:sz w:val="22"/>
          <w:szCs w:val="22"/>
          <w:lang w:eastAsia="zh-CN"/>
        </w:rPr>
        <w:fldChar w:fldCharType="begin" w:fldLock="1"/>
      </w:r>
      <w:r w:rsidR="00AB0CFE">
        <w:rPr>
          <w:rFonts w:asciiTheme="minorHAnsi" w:eastAsia="Calibri" w:hAnsiTheme="minorHAnsi" w:cs="Calibri"/>
          <w:sz w:val="22"/>
          <w:szCs w:val="22"/>
          <w:lang w:eastAsia="zh-CN"/>
        </w:rPr>
        <w:instrText>ADDIN CSL_CITATION { "citationItems" : [ { "id" : "ITEM-1",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"ITEM-1",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"mendeley" : { "formattedCitation" : "[89]", "plainTextFormattedCitation" : "[89]", "previouslyFormattedCitation" : "[89]" }, "properties" : { "noteIndex" : 0 }, "schema" : "https://github.com/citation-style-language/schema/raw/master/csl-citation.json" }</w:instrText>
      </w:r>
      <w:r w:rsidR="000D08C1">
        <w:rPr>
          <w:rFonts w:asciiTheme="minorHAnsi" w:eastAsia="Calibri" w:hAnsiTheme="minorHAnsi" w:cs="Calibri"/>
          <w:sz w:val="22"/>
          <w:szCs w:val="22"/>
          <w:lang w:eastAsia="zh-CN"/>
        </w:rPr>
        <w:fldChar w:fldCharType="separate"/>
      </w:r>
      <w:r w:rsidR="00BB3D6F" w:rsidRPr="00BB3D6F">
        <w:rPr>
          <w:rFonts w:asciiTheme="minorHAnsi" w:eastAsia="Calibri" w:hAnsiTheme="minorHAnsi" w:cs="Calibri"/>
          <w:noProof/>
          <w:sz w:val="22"/>
          <w:szCs w:val="22"/>
          <w:lang w:eastAsia="zh-CN"/>
        </w:rPr>
        <w:t>[89]</w:t>
      </w:r>
      <w:r w:rsidR="000D08C1">
        <w:rPr>
          <w:rFonts w:asciiTheme="minorHAnsi" w:eastAsia="Calibri" w:hAnsiTheme="minorHAnsi" w:cs="Calibri"/>
          <w:sz w:val="22"/>
          <w:szCs w:val="22"/>
          <w:lang w:eastAsia="zh-CN"/>
        </w:rPr>
        <w:fldChar w:fldCharType="end"/>
      </w:r>
      <w:r w:rsidR="000D08C1">
        <w:rPr>
          <w:rFonts w:asciiTheme="minorHAnsi" w:eastAsia="Calibri" w:hAnsiTheme="minorHAnsi" w:cs="Calibri"/>
          <w:sz w:val="22"/>
          <w:szCs w:val="22"/>
          <w:lang w:eastAsia="zh-CN"/>
        </w:rPr>
        <w:t xml:space="preserve">. </w:t>
      </w:r>
      <w:r w:rsidR="00436CD0" w:rsidRPr="00C44D8C">
        <w:rPr>
          <w:rFonts w:asciiTheme="minorHAnsi" w:eastAsia="Calibri" w:hAnsiTheme="minorHAnsi" w:cs="Calibri"/>
          <w:sz w:val="22"/>
          <w:szCs w:val="22"/>
          <w:lang w:eastAsia="zh-CN"/>
        </w:rPr>
        <w:t xml:space="preserve">Whereas the DLVO model can provide a means of describing initial adhesion in terms of the underlying physicochemical interactions at the microbe-abiotic interface, it does not take into account the effect of cell surface macromolecules on adhesion </w:t>
      </w:r>
      <w:r w:rsidR="000D08C1">
        <w:rPr>
          <w:rFonts w:asciiTheme="minorHAnsi" w:eastAsia="Calibri" w:hAnsiTheme="minorHAnsi" w:cs="Calibri"/>
          <w:sz w:val="22"/>
          <w:szCs w:val="22"/>
          <w:lang w:eastAsia="zh-CN"/>
        </w:rPr>
        <w:fldChar w:fldCharType="begin" w:fldLock="1"/>
      </w:r>
      <w:r w:rsidR="00AF47D2">
        <w:rPr>
          <w:rFonts w:asciiTheme="minorHAnsi" w:eastAsia="Calibri" w:hAnsiTheme="minorHAnsi" w:cs="Calibri"/>
          <w:sz w:val="22"/>
          <w:szCs w:val="22"/>
          <w:lang w:eastAsia="zh-CN"/>
        </w:rPr>
        <w:instrText>ADDIN CSL_CITATION { "citationItems" : [ { "id" : "ITEM-1", "itemData" : { "DOI" : "10.1016/S0927-7765(99)00029-6", "ISSN" : "09277765", "author" : [ { "dropping-particle" : "", "family" : "Hermansson", "given" : "Malte", "non-dropping-particle" : "", "parse-names" : false, "suffix" : "" } ], "container-title" : "Colloids and Surfaces B: Biointerfaces", "id" : "ITEM-1", "issue" : "1-4", "issued" : { "date-parts" : [ [ "1999", "8" ] ] }, "page" : "105-119", "title" : "The DLVO theory in microbial adhesion", "type" : "article-journal", "volume" : "14" }, "uris" : [ "http://www.mendeley.com/documents/?uuid=db12c3da-a687-4348-a0ac-a4b17f40df97" ] } ], "mendeley" : { "formattedCitation" : "[79]", "plainTextFormattedCitation" : "[79]", "previouslyFormattedCitation" : "[79]" }, "properties" : { "noteIndex" : 0 }, "schema" : "https://github.com/citation-style-language/schema/raw/master/csl-citation.json" }</w:instrText>
      </w:r>
      <w:r w:rsidR="000D08C1">
        <w:rPr>
          <w:rFonts w:asciiTheme="minorHAnsi" w:eastAsia="Calibri" w:hAnsiTheme="minorHAnsi" w:cs="Calibri"/>
          <w:sz w:val="22"/>
          <w:szCs w:val="22"/>
          <w:lang w:eastAsia="zh-CN"/>
        </w:rPr>
        <w:fldChar w:fldCharType="separate"/>
      </w:r>
      <w:r w:rsidR="00AF47D2" w:rsidRPr="00AF47D2">
        <w:rPr>
          <w:rFonts w:asciiTheme="minorHAnsi" w:eastAsia="Calibri" w:hAnsiTheme="minorHAnsi" w:cs="Calibri"/>
          <w:noProof/>
          <w:sz w:val="22"/>
          <w:szCs w:val="22"/>
          <w:lang w:eastAsia="zh-CN"/>
        </w:rPr>
        <w:t>[79]</w:t>
      </w:r>
      <w:r w:rsidR="000D08C1">
        <w:rPr>
          <w:rFonts w:asciiTheme="minorHAnsi" w:eastAsia="Calibri" w:hAnsiTheme="minorHAnsi" w:cs="Calibri"/>
          <w:sz w:val="22"/>
          <w:szCs w:val="22"/>
          <w:lang w:eastAsia="zh-CN"/>
        </w:rPr>
        <w:fldChar w:fldCharType="end"/>
      </w:r>
      <w:r w:rsidR="00436CD0" w:rsidRPr="00C44D8C">
        <w:rPr>
          <w:rFonts w:asciiTheme="minorHAnsi" w:eastAsia="Calibri" w:hAnsiTheme="minorHAnsi" w:cs="Calibri"/>
          <w:sz w:val="22"/>
          <w:szCs w:val="22"/>
          <w:lang w:eastAsia="zh-CN"/>
        </w:rPr>
        <w:t xml:space="preserve">. As microbial cell surfaces are naturally heterogeneous in this respect, this is a large limitation of the DLVO model </w:t>
      </w:r>
      <w:r w:rsidR="000D08C1">
        <w:rPr>
          <w:rFonts w:asciiTheme="minorHAnsi" w:eastAsia="Calibri" w:hAnsiTheme="minorHAnsi" w:cs="Calibri"/>
          <w:sz w:val="22"/>
          <w:szCs w:val="22"/>
          <w:lang w:eastAsia="zh-CN"/>
        </w:rPr>
        <w:fldChar w:fldCharType="begin" w:fldLock="1"/>
      </w:r>
      <w:r w:rsidR="00AF47D2">
        <w:rPr>
          <w:rFonts w:asciiTheme="minorHAnsi" w:eastAsia="Calibri" w:hAnsiTheme="minorHAnsi" w:cs="Calibri"/>
          <w:sz w:val="22"/>
          <w:szCs w:val="22"/>
          <w:lang w:eastAsia="zh-CN"/>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 "plainTextFormattedCitation" : "[63]", "previouslyFormattedCitation" : "[63]" }, "properties" : { "noteIndex" : 0 }, "schema" : "https://github.com/citation-style-language/schema/raw/master/csl-citation.json" }</w:instrText>
      </w:r>
      <w:r w:rsidR="000D08C1">
        <w:rPr>
          <w:rFonts w:asciiTheme="minorHAnsi" w:eastAsia="Calibri" w:hAnsiTheme="minorHAnsi" w:cs="Calibri"/>
          <w:sz w:val="22"/>
          <w:szCs w:val="22"/>
          <w:lang w:eastAsia="zh-CN"/>
        </w:rPr>
        <w:fldChar w:fldCharType="separate"/>
      </w:r>
      <w:r w:rsidR="00AF47D2" w:rsidRPr="00AF47D2">
        <w:rPr>
          <w:rFonts w:asciiTheme="minorHAnsi" w:eastAsia="Calibri" w:hAnsiTheme="minorHAnsi" w:cs="Calibri"/>
          <w:noProof/>
          <w:sz w:val="22"/>
          <w:szCs w:val="22"/>
          <w:lang w:eastAsia="zh-CN"/>
        </w:rPr>
        <w:t>[63]</w:t>
      </w:r>
      <w:r w:rsidR="000D08C1">
        <w:rPr>
          <w:rFonts w:asciiTheme="minorHAnsi" w:eastAsia="Calibri" w:hAnsiTheme="minorHAnsi" w:cs="Calibri"/>
          <w:sz w:val="22"/>
          <w:szCs w:val="22"/>
          <w:lang w:eastAsia="zh-CN"/>
        </w:rPr>
        <w:fldChar w:fldCharType="end"/>
      </w:r>
      <w:r w:rsidR="00436CD0" w:rsidRPr="00C44D8C">
        <w:rPr>
          <w:rFonts w:asciiTheme="minorHAnsi" w:eastAsia="Calibri" w:hAnsiTheme="minorHAnsi" w:cs="Calibri"/>
          <w:sz w:val="22"/>
          <w:szCs w:val="22"/>
          <w:lang w:eastAsia="zh-CN"/>
        </w:rPr>
        <w:t xml:space="preserve">. Providing a </w:t>
      </w:r>
      <w:r w:rsidR="00436CD0" w:rsidRPr="00C44D8C">
        <w:rPr>
          <w:rFonts w:asciiTheme="minorHAnsi" w:eastAsia="Calibri" w:hAnsiTheme="minorHAnsi" w:cs="Calibri"/>
          <w:sz w:val="22"/>
          <w:szCs w:val="22"/>
          <w:lang w:eastAsia="zh-CN"/>
        </w:rPr>
        <w:lastRenderedPageBreak/>
        <w:t>more comprehensive description of biofilm formation</w:t>
      </w:r>
      <w:r w:rsidR="00531DF5">
        <w:rPr>
          <w:rFonts w:asciiTheme="minorHAnsi" w:eastAsia="Calibri" w:hAnsiTheme="minorHAnsi" w:cs="Calibri"/>
          <w:sz w:val="22"/>
          <w:szCs w:val="22"/>
          <w:lang w:eastAsia="zh-CN"/>
        </w:rPr>
        <w:t xml:space="preserve"> also</w:t>
      </w:r>
      <w:r w:rsidR="00436CD0" w:rsidRPr="00C44D8C">
        <w:rPr>
          <w:rFonts w:asciiTheme="minorHAnsi" w:eastAsia="Calibri" w:hAnsiTheme="minorHAnsi" w:cs="Calibri"/>
          <w:sz w:val="22"/>
          <w:szCs w:val="22"/>
          <w:lang w:eastAsia="zh-CN"/>
        </w:rPr>
        <w:t xml:space="preserve"> requires </w:t>
      </w:r>
      <w:r w:rsidR="00531DF5">
        <w:rPr>
          <w:rFonts w:asciiTheme="minorHAnsi" w:eastAsia="Calibri" w:hAnsiTheme="minorHAnsi" w:cs="Calibri"/>
          <w:sz w:val="22"/>
          <w:szCs w:val="22"/>
          <w:lang w:eastAsia="zh-CN"/>
        </w:rPr>
        <w:t>u</w:t>
      </w:r>
      <w:r w:rsidR="00436CD0" w:rsidRPr="00C44D8C">
        <w:rPr>
          <w:rFonts w:asciiTheme="minorHAnsi" w:eastAsia="Calibri" w:hAnsiTheme="minorHAnsi" w:cs="Calibri"/>
          <w:sz w:val="22"/>
          <w:szCs w:val="22"/>
          <w:lang w:eastAsia="zh-CN"/>
        </w:rPr>
        <w:t xml:space="preserve">nderstanding of </w:t>
      </w:r>
      <w:r w:rsidR="00531DF5">
        <w:rPr>
          <w:rFonts w:asciiTheme="minorHAnsi" w:eastAsia="Calibri" w:hAnsiTheme="minorHAnsi" w:cs="Calibri"/>
          <w:sz w:val="22"/>
          <w:szCs w:val="22"/>
          <w:lang w:eastAsia="zh-CN"/>
        </w:rPr>
        <w:t xml:space="preserve">the non-DLVO factors involved in adhesion. Therefore, understanding </w:t>
      </w:r>
      <w:r w:rsidR="00436CD0" w:rsidRPr="00C44D8C">
        <w:rPr>
          <w:rFonts w:asciiTheme="minorHAnsi" w:eastAsia="Calibri" w:hAnsiTheme="minorHAnsi" w:cs="Calibri"/>
          <w:sz w:val="22"/>
          <w:szCs w:val="22"/>
          <w:lang w:eastAsia="zh-CN"/>
        </w:rPr>
        <w:t xml:space="preserve">the </w:t>
      </w:r>
      <w:r w:rsidR="00531DF5">
        <w:rPr>
          <w:rFonts w:asciiTheme="minorHAnsi" w:eastAsia="Calibri" w:hAnsiTheme="minorHAnsi" w:cs="Calibri"/>
          <w:sz w:val="22"/>
          <w:szCs w:val="22"/>
          <w:lang w:eastAsia="zh-CN"/>
        </w:rPr>
        <w:t xml:space="preserve">role of the </w:t>
      </w:r>
      <w:r w:rsidR="00436CD0" w:rsidRPr="00C44D8C">
        <w:rPr>
          <w:rFonts w:asciiTheme="minorHAnsi" w:eastAsia="Calibri" w:hAnsiTheme="minorHAnsi" w:cs="Calibri"/>
          <w:sz w:val="22"/>
          <w:szCs w:val="22"/>
          <w:lang w:eastAsia="zh-CN"/>
        </w:rPr>
        <w:t>microbial cell surface in helping cells at</w:t>
      </w:r>
      <w:r w:rsidR="000D08C1">
        <w:rPr>
          <w:rFonts w:asciiTheme="minorHAnsi" w:eastAsia="Calibri" w:hAnsiTheme="minorHAnsi" w:cs="Calibri"/>
          <w:sz w:val="22"/>
          <w:szCs w:val="22"/>
          <w:lang w:eastAsia="zh-CN"/>
        </w:rPr>
        <w:t>tach better to abiotic surfaces</w:t>
      </w:r>
      <w:r w:rsidR="00531DF5">
        <w:rPr>
          <w:rFonts w:asciiTheme="minorHAnsi" w:eastAsia="Calibri" w:hAnsiTheme="minorHAnsi" w:cs="Calibri"/>
          <w:sz w:val="22"/>
          <w:szCs w:val="22"/>
          <w:lang w:eastAsia="zh-CN"/>
        </w:rPr>
        <w:t xml:space="preserve"> is important</w:t>
      </w:r>
      <w:r w:rsidR="000D08C1">
        <w:rPr>
          <w:rFonts w:asciiTheme="minorHAnsi" w:eastAsia="Calibri" w:hAnsiTheme="minorHAnsi" w:cs="Calibri"/>
          <w:sz w:val="22"/>
          <w:szCs w:val="22"/>
          <w:lang w:eastAsia="zh-CN"/>
        </w:rPr>
        <w:t>.</w:t>
      </w:r>
    </w:p>
    <w:p w14:paraId="48802349" w14:textId="7981CF26" w:rsidR="00436CD0" w:rsidRPr="00C44D8C" w:rsidRDefault="00436CD0" w:rsidP="00436CD0">
      <w:pPr>
        <w:spacing w:line="360" w:lineRule="auto"/>
        <w:ind w:firstLine="720"/>
        <w:rPr>
          <w:rFonts w:asciiTheme="minorHAnsi" w:eastAsia="Calibri" w:hAnsiTheme="minorHAnsi" w:cs="Calibri"/>
          <w:sz w:val="22"/>
          <w:szCs w:val="22"/>
          <w:lang w:eastAsia="zh-CN"/>
        </w:rPr>
      </w:pPr>
      <w:r w:rsidRPr="00C44D8C">
        <w:rPr>
          <w:rFonts w:asciiTheme="minorHAnsi" w:eastAsia="Calibri" w:hAnsiTheme="minorHAnsi" w:cs="Calibri"/>
          <w:sz w:val="22"/>
          <w:szCs w:val="22"/>
          <w:lang w:eastAsia="zh-CN"/>
        </w:rPr>
        <w:t xml:space="preserve">Important </w:t>
      </w:r>
      <w:r w:rsidR="00531DF5">
        <w:rPr>
          <w:rFonts w:asciiTheme="minorHAnsi" w:eastAsia="Calibri" w:hAnsiTheme="minorHAnsi" w:cs="Calibri"/>
          <w:sz w:val="22"/>
          <w:szCs w:val="22"/>
          <w:lang w:eastAsia="zh-CN"/>
        </w:rPr>
        <w:t xml:space="preserve">modifications to the cell surface </w:t>
      </w:r>
      <w:r w:rsidRPr="00C44D8C">
        <w:rPr>
          <w:rFonts w:asciiTheme="minorHAnsi" w:eastAsia="Calibri" w:hAnsiTheme="minorHAnsi" w:cs="Calibri"/>
          <w:sz w:val="22"/>
          <w:szCs w:val="22"/>
          <w:lang w:eastAsia="zh-CN"/>
        </w:rPr>
        <w:t>during biofilm formation</w:t>
      </w:r>
      <w:r w:rsidRPr="00C44D8C">
        <w:rPr>
          <w:rFonts w:asciiTheme="minorHAnsi" w:eastAsia="Calibri" w:hAnsiTheme="minorHAnsi" w:cs="Calibri"/>
          <w:color w:val="000000"/>
          <w:sz w:val="22"/>
          <w:szCs w:val="22"/>
          <w:lang w:eastAsia="zh-CN"/>
        </w:rPr>
        <w:t xml:space="preserve"> have been characterised by combining X-ray photoelectron spectroscopy (XPS), Fourier-transform infrared spectroscopy (FTIR), zeta potential analysis, and fluorescently staining cell surface components </w:t>
      </w:r>
      <w:r w:rsidR="000D08C1">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"Mukherjee, J., Karunakaran, E., Biggs", "given" : "C.A.", "non-dropping-particle" : "", "parse-names" : false, "suffix" : "" } ], "container-title" : "Biofouling", "id" : "ITEM-1",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"id" : "ITEM-2",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"ITEM-2",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"id" : "ITEM-3",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"ITEM-3",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"mendeley" : { "formattedCitation" : "[89,92,102]", "plainTextFormattedCitation" : "[89,92,102]", "previouslyFormattedCitation" : "[89,92,102]" }, "properties" : { "noteIndex" : 0 }, "schema" : "https://github.com/citation-style-language/schema/raw/master/csl-citation.json" }</w:instrText>
      </w:r>
      <w:r w:rsidR="000D08C1">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[89,92,102]</w:t>
      </w:r>
      <w:r w:rsidR="000D08C1">
        <w:rPr>
          <w:rFonts w:asciiTheme="minorHAnsi" w:eastAsia="Calibri" w:hAnsiTheme="minorHAnsi" w:cs="Calibri"/>
          <w:color w:val="000000"/>
          <w:sz w:val="22"/>
          <w:szCs w:val="22"/>
          <w:lang w:eastAsia="zh-CN"/>
        </w:rPr>
        <w:fldChar w:fldCharType="end"/>
      </w:r>
      <w:r w:rsidR="000D08C1">
        <w:rPr>
          <w:rFonts w:asciiTheme="minorHAnsi" w:eastAsia="Calibri" w:hAnsiTheme="minorHAnsi" w:cs="Calibri"/>
          <w:color w:val="000000"/>
          <w:sz w:val="22"/>
          <w:szCs w:val="22"/>
          <w:lang w:eastAsia="zh-CN"/>
        </w:rPr>
        <w:t xml:space="preserve">. </w:t>
      </w:r>
      <w:r w:rsidRPr="001D078B">
        <w:rPr>
          <w:rFonts w:asciiTheme="minorHAnsi" w:eastAsia="Calibri" w:hAnsiTheme="minorHAnsi" w:cs="Calibri"/>
          <w:sz w:val="22"/>
          <w:szCs w:val="22"/>
          <w:lang w:eastAsia="zh-CN"/>
        </w:rPr>
        <w:t xml:space="preserve">Mukherjee </w:t>
      </w:r>
      <w:r w:rsidRPr="001D078B">
        <w:rPr>
          <w:rFonts w:asciiTheme="minorHAnsi" w:eastAsia="Calibri" w:hAnsiTheme="minorHAnsi" w:cs="Calibri"/>
          <w:i/>
          <w:iCs/>
          <w:sz w:val="22"/>
          <w:szCs w:val="22"/>
          <w:lang w:eastAsia="zh-CN"/>
        </w:rPr>
        <w:t>et al.</w:t>
      </w:r>
      <w:r w:rsidR="001D078B">
        <w:rPr>
          <w:rFonts w:asciiTheme="minorHAnsi" w:eastAsia="Calibri" w:hAnsiTheme="minorHAnsi" w:cs="Calibri"/>
          <w:sz w:val="22"/>
          <w:szCs w:val="22"/>
          <w:lang w:eastAsia="zh-CN"/>
        </w:rPr>
        <w:t xml:space="preserve"> (</w:t>
      </w:r>
      <w:r w:rsidRPr="001D078B">
        <w:rPr>
          <w:rFonts w:asciiTheme="minorHAnsi" w:eastAsia="Calibri" w:hAnsiTheme="minorHAnsi" w:cs="Calibri"/>
          <w:sz w:val="22"/>
          <w:szCs w:val="22"/>
          <w:lang w:eastAsia="zh-CN"/>
        </w:rPr>
        <w:t>2012</w:t>
      </w:r>
      <w:r w:rsidR="001D078B">
        <w:rPr>
          <w:rFonts w:asciiTheme="minorHAnsi" w:eastAsia="Calibri" w:hAnsiTheme="minorHAnsi" w:cs="Calibri"/>
          <w:sz w:val="22"/>
          <w:szCs w:val="22"/>
          <w:lang w:eastAsia="zh-CN"/>
        </w:rPr>
        <w:t>)</w:t>
      </w:r>
      <w:r w:rsidRPr="00C44D8C">
        <w:rPr>
          <w:rFonts w:asciiTheme="minorHAnsi" w:eastAsia="Calibri" w:hAnsiTheme="minorHAnsi" w:cs="Calibri"/>
          <w:sz w:val="22"/>
          <w:szCs w:val="22"/>
          <w:lang w:eastAsia="zh-CN"/>
        </w:rPr>
        <w:t xml:space="preserve"> used FTIR, zeta potential measurements, XPS, and proteomics to reveal that an increase in surface polysaccharide production and a decreased surface hydrophobicity and surface charge was important for biofilm formation in </w:t>
      </w:r>
      <w:r w:rsidR="001D078B">
        <w:rPr>
          <w:rFonts w:asciiTheme="minorHAnsi" w:eastAsia="Calibri" w:hAnsiTheme="minorHAnsi" w:cs="Calibri"/>
          <w:i/>
          <w:iCs/>
          <w:sz w:val="22"/>
          <w:szCs w:val="22"/>
          <w:lang w:eastAsia="zh-CN"/>
        </w:rPr>
        <w:t>Bacillus cereus</w:t>
      </w:r>
      <w:r w:rsidRPr="00C44D8C">
        <w:rPr>
          <w:rFonts w:asciiTheme="minorHAnsi" w:eastAsia="Calibri" w:hAnsiTheme="minorHAnsi" w:cs="Calibri"/>
          <w:sz w:val="22"/>
          <w:szCs w:val="22"/>
          <w:lang w:eastAsia="zh-CN"/>
        </w:rPr>
        <w:t xml:space="preserve">. The increased production of surface-exposed proteins and in surface hydrophobicity was also identified for </w:t>
      </w:r>
      <w:r w:rsidRPr="00C44D8C">
        <w:rPr>
          <w:rFonts w:asciiTheme="minorHAnsi" w:eastAsia="Calibri" w:hAnsiTheme="minorHAnsi" w:cs="Calibri"/>
          <w:i/>
          <w:iCs/>
          <w:sz w:val="22"/>
          <w:szCs w:val="22"/>
          <w:lang w:eastAsia="zh-CN"/>
        </w:rPr>
        <w:t xml:space="preserve">Escherichia coli </w:t>
      </w:r>
      <w:r w:rsidRPr="00C44D8C">
        <w:rPr>
          <w:rFonts w:asciiTheme="minorHAnsi" w:eastAsia="Calibri" w:hAnsiTheme="minorHAnsi" w:cs="Calibri"/>
          <w:sz w:val="22"/>
          <w:szCs w:val="22"/>
          <w:lang w:eastAsia="zh-CN"/>
        </w:rPr>
        <w:t xml:space="preserve">during biofilm formation </w:t>
      </w:r>
      <w:r w:rsidR="001D078B">
        <w:rPr>
          <w:rFonts w:asciiTheme="minorHAnsi" w:eastAsia="Calibri" w:hAnsiTheme="minorHAnsi" w:cs="Calibri"/>
          <w:sz w:val="22"/>
          <w:szCs w:val="22"/>
          <w:lang w:eastAsia="zh-CN"/>
        </w:rPr>
        <w:t xml:space="preserve">[89]. </w:t>
      </w:r>
      <w:r w:rsidRPr="001D078B">
        <w:rPr>
          <w:rFonts w:asciiTheme="minorHAnsi" w:eastAsia="Calibri" w:hAnsiTheme="minorHAnsi" w:cs="Calibri"/>
          <w:sz w:val="22"/>
          <w:szCs w:val="22"/>
          <w:lang w:eastAsia="zh-CN"/>
        </w:rPr>
        <w:t xml:space="preserve">Koerdt </w:t>
      </w:r>
      <w:r w:rsidRPr="001D078B">
        <w:rPr>
          <w:rFonts w:asciiTheme="minorHAnsi" w:eastAsia="Calibri" w:hAnsiTheme="minorHAnsi" w:cs="Calibri"/>
          <w:i/>
          <w:iCs/>
          <w:sz w:val="22"/>
          <w:szCs w:val="22"/>
          <w:lang w:eastAsia="zh-CN"/>
        </w:rPr>
        <w:t xml:space="preserve">et al. </w:t>
      </w:r>
      <w:r w:rsidRPr="001D078B">
        <w:rPr>
          <w:rFonts w:asciiTheme="minorHAnsi" w:eastAsia="Calibri" w:hAnsiTheme="minorHAnsi" w:cs="Calibri"/>
          <w:sz w:val="22"/>
          <w:szCs w:val="22"/>
          <w:lang w:eastAsia="zh-CN"/>
        </w:rPr>
        <w:t>(2011) also used FTIR and XPS to reveal that the overexpression of surface carbohydrate functional groups and surf</w:t>
      </w:r>
      <w:r w:rsidRPr="00C44D8C">
        <w:rPr>
          <w:rFonts w:asciiTheme="minorHAnsi" w:eastAsia="Calibri" w:hAnsiTheme="minorHAnsi" w:cs="Calibri"/>
          <w:sz w:val="22"/>
          <w:szCs w:val="22"/>
          <w:lang w:eastAsia="zh-CN"/>
        </w:rPr>
        <w:t xml:space="preserve">ace polysaccharide moieties were important for </w:t>
      </w:r>
      <w:r w:rsidRPr="00C44D8C">
        <w:rPr>
          <w:rFonts w:asciiTheme="minorHAnsi" w:eastAsia="Calibri" w:hAnsiTheme="minorHAnsi" w:cs="Calibri"/>
          <w:i/>
          <w:iCs/>
          <w:sz w:val="22"/>
          <w:szCs w:val="22"/>
          <w:lang w:eastAsia="zh-CN"/>
        </w:rPr>
        <w:t xml:space="preserve">S. acidocaldarius </w:t>
      </w:r>
      <w:r w:rsidRPr="00C44D8C">
        <w:rPr>
          <w:rFonts w:asciiTheme="minorHAnsi" w:eastAsia="Calibri" w:hAnsiTheme="minorHAnsi" w:cs="Calibri"/>
          <w:sz w:val="22"/>
          <w:szCs w:val="22"/>
          <w:lang w:eastAsia="zh-CN"/>
        </w:rPr>
        <w:t xml:space="preserve">and </w:t>
      </w:r>
      <w:r w:rsidRPr="00C44D8C">
        <w:rPr>
          <w:rFonts w:asciiTheme="minorHAnsi" w:eastAsia="Calibri" w:hAnsiTheme="minorHAnsi" w:cs="Calibri"/>
          <w:i/>
          <w:iCs/>
          <w:sz w:val="22"/>
          <w:szCs w:val="22"/>
          <w:lang w:eastAsia="zh-CN"/>
        </w:rPr>
        <w:t xml:space="preserve">S. solfataricus </w:t>
      </w:r>
      <w:r w:rsidRPr="00C44D8C">
        <w:rPr>
          <w:rFonts w:asciiTheme="minorHAnsi" w:eastAsia="Calibri" w:hAnsiTheme="minorHAnsi" w:cs="Calibri"/>
          <w:sz w:val="22"/>
          <w:szCs w:val="22"/>
          <w:lang w:eastAsia="zh-CN"/>
        </w:rPr>
        <w:t>during biofilm formation</w:t>
      </w:r>
      <w:r w:rsidR="001D078B">
        <w:rPr>
          <w:rFonts w:asciiTheme="minorHAnsi" w:eastAsia="Calibri" w:hAnsiTheme="minorHAnsi" w:cs="Calibri"/>
          <w:sz w:val="22"/>
          <w:szCs w:val="22"/>
          <w:lang w:eastAsia="zh-CN"/>
        </w:rPr>
        <w:t xml:space="preserve"> </w:t>
      </w:r>
      <w:r w:rsidR="001D078B">
        <w:rPr>
          <w:rFonts w:asciiTheme="minorHAnsi" w:eastAsia="Calibri" w:hAnsiTheme="minorHAnsi" w:cs="Calibri"/>
          <w:sz w:val="22"/>
          <w:szCs w:val="22"/>
          <w:lang w:eastAsia="zh-CN"/>
        </w:rPr>
        <w:fldChar w:fldCharType="begin" w:fldLock="1"/>
      </w:r>
      <w:r w:rsidR="00AB0CFE">
        <w:rPr>
          <w:rFonts w:asciiTheme="minorHAnsi" w:eastAsia="Calibri" w:hAnsiTheme="minorHAnsi" w:cs="Calibri"/>
          <w:sz w:val="22"/>
          <w:szCs w:val="22"/>
          <w:lang w:eastAsia="zh-CN"/>
        </w:rPr>
        <w:instrText>ADDIN CSL_CITATION { "citationItems" : [ { "id" : "ITEM-1",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"ITEM-1",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"mendeley" : { "formattedCitation" : "[89]", "plainTextFormattedCitation" : "[89]", "previouslyFormattedCitation" : "[89]" }, "properties" : { "noteIndex" : 0 }, "schema" : "https://github.com/citation-style-language/schema/raw/master/csl-citation.json" }</w:instrText>
      </w:r>
      <w:r w:rsidR="001D078B">
        <w:rPr>
          <w:rFonts w:asciiTheme="minorHAnsi" w:eastAsia="Calibri" w:hAnsiTheme="minorHAnsi" w:cs="Calibri"/>
          <w:sz w:val="22"/>
          <w:szCs w:val="22"/>
          <w:lang w:eastAsia="zh-CN"/>
        </w:rPr>
        <w:fldChar w:fldCharType="separate"/>
      </w:r>
      <w:r w:rsidR="00BB3D6F" w:rsidRPr="00BB3D6F">
        <w:rPr>
          <w:rFonts w:asciiTheme="minorHAnsi" w:eastAsia="Calibri" w:hAnsiTheme="minorHAnsi" w:cs="Calibri"/>
          <w:noProof/>
          <w:sz w:val="22"/>
          <w:szCs w:val="22"/>
          <w:lang w:eastAsia="zh-CN"/>
        </w:rPr>
        <w:t>[89]</w:t>
      </w:r>
      <w:r w:rsidR="001D078B">
        <w:rPr>
          <w:rFonts w:asciiTheme="minorHAnsi" w:eastAsia="Calibri" w:hAnsiTheme="minorHAnsi" w:cs="Calibri"/>
          <w:sz w:val="22"/>
          <w:szCs w:val="22"/>
          <w:lang w:eastAsia="zh-CN"/>
        </w:rPr>
        <w:fldChar w:fldCharType="end"/>
      </w:r>
      <w:r w:rsidRPr="00C44D8C">
        <w:rPr>
          <w:rFonts w:asciiTheme="minorHAnsi" w:eastAsia="Calibri" w:hAnsiTheme="minorHAnsi" w:cs="Calibri"/>
          <w:sz w:val="22"/>
          <w:szCs w:val="22"/>
          <w:lang w:eastAsia="zh-CN"/>
        </w:rPr>
        <w:t>.</w:t>
      </w:r>
    </w:p>
    <w:p w14:paraId="76D68A7F" w14:textId="378DA1B5" w:rsidR="00436CD0" w:rsidRPr="00C44D8C" w:rsidRDefault="0036261B" w:rsidP="00224A2D">
      <w:pPr>
        <w:spacing w:line="360" w:lineRule="auto"/>
        <w:ind w:firstLine="720"/>
        <w:rPr>
          <w:rFonts w:asciiTheme="minorHAnsi" w:eastAsia="Arial" w:hAnsiTheme="minorHAnsi" w:cs="Dutch801BT-Roman"/>
          <w:color w:val="000000"/>
          <w:sz w:val="22"/>
          <w:szCs w:val="22"/>
          <w:lang w:eastAsia="zh-CN"/>
        </w:rPr>
      </w:pPr>
      <w:r>
        <w:rPr>
          <w:rFonts w:asciiTheme="minorHAnsi" w:eastAsia="Calibri" w:hAnsiTheme="minorHAnsi" w:cs="Calibri"/>
          <w:color w:val="000000"/>
          <w:sz w:val="22"/>
          <w:szCs w:val="22"/>
          <w:lang w:eastAsia="en-GB"/>
        </w:rPr>
        <w:t>It is understood that c</w:t>
      </w:r>
      <w:r w:rsidRPr="00C44D8C">
        <w:rPr>
          <w:rFonts w:asciiTheme="minorHAnsi" w:eastAsia="Calibri" w:hAnsiTheme="minorHAnsi" w:cs="Calibri"/>
          <w:color w:val="000000"/>
          <w:sz w:val="22"/>
          <w:szCs w:val="22"/>
          <w:lang w:eastAsia="en-GB"/>
        </w:rPr>
        <w:t xml:space="preserve">ells of </w:t>
      </w:r>
      <w:r w:rsidRPr="00C44D8C">
        <w:rPr>
          <w:rFonts w:asciiTheme="minorHAnsi" w:eastAsia="Calibri" w:hAnsiTheme="minorHAnsi" w:cs="Calibri"/>
          <w:i/>
          <w:color w:val="000000"/>
          <w:sz w:val="22"/>
          <w:szCs w:val="22"/>
          <w:lang w:eastAsia="en-GB"/>
        </w:rPr>
        <w:t xml:space="preserve">Methanosarcina </w:t>
      </w:r>
      <w:r w:rsidRPr="00C44D8C">
        <w:rPr>
          <w:rFonts w:asciiTheme="minorHAnsi" w:eastAsia="Calibri" w:hAnsiTheme="minorHAnsi" w:cs="Calibri"/>
          <w:color w:val="000000"/>
          <w:sz w:val="22"/>
          <w:szCs w:val="22"/>
          <w:lang w:eastAsia="en-GB"/>
        </w:rPr>
        <w:t>are typically enveloped by an external heteropolysaccharide matrix consisting of methanochondroitin, which</w:t>
      </w:r>
      <w:r w:rsidRPr="00C44D8C">
        <w:rPr>
          <w:rFonts w:asciiTheme="minorHAnsi" w:eastAsia="Calibri" w:hAnsiTheme="minorHAnsi" w:cs="Calibri"/>
          <w:i/>
          <w:color w:val="000000"/>
          <w:sz w:val="22"/>
          <w:szCs w:val="22"/>
          <w:lang w:eastAsia="en-GB"/>
        </w:rPr>
        <w:t xml:space="preserve"> </w:t>
      </w:r>
      <w:r w:rsidRPr="00C44D8C">
        <w:rPr>
          <w:rFonts w:asciiTheme="minorHAnsi" w:eastAsia="Calibri" w:hAnsiTheme="minorHAnsi" w:cs="Calibri"/>
          <w:color w:val="000000"/>
          <w:sz w:val="22"/>
          <w:szCs w:val="22"/>
          <w:lang w:eastAsia="en-GB"/>
        </w:rPr>
        <w:t xml:space="preserve">is responsible for facilitating cell-cell and cell-abiotic surface adhesion </w:t>
      </w:r>
      <w:r>
        <w:rPr>
          <w:rFonts w:asciiTheme="minorHAnsi" w:eastAsia="Calibri" w:hAnsiTheme="minorHAnsi" w:cs="Calibri"/>
          <w:color w:val="000000"/>
          <w:sz w:val="22"/>
          <w:szCs w:val="22"/>
          <w:lang w:eastAsia="en-GB"/>
        </w:rPr>
        <w:fldChar w:fldCharType="begin" w:fldLock="1"/>
      </w:r>
      <w:r w:rsidR="00F6573E">
        <w:rPr>
          <w:rFonts w:asciiTheme="minorHAnsi" w:eastAsia="Calibri" w:hAnsiTheme="minorHAnsi" w:cs="Calibri"/>
          <w:color w:val="000000"/>
          <w:sz w:val="22"/>
          <w:szCs w:val="22"/>
          <w:lang w:eastAsia="en-GB"/>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"id" : "ITEM-2", "itemData" : { "DOI" : "10.1016/j.colsurfb.2014.12.035", "ISSN" : "09277765", "author" : [ { "dropping-particle" : "", "family" : "Milkevych", "given" : "V.", "non-dropping-particle" : "", "parse-names" : false, "suffix" : "" }, { "dropping-particle" : "", "family" : "Donose", "given" : "B.C.", "non-dropping-particle" : "", "parse-names" : false, "suffix" : "" }, { "dropping-particle" : "", "family" : "Juste-Poinapen", "given" : "N.", "non-dropping-particle" : "", "parse-names" : false, "suffix" : "" }, { "dropping-particle" : "", "family" : "Batstone", "given" : "D.J.", "non-dropping-particle" : "", "parse-names" : false, "suffix" : "" } ], "container-title" : "Colloids and Surfaces B: Biointerfaces", "id" : "ITEM-2", "issued" : { "date-parts" : [ [ "2015" ] ] }, "page" : "303-312", "publisher" : "Elsevier B.V.", "title" : "Mechanical and cell-to-cell adhesive properties of aggregated Methanosarcina", "type" : "article-journal", "volume" : "126" }, "uris" : [ "http://www.mendeley.com/documents/?uuid=68b9cc12-02de-426e-a6b7-9d3bf7b064c3" ] } ], "mendeley" : { "formattedCitation" : "[19,53]", "plainTextFormattedCitation" : "[19,53]", "previouslyFormattedCitation" : "[19,53]" }, "properties" : { "noteIndex" : 0 }, "schema" : "https://github.com/citation-style-language/schema/raw/master/csl-citation.json" }</w:instrText>
      </w:r>
      <w:r>
        <w:rPr>
          <w:rFonts w:asciiTheme="minorHAnsi" w:eastAsia="Calibri" w:hAnsiTheme="minorHAnsi" w:cs="Calibri"/>
          <w:color w:val="000000"/>
          <w:sz w:val="22"/>
          <w:szCs w:val="22"/>
          <w:lang w:eastAsia="en-GB"/>
        </w:rPr>
        <w:fldChar w:fldCharType="separate"/>
      </w:r>
      <w:r w:rsidRPr="003250CB">
        <w:rPr>
          <w:rFonts w:asciiTheme="minorHAnsi" w:eastAsia="Calibri" w:hAnsiTheme="minorHAnsi" w:cs="Calibri"/>
          <w:noProof/>
          <w:color w:val="000000"/>
          <w:sz w:val="22"/>
          <w:szCs w:val="22"/>
          <w:lang w:eastAsia="en-GB"/>
        </w:rPr>
        <w:t>[19,53]</w:t>
      </w:r>
      <w:r>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 xml:space="preserve">. The production of this exopolysaccharide layer is regulated by the cell in response to the external environment </w:t>
      </w:r>
      <w:r>
        <w:rPr>
          <w:rFonts w:asciiTheme="minorHAnsi" w:eastAsia="Calibri" w:hAnsiTheme="minorHAnsi" w:cs="Calibri"/>
          <w:color w:val="000000"/>
          <w:sz w:val="22"/>
          <w:szCs w:val="22"/>
          <w:lang w:eastAsia="en-GB"/>
        </w:rPr>
        <w:t xml:space="preserve"> </w:t>
      </w:r>
      <w:r w:rsidRPr="00C44D8C">
        <w:rPr>
          <w:rFonts w:asciiTheme="minorHAnsi" w:eastAsia="Calibri" w:hAnsiTheme="minorHAnsi" w:cs="Calibri"/>
          <w:color w:val="000000"/>
          <w:sz w:val="22"/>
          <w:szCs w:val="22"/>
          <w:lang w:eastAsia="en-GB"/>
        </w:rPr>
        <w:t>and growth conditions</w:t>
      </w:r>
      <w:r>
        <w:rPr>
          <w:rFonts w:asciiTheme="minorHAnsi" w:eastAsia="Calibri" w:hAnsiTheme="minorHAnsi" w:cs="Calibri"/>
          <w:color w:val="000000"/>
          <w:sz w:val="22"/>
          <w:szCs w:val="22"/>
          <w:lang w:eastAsia="en-GB"/>
        </w:rPr>
        <w:t xml:space="preserve"> </w:t>
      </w:r>
      <w:r>
        <w:rPr>
          <w:rFonts w:asciiTheme="minorHAnsi" w:eastAsia="Calibri" w:hAnsiTheme="minorHAnsi" w:cs="Calibri"/>
          <w:color w:val="000000"/>
          <w:sz w:val="22"/>
          <w:szCs w:val="22"/>
          <w:lang w:eastAsia="en-GB"/>
        </w:rPr>
        <w:fldChar w:fldCharType="begin" w:fldLock="1"/>
      </w:r>
      <w:r w:rsidR="00AF47D2">
        <w:rPr>
          <w:rFonts w:asciiTheme="minorHAnsi" w:eastAsia="Calibri" w:hAnsiTheme="minorHAnsi" w:cs="Calibri"/>
          <w:color w:val="000000"/>
          <w:sz w:val="22"/>
          <w:szCs w:val="22"/>
          <w:lang w:eastAsia="en-GB"/>
        </w:rPr>
        <w:instrText>ADDIN CSL_CITATION { "citationItems" : [ { "id" : "ITEM-1", "itemData" : { "ISSN" : "0099-2240", "PMID" : "16349092", "abstract" : "The effect of medium osmolarity on the morphology and growth of Methanosarcina barkeri, Methanosarcina thermophila, Methanosarcina mazei, Methanosarcina vacuolata, and Methanosarcina acetivorans was examined. Each strain was adapted for growth in NaCl concentrations ranging from 0.05 to 1.0 M. Methanosarcina spp. isolated from both marine and nonmarine sources exhibited similar growth characteristics at all NaCl concentrations tested, demonstrating that these species are capable of adapting to a similar range of medium osmolarities. Concomitant with the adaptation in 0.4 to 1.0 M NaCl, all strains disaggregated and grew as single cells rather than in the characteristic multicellular aggregates. Aggregated cells had a methanochondroitin outer layer, while disaggregated single cells lacked the outer layer but retained the protein S-layer adjacent to the cell membrane. Synthesis of glucuronic acid, a major component of methanochondroitin, was reduced 20-fold in the single-cell form of M. barkeri when compared with synthesis in aggregated cells. Strains with the methanochondroitin outer cell layer exhibited enhanced stability at low (&lt;0.2 M NaCl) osmolarity and grew at higher temperatures. Disaggregated cells could be converted back to aggregated cells by gradually readapting cultures to lower NaCl (&lt;0.2 M) and Mg (&lt;0.005 M) concentrations. Disaggregated Methanosarcina spp. could also be colonized and replica plated with greater than 95% recovery rates on solidified agar basal medium that contained 0.4 to 0.6 M NaCl and either trimethylamine, methanol, or acetate as the substrate. The ability to disaggregate and grow Methanosarcina spp. as viable, detergent-sensitive, single cells on agar medium makes these species amenable to mutant selection and screening for genetic studies and enables cells to be gently lysed for the isolation of intact genetic material.", "author" : [ { "dropping-particle" : "", "family" : "Sowers", "given" : "K R", "non-dropping-particle" : "", "parse-names" : false, "suffix" : "" }, { "dropping-particle" : "", "family" : "Boone", "given" : "J E", "non-dropping-particle" : "", "parse-names" : false, "suffix" : "" }, { "dropping-particle" : "", "family" : "Gunsalus", "given" : "R P", "non-dropping-particle" : "", "parse-names" : false, "suffix" : "" } ], "container-title" : "Applied and environmental microbiology", "id" : "ITEM-1", "issue" : "11", "issued" : { "date-parts" : [ [ "1993", "11" ] ] }, "page" : "3832-9", "title" : "Disaggregation of Methanosarcina spp. and Growth as Single Cells at Elevated Osmolarity.", "type" : "article-journal", "volume" : "59" }, "uris" : [ "http://www.mendeley.com/documents/?uuid=8579b9ba-6739-43e3-9fbd-a40c70950e0e" ] } ], "mendeley" : { "formattedCitation" : "[61]", "plainTextFormattedCitation" : "[61]", "previouslyFormattedCitation" : "[61]" }, "properties" : { "noteIndex" : 0 }, "schema" : "https://github.com/citation-style-language/schema/raw/master/csl-citation.json" }</w:instrText>
      </w:r>
      <w:r>
        <w:rPr>
          <w:rFonts w:asciiTheme="minorHAnsi" w:eastAsia="Calibri" w:hAnsiTheme="minorHAnsi" w:cs="Calibri"/>
          <w:color w:val="000000"/>
          <w:sz w:val="22"/>
          <w:szCs w:val="22"/>
          <w:lang w:eastAsia="en-GB"/>
        </w:rPr>
        <w:fldChar w:fldCharType="separate"/>
      </w:r>
      <w:r w:rsidR="00AF47D2" w:rsidRPr="00AF47D2">
        <w:rPr>
          <w:rFonts w:asciiTheme="minorHAnsi" w:eastAsia="Calibri" w:hAnsiTheme="minorHAnsi" w:cs="Calibri"/>
          <w:noProof/>
          <w:color w:val="000000"/>
          <w:sz w:val="22"/>
          <w:szCs w:val="22"/>
          <w:lang w:eastAsia="en-GB"/>
        </w:rPr>
        <w:t>[61]</w:t>
      </w:r>
      <w:r>
        <w:rPr>
          <w:rFonts w:asciiTheme="minorHAnsi" w:eastAsia="Calibri" w:hAnsiTheme="minorHAnsi" w:cs="Calibri"/>
          <w:color w:val="000000"/>
          <w:sz w:val="22"/>
          <w:szCs w:val="22"/>
          <w:lang w:eastAsia="en-GB"/>
        </w:rPr>
        <w:fldChar w:fldCharType="end"/>
      </w:r>
      <w:r w:rsidRPr="00C44D8C">
        <w:rPr>
          <w:rFonts w:asciiTheme="minorHAnsi" w:eastAsia="Calibri" w:hAnsiTheme="minorHAnsi" w:cs="Calibri"/>
          <w:color w:val="000000"/>
          <w:sz w:val="22"/>
          <w:szCs w:val="22"/>
          <w:lang w:eastAsia="en-GB"/>
        </w:rPr>
        <w:t>.</w:t>
      </w:r>
      <w:r>
        <w:rPr>
          <w:rFonts w:asciiTheme="minorHAnsi" w:eastAsia="Calibri" w:hAnsiTheme="minorHAnsi" w:cs="Calibri"/>
          <w:color w:val="000000"/>
          <w:sz w:val="22"/>
          <w:szCs w:val="22"/>
          <w:lang w:eastAsia="en-GB"/>
        </w:rPr>
        <w:t xml:space="preserve"> Therefore, </w:t>
      </w:r>
      <w:r>
        <w:rPr>
          <w:rFonts w:asciiTheme="minorHAnsi" w:eastAsia="Calibri" w:hAnsiTheme="minorHAnsi" w:cs="Calibri"/>
          <w:color w:val="000000"/>
          <w:sz w:val="22"/>
          <w:szCs w:val="22"/>
          <w:lang w:eastAsia="zh-CN"/>
        </w:rPr>
        <w:t>t</w:t>
      </w:r>
      <w:r w:rsidR="00436CD0" w:rsidRPr="00C44D8C">
        <w:rPr>
          <w:rFonts w:asciiTheme="minorHAnsi" w:eastAsia="Calibri" w:hAnsiTheme="minorHAnsi" w:cs="Calibri"/>
          <w:color w:val="000000"/>
          <w:sz w:val="22"/>
          <w:szCs w:val="22"/>
          <w:lang w:eastAsia="zh-CN"/>
        </w:rPr>
        <w:t xml:space="preserve">his chapter aims to examine </w:t>
      </w:r>
      <w:r w:rsidR="00436CD0" w:rsidRPr="00C44D8C">
        <w:rPr>
          <w:rFonts w:asciiTheme="minorHAnsi" w:eastAsia="Arial" w:hAnsiTheme="minorHAnsi" w:cs="Dutch801BT-Roman"/>
          <w:color w:val="000000"/>
          <w:sz w:val="22"/>
          <w:szCs w:val="22"/>
          <w:lang w:eastAsia="zh-CN"/>
        </w:rPr>
        <w:t xml:space="preserve">whether </w:t>
      </w:r>
      <w:r w:rsidR="00A81F24">
        <w:rPr>
          <w:rFonts w:asciiTheme="minorHAnsi" w:eastAsia="Arial" w:hAnsiTheme="minorHAnsi" w:cs="Dutch801BT-Roman"/>
          <w:color w:val="000000"/>
          <w:sz w:val="22"/>
          <w:szCs w:val="22"/>
          <w:lang w:eastAsia="zh-CN"/>
        </w:rPr>
        <w:t xml:space="preserve">important cell surface changes are involved during biofilm formation in </w:t>
      </w:r>
      <w:r w:rsidR="00436CD0" w:rsidRPr="00C44D8C">
        <w:rPr>
          <w:rFonts w:asciiTheme="minorHAnsi" w:eastAsia="Arial" w:hAnsiTheme="minorHAnsi" w:cs="Dutch801BT-Italic"/>
          <w:i/>
          <w:iCs/>
          <w:color w:val="000000"/>
          <w:sz w:val="22"/>
          <w:szCs w:val="22"/>
          <w:lang w:eastAsia="zh-CN"/>
        </w:rPr>
        <w:t xml:space="preserve">M. barkeri </w:t>
      </w:r>
      <w:r w:rsidR="00436CD0" w:rsidRPr="00C44D8C">
        <w:rPr>
          <w:rFonts w:asciiTheme="minorHAnsi" w:eastAsia="Arial" w:hAnsiTheme="minorHAnsi" w:cs="Dutch801BT-Roman"/>
          <w:color w:val="000000"/>
          <w:sz w:val="22"/>
          <w:szCs w:val="22"/>
          <w:lang w:eastAsia="zh-CN"/>
        </w:rPr>
        <w:t>u</w:t>
      </w:r>
      <w:r w:rsidR="00A81F24">
        <w:rPr>
          <w:rFonts w:asciiTheme="minorHAnsi" w:eastAsia="Arial" w:hAnsiTheme="minorHAnsi" w:cs="Dutch801BT-Roman"/>
          <w:color w:val="000000"/>
          <w:sz w:val="22"/>
          <w:szCs w:val="22"/>
          <w:lang w:eastAsia="zh-CN"/>
        </w:rPr>
        <w:t>pon adhesion to different support materials</w:t>
      </w:r>
      <w:r>
        <w:rPr>
          <w:rFonts w:asciiTheme="minorHAnsi" w:eastAsia="Arial" w:hAnsiTheme="minorHAnsi" w:cs="Dutch801BT-Roman"/>
          <w:color w:val="000000"/>
          <w:sz w:val="22"/>
          <w:szCs w:val="22"/>
          <w:lang w:eastAsia="zh-CN"/>
        </w:rPr>
        <w:t xml:space="preserve"> with a special interest in the production of the exopolysaccharide layer in response to attachment to </w:t>
      </w:r>
      <w:r w:rsidRPr="00C44D8C">
        <w:rPr>
          <w:rFonts w:asciiTheme="minorHAnsi" w:eastAsia="Calibri" w:hAnsiTheme="minorHAnsi" w:cs="Calibri"/>
          <w:color w:val="000000"/>
          <w:sz w:val="22"/>
          <w:szCs w:val="22"/>
          <w:lang w:eastAsia="zh-CN"/>
        </w:rPr>
        <w:t>a good biofilm carrier (PVC) compared to a poor biofilm carrier (PETG).</w:t>
      </w:r>
      <w:r>
        <w:rPr>
          <w:rFonts w:asciiTheme="minorHAnsi" w:eastAsia="Arial" w:hAnsiTheme="minorHAnsi" w:cs="Dutch801BT-Roman"/>
          <w:color w:val="000000"/>
          <w:sz w:val="22"/>
          <w:szCs w:val="22"/>
          <w:lang w:eastAsia="zh-CN"/>
        </w:rPr>
        <w:t xml:space="preserve"> </w:t>
      </w:r>
      <w:r w:rsidR="00436CD0" w:rsidRPr="00C44D8C">
        <w:rPr>
          <w:rFonts w:asciiTheme="minorHAnsi" w:eastAsia="Calibri" w:hAnsiTheme="minorHAnsi" w:cs="Calibri"/>
          <w:color w:val="000000"/>
          <w:sz w:val="22"/>
          <w:szCs w:val="22"/>
          <w:lang w:eastAsia="zh-CN"/>
        </w:rPr>
        <w:t xml:space="preserve">A combination of spectroscopic and microscopic approaches were used to explain the role of cell surface modifications in the irreversible adhesion of </w:t>
      </w:r>
      <w:r w:rsidR="00436CD0" w:rsidRPr="00C44D8C">
        <w:rPr>
          <w:rFonts w:asciiTheme="minorHAnsi" w:eastAsia="Calibri" w:hAnsiTheme="minorHAnsi" w:cs="Calibri"/>
          <w:i/>
          <w:iCs/>
          <w:color w:val="000000"/>
          <w:sz w:val="22"/>
          <w:szCs w:val="22"/>
          <w:lang w:eastAsia="zh-CN"/>
        </w:rPr>
        <w:t xml:space="preserve">M. barkeri </w:t>
      </w:r>
      <w:r w:rsidR="00436CD0" w:rsidRPr="00C44D8C">
        <w:rPr>
          <w:rFonts w:asciiTheme="minorHAnsi" w:eastAsia="Calibri" w:hAnsiTheme="minorHAnsi" w:cs="Calibri"/>
          <w:color w:val="000000"/>
          <w:sz w:val="22"/>
          <w:szCs w:val="22"/>
          <w:lang w:eastAsia="zh-CN"/>
        </w:rPr>
        <w:t xml:space="preserve">to </w:t>
      </w:r>
      <w:r>
        <w:rPr>
          <w:rFonts w:asciiTheme="minorHAnsi" w:eastAsia="Calibri" w:hAnsiTheme="minorHAnsi" w:cs="Calibri"/>
          <w:color w:val="000000"/>
          <w:sz w:val="22"/>
          <w:szCs w:val="22"/>
          <w:lang w:eastAsia="zh-CN"/>
        </w:rPr>
        <w:t>PVC and PETG.</w:t>
      </w:r>
      <w:r w:rsidR="00436CD0" w:rsidRPr="00C44D8C">
        <w:rPr>
          <w:rFonts w:asciiTheme="minorHAnsi" w:eastAsia="Calibri" w:hAnsiTheme="minorHAnsi" w:cs="Calibri"/>
          <w:color w:val="000000"/>
          <w:sz w:val="22"/>
          <w:szCs w:val="22"/>
          <w:lang w:eastAsia="zh-CN"/>
        </w:rPr>
        <w:t xml:space="preserve"> Fully characterising the cell surface of </w:t>
      </w:r>
      <w:r w:rsidR="00436CD0" w:rsidRPr="00C44D8C">
        <w:rPr>
          <w:rFonts w:asciiTheme="minorHAnsi" w:eastAsia="Calibri" w:hAnsiTheme="minorHAnsi" w:cs="Calibri"/>
          <w:i/>
          <w:iCs/>
          <w:color w:val="000000"/>
          <w:sz w:val="22"/>
          <w:szCs w:val="22"/>
          <w:lang w:eastAsia="zh-CN"/>
        </w:rPr>
        <w:t xml:space="preserve">M. barkeri </w:t>
      </w:r>
      <w:r w:rsidR="00436CD0" w:rsidRPr="00C44D8C">
        <w:rPr>
          <w:rFonts w:asciiTheme="minorHAnsi" w:eastAsia="Calibri" w:hAnsiTheme="minorHAnsi" w:cs="Calibri"/>
          <w:color w:val="000000"/>
          <w:sz w:val="22"/>
          <w:szCs w:val="22"/>
          <w:lang w:eastAsia="zh-CN"/>
        </w:rPr>
        <w:t>during biofilm formation provides</w:t>
      </w:r>
      <w:r w:rsidR="008F71D6">
        <w:rPr>
          <w:rFonts w:asciiTheme="minorHAnsi" w:eastAsia="Calibri" w:hAnsiTheme="minorHAnsi" w:cs="Calibri"/>
          <w:color w:val="000000"/>
          <w:sz w:val="22"/>
          <w:szCs w:val="22"/>
          <w:lang w:eastAsia="zh-CN"/>
        </w:rPr>
        <w:t xml:space="preserve"> an insight into </w:t>
      </w:r>
      <w:r w:rsidR="008F71D6">
        <w:rPr>
          <w:rFonts w:asciiTheme="minorHAnsi" w:eastAsia="Calibri" w:hAnsiTheme="minorHAnsi" w:cs="Calibri"/>
          <w:sz w:val="22"/>
          <w:szCs w:val="22"/>
          <w:lang w:eastAsia="zh-CN"/>
        </w:rPr>
        <w:t xml:space="preserve">whether different mechanisms for irreversible adhesion are observed in </w:t>
      </w:r>
      <w:r w:rsidR="008F71D6">
        <w:rPr>
          <w:rFonts w:asciiTheme="minorHAnsi" w:eastAsia="Calibri" w:hAnsiTheme="minorHAnsi" w:cs="Calibri"/>
          <w:i/>
          <w:sz w:val="22"/>
          <w:szCs w:val="22"/>
          <w:lang w:eastAsia="zh-CN"/>
        </w:rPr>
        <w:t xml:space="preserve">M. barkeri </w:t>
      </w:r>
      <w:r w:rsidR="008F71D6">
        <w:rPr>
          <w:rFonts w:asciiTheme="minorHAnsi" w:eastAsia="Calibri" w:hAnsiTheme="minorHAnsi" w:cs="Calibri"/>
          <w:sz w:val="22"/>
          <w:szCs w:val="22"/>
          <w:lang w:eastAsia="zh-CN"/>
        </w:rPr>
        <w:t xml:space="preserve">as a function of support material, </w:t>
      </w:r>
      <w:r w:rsidR="00DB0D18">
        <w:rPr>
          <w:rFonts w:asciiTheme="minorHAnsi" w:eastAsia="Calibri" w:hAnsiTheme="minorHAnsi" w:cs="Calibri"/>
          <w:sz w:val="22"/>
          <w:szCs w:val="22"/>
          <w:lang w:eastAsia="zh-CN"/>
        </w:rPr>
        <w:t>and to</w:t>
      </w:r>
      <w:r w:rsidR="008F71D6">
        <w:rPr>
          <w:rFonts w:asciiTheme="minorHAnsi" w:eastAsia="Calibri" w:hAnsiTheme="minorHAnsi" w:cs="Calibri"/>
          <w:sz w:val="22"/>
          <w:szCs w:val="22"/>
          <w:lang w:eastAsia="zh-CN"/>
        </w:rPr>
        <w:t xml:space="preserve"> provide</w:t>
      </w:r>
      <w:r w:rsidR="00436CD0" w:rsidRPr="00C44D8C">
        <w:rPr>
          <w:rFonts w:asciiTheme="minorHAnsi" w:eastAsia="Calibri" w:hAnsiTheme="minorHAnsi" w:cs="Calibri"/>
          <w:color w:val="000000"/>
          <w:sz w:val="22"/>
          <w:szCs w:val="22"/>
          <w:lang w:eastAsia="zh-CN"/>
        </w:rPr>
        <w:t xml:space="preserve"> better understanding of the </w:t>
      </w:r>
      <w:r w:rsidR="00436CD0" w:rsidRPr="00C44D8C">
        <w:rPr>
          <w:rFonts w:asciiTheme="minorHAnsi" w:eastAsia="Calibri" w:hAnsiTheme="minorHAnsi" w:cs="Calibri"/>
          <w:iCs/>
          <w:color w:val="000000"/>
          <w:sz w:val="22"/>
          <w:szCs w:val="22"/>
          <w:lang w:eastAsia="zh-CN"/>
        </w:rPr>
        <w:t>mechanisms involved in biofilm formation</w:t>
      </w:r>
      <w:r w:rsidR="00436CD0" w:rsidRPr="00C44D8C">
        <w:rPr>
          <w:rFonts w:asciiTheme="minorHAnsi" w:eastAsia="Calibri" w:hAnsiTheme="minorHAnsi" w:cs="Calibri"/>
          <w:color w:val="000000"/>
          <w:sz w:val="22"/>
          <w:szCs w:val="22"/>
          <w:lang w:eastAsia="zh-CN"/>
        </w:rPr>
        <w:t>.</w:t>
      </w:r>
    </w:p>
    <w:p w14:paraId="5EF380C4" w14:textId="4C449994" w:rsidR="00436CD0" w:rsidRPr="00C44D8C" w:rsidRDefault="00436CD0" w:rsidP="005B4620">
      <w:pPr>
        <w:pStyle w:val="Heading1"/>
        <w:rPr>
          <w:rFonts w:eastAsia="Arial" w:cs="Arial"/>
          <w:lang w:eastAsia="zh-CN"/>
        </w:rPr>
      </w:pPr>
      <w:bookmarkStart w:id="110" w:name="_Toc462575322"/>
      <w:r w:rsidRPr="00C44D8C">
        <w:rPr>
          <w:lang w:eastAsia="zh-CN"/>
        </w:rPr>
        <w:t>4.2. Materials and Methods</w:t>
      </w:r>
      <w:bookmarkEnd w:id="110"/>
    </w:p>
    <w:p w14:paraId="3E9FDB23" w14:textId="77777777" w:rsidR="00436CD0" w:rsidRPr="00C44D8C" w:rsidRDefault="00436CD0" w:rsidP="005B4620">
      <w:pPr>
        <w:pStyle w:val="Heading6"/>
        <w:rPr>
          <w:rFonts w:eastAsia="Calibri"/>
          <w:i/>
          <w:color w:val="FF0000"/>
          <w:lang w:eastAsia="zh-CN"/>
        </w:rPr>
      </w:pPr>
      <w:bookmarkStart w:id="111" w:name="_Toc462575323"/>
      <w:r w:rsidRPr="00C44D8C">
        <w:rPr>
          <w:rFonts w:eastAsia="Calibri"/>
          <w:lang w:eastAsia="zh-CN"/>
        </w:rPr>
        <w:t>4.2.1. Support material preparation</w:t>
      </w:r>
      <w:bookmarkEnd w:id="111"/>
      <w:r w:rsidRPr="00C44D8C">
        <w:rPr>
          <w:rFonts w:eastAsia="Calibri"/>
          <w:lang w:eastAsia="zh-CN"/>
        </w:rPr>
        <w:t xml:space="preserve">  </w:t>
      </w:r>
    </w:p>
    <w:p w14:paraId="15A691D4" w14:textId="77777777" w:rsidR="00436CD0" w:rsidRPr="00C44D8C" w:rsidRDefault="00436CD0" w:rsidP="00436CD0">
      <w:pPr>
        <w:spacing w:line="360" w:lineRule="auto"/>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 xml:space="preserve">Two different polymer support materials were tested in this study based on their previous performance in chapter 3 for selectively immobilising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PVC as a model representative of a good biofilm support carrier, and PETG as a model representative of a </w:t>
      </w:r>
      <w:r w:rsidRPr="00C44D8C">
        <w:rPr>
          <w:rFonts w:asciiTheme="minorHAnsi" w:eastAsia="Calibri" w:hAnsiTheme="minorHAnsi" w:cs="Calibri"/>
          <w:color w:val="000000"/>
          <w:sz w:val="22"/>
          <w:szCs w:val="22"/>
          <w:lang w:eastAsia="zh-CN"/>
        </w:rPr>
        <w:lastRenderedPageBreak/>
        <w:t>poor biofilm support carrier. Each polymer material was cut into 1 x 4 cm length coupons for each experimental approach.</w:t>
      </w:r>
    </w:p>
    <w:p w14:paraId="323529C3"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The coupons were cleaned as described previously (section 3.2.4), with 70 % ethanol and 2% (v/v) PCC-54 detergent solution. Rinsed coupons were dried inside a laminar flow cabinet and further UV-sterilised for 3 h, and stored in sterile tubes within an anaerobic chamber for at least 48 h before use.</w:t>
      </w:r>
    </w:p>
    <w:p w14:paraId="3C8FFD13" w14:textId="77777777" w:rsidR="00436CD0" w:rsidRPr="00C44D8C" w:rsidRDefault="00436CD0" w:rsidP="00436CD0">
      <w:pPr>
        <w:spacing w:line="360" w:lineRule="auto"/>
        <w:rPr>
          <w:rFonts w:asciiTheme="minorHAnsi" w:eastAsia="Arial" w:hAnsiTheme="minorHAnsi" w:cs="Arial"/>
          <w:color w:val="000000"/>
          <w:sz w:val="22"/>
          <w:szCs w:val="22"/>
          <w:lang w:eastAsia="zh-CN"/>
        </w:rPr>
      </w:pPr>
    </w:p>
    <w:p w14:paraId="7AEC9691" w14:textId="77777777" w:rsidR="00436CD0" w:rsidRPr="005B4620" w:rsidRDefault="00436CD0" w:rsidP="005B4620">
      <w:pPr>
        <w:pStyle w:val="Heading6"/>
        <w:rPr>
          <w:rFonts w:eastAsia="Calibri"/>
        </w:rPr>
      </w:pPr>
      <w:bookmarkStart w:id="112" w:name="_Toc462575324"/>
      <w:r w:rsidRPr="005B4620">
        <w:rPr>
          <w:rFonts w:eastAsia="Calibri"/>
        </w:rPr>
        <w:t>4.2.2. Batch culture setup and biofilm sampling</w:t>
      </w:r>
      <w:bookmarkEnd w:id="112"/>
      <w:r w:rsidRPr="005B4620">
        <w:rPr>
          <w:rFonts w:eastAsia="Calibri"/>
        </w:rPr>
        <w:t xml:space="preserve"> </w:t>
      </w:r>
    </w:p>
    <w:p w14:paraId="6159429E" w14:textId="77777777" w:rsidR="00436CD0" w:rsidRPr="00C44D8C" w:rsidRDefault="00436CD0" w:rsidP="00436CD0">
      <w:pPr>
        <w:spacing w:line="360" w:lineRule="auto"/>
        <w:rPr>
          <w:rFonts w:asciiTheme="minorHAnsi" w:eastAsia="Calibri" w:hAnsiTheme="minorHAnsi" w:cs="Calibri"/>
          <w:b/>
          <w:i/>
          <w:color w:val="FF0000"/>
          <w:sz w:val="22"/>
          <w:szCs w:val="22"/>
          <w:lang w:eastAsia="zh-CN"/>
        </w:rPr>
      </w:pP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was grown in DSM 120 medium from a fridge stock culture and incubated at 37˚C, with growth continuously monitored by OD</w:t>
      </w:r>
      <w:r w:rsidRPr="00C44D8C">
        <w:rPr>
          <w:rFonts w:asciiTheme="minorHAnsi" w:eastAsia="Calibri" w:hAnsiTheme="minorHAnsi" w:cs="Calibri"/>
          <w:color w:val="000000"/>
          <w:sz w:val="22"/>
          <w:szCs w:val="22"/>
          <w:vertAlign w:val="subscript"/>
          <w:lang w:eastAsia="zh-CN"/>
        </w:rPr>
        <w:t>600</w:t>
      </w:r>
      <w:r w:rsidRPr="00C44D8C">
        <w:rPr>
          <w:rFonts w:asciiTheme="minorHAnsi" w:eastAsia="Calibri" w:hAnsiTheme="minorHAnsi" w:cs="Calibri"/>
          <w:color w:val="000000"/>
          <w:sz w:val="22"/>
          <w:szCs w:val="22"/>
          <w:lang w:eastAsia="zh-CN"/>
        </w:rPr>
        <w:t xml:space="preserve">. This was regarded as the parent culture. </w:t>
      </w:r>
    </w:p>
    <w:p w14:paraId="77F9BE55" w14:textId="30C33833" w:rsidR="0093594F"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For biofilm sampling, twenty 125 ml serum bottles containing 50 ml of freshly reduced media were inoculated with mid-exponential phase cells </w:t>
      </w:r>
      <w:r w:rsidR="00651235">
        <w:rPr>
          <w:rFonts w:asciiTheme="minorHAnsi" w:eastAsia="Calibri" w:hAnsiTheme="minorHAnsi" w:cs="Calibri"/>
          <w:color w:val="000000"/>
          <w:sz w:val="22"/>
          <w:szCs w:val="22"/>
          <w:lang w:eastAsia="zh-CN"/>
        </w:rPr>
        <w:t xml:space="preserve">(96 h growth) </w:t>
      </w:r>
      <w:r w:rsidRPr="00C44D8C">
        <w:rPr>
          <w:rFonts w:asciiTheme="minorHAnsi" w:eastAsia="Calibri" w:hAnsiTheme="minorHAnsi" w:cs="Calibri"/>
          <w:color w:val="000000"/>
          <w:sz w:val="22"/>
          <w:szCs w:val="22"/>
          <w:lang w:eastAsia="zh-CN"/>
        </w:rPr>
        <w:t>from the parent culture with an adjusted starting OD</w:t>
      </w:r>
      <w:r w:rsidRPr="00C44D8C">
        <w:rPr>
          <w:rFonts w:asciiTheme="minorHAnsi" w:eastAsia="Calibri" w:hAnsiTheme="minorHAnsi" w:cs="Calibri"/>
          <w:color w:val="000000"/>
          <w:sz w:val="22"/>
          <w:szCs w:val="22"/>
          <w:vertAlign w:val="subscript"/>
          <w:lang w:eastAsia="zh-CN"/>
        </w:rPr>
        <w:t xml:space="preserve">600 </w:t>
      </w:r>
      <w:r w:rsidRPr="00C44D8C">
        <w:rPr>
          <w:rFonts w:asciiTheme="minorHAnsi" w:eastAsia="Calibri" w:hAnsiTheme="minorHAnsi" w:cs="Calibri"/>
          <w:color w:val="000000"/>
          <w:sz w:val="22"/>
          <w:szCs w:val="22"/>
          <w:lang w:eastAsia="zh-CN"/>
        </w:rPr>
        <w:t>of ~0.05. Each serum bottle contained four coupons of the same support material. The coupons from these twenty cultures were pooled together and regarded as a biological replicate in order to accrue enough biofilm biomass for further analysis.</w:t>
      </w:r>
      <w:r w:rsidR="0093594F">
        <w:rPr>
          <w:rFonts w:asciiTheme="minorHAnsi" w:eastAsia="Calibri" w:hAnsiTheme="minorHAnsi" w:cs="Calibri"/>
          <w:color w:val="000000"/>
          <w:sz w:val="22"/>
          <w:szCs w:val="22"/>
          <w:lang w:eastAsia="zh-CN"/>
        </w:rPr>
        <w:t xml:space="preserve"> The decision to pool together twenty cultures was determined from a preliminary experiment that aimed to estimate the amount of cellular biomass from five, ten and twenty pooled cultures. </w:t>
      </w:r>
      <w:r w:rsidR="00464FF3">
        <w:rPr>
          <w:rFonts w:asciiTheme="minorHAnsi" w:eastAsia="Calibri" w:hAnsiTheme="minorHAnsi" w:cs="Calibri"/>
          <w:color w:val="000000"/>
          <w:sz w:val="22"/>
          <w:szCs w:val="22"/>
          <w:lang w:eastAsia="zh-CN"/>
        </w:rPr>
        <w:t xml:space="preserve">It was found that the amount of cellular biomass obtained from </w:t>
      </w:r>
      <w:r w:rsidR="0093594F">
        <w:rPr>
          <w:rFonts w:asciiTheme="minorHAnsi" w:eastAsia="Calibri" w:hAnsiTheme="minorHAnsi" w:cs="Calibri"/>
          <w:color w:val="000000"/>
          <w:sz w:val="22"/>
          <w:szCs w:val="22"/>
          <w:lang w:eastAsia="zh-CN"/>
        </w:rPr>
        <w:t xml:space="preserve">twenty pooled cultures </w:t>
      </w:r>
      <w:r w:rsidR="00464FF3">
        <w:rPr>
          <w:rFonts w:asciiTheme="minorHAnsi" w:eastAsia="Calibri" w:hAnsiTheme="minorHAnsi" w:cs="Calibri"/>
          <w:color w:val="000000"/>
          <w:sz w:val="22"/>
          <w:szCs w:val="22"/>
          <w:lang w:eastAsia="zh-CN"/>
        </w:rPr>
        <w:t xml:space="preserve">was sufficient </w:t>
      </w:r>
      <w:r w:rsidR="0093594F">
        <w:rPr>
          <w:rFonts w:asciiTheme="minorHAnsi" w:eastAsia="Calibri" w:hAnsiTheme="minorHAnsi" w:cs="Calibri"/>
          <w:color w:val="000000"/>
          <w:sz w:val="22"/>
          <w:szCs w:val="22"/>
          <w:lang w:eastAsia="zh-CN"/>
        </w:rPr>
        <w:t>for further analysis, and this number of cultures was used for the rest of this experiment.</w:t>
      </w:r>
    </w:p>
    <w:p w14:paraId="385D90AC" w14:textId="16F5FB1D"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Sterile coupons from each biofilm experimental condition (PVC or PETG) were added to media bottles on the day of experimentation within an anaerobic chamber. Four biological replicates were established for each experimental approach.</w:t>
      </w:r>
    </w:p>
    <w:p w14:paraId="7883F830"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Due to the high numbers of cultures involved for each biofilm experimental condition, it was not feasible to perform this whole experiment in one run. Therefore, this experimental setup was staggered over a duration of 8 days. Duplicate cultures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for each experimental condition (PVC versus PETG) were grown from the same parent culture on days 1, 2, 7 and 8 to allow a biological replicate of each experimental condition to be set up over staggered days for easier handling, as shown in Figure 4.1. </w:t>
      </w:r>
    </w:p>
    <w:p w14:paraId="6324D6D2" w14:textId="77777777" w:rsidR="0058312F" w:rsidRDefault="0058312F" w:rsidP="00436CD0">
      <w:pPr>
        <w:spacing w:line="360" w:lineRule="auto"/>
        <w:ind w:firstLine="720"/>
        <w:rPr>
          <w:rFonts w:asciiTheme="minorHAnsi" w:eastAsia="Calibri" w:hAnsiTheme="minorHAnsi" w:cs="Calibri"/>
          <w:color w:val="000000"/>
          <w:sz w:val="22"/>
          <w:szCs w:val="22"/>
          <w:lang w:eastAsia="zh-CN"/>
        </w:rPr>
        <w:sectPr w:rsidR="0058312F" w:rsidSect="00DF337D">
          <w:pgSz w:w="11906" w:h="16838"/>
          <w:pgMar w:top="1418" w:right="1418" w:bottom="1418" w:left="2268" w:header="708" w:footer="708" w:gutter="0"/>
          <w:cols w:space="708"/>
          <w:docGrid w:linePitch="360"/>
        </w:sectPr>
      </w:pPr>
    </w:p>
    <w:p w14:paraId="05A7F3A4" w14:textId="77777777" w:rsidR="00436CD0" w:rsidRPr="00C44D8C" w:rsidRDefault="00436CD0" w:rsidP="00436CD0">
      <w:pPr>
        <w:spacing w:line="360" w:lineRule="auto"/>
        <w:rPr>
          <w:rFonts w:asciiTheme="minorHAnsi" w:eastAsia="Arial" w:hAnsiTheme="minorHAnsi" w:cs="Arial"/>
          <w:i/>
          <w:iCs/>
          <w:color w:val="000000"/>
          <w:sz w:val="22"/>
          <w:szCs w:val="22"/>
          <w:lang w:eastAsia="zh-CN"/>
        </w:rPr>
      </w:pPr>
      <w:r w:rsidRPr="00C44D8C">
        <w:rPr>
          <w:rFonts w:asciiTheme="minorHAnsi" w:eastAsia="Calibri" w:hAnsiTheme="minorHAnsi" w:cs="Calibri"/>
          <w:noProof/>
          <w:color w:val="000000"/>
          <w:sz w:val="22"/>
          <w:szCs w:val="22"/>
          <w:lang w:eastAsia="en-GB"/>
        </w:rPr>
        <w:lastRenderedPageBreak/>
        <mc:AlternateContent>
          <mc:Choice Requires="wps">
            <w:drawing>
              <wp:anchor distT="0" distB="0" distL="114300" distR="114300" simplePos="0" relativeHeight="251673600" behindDoc="0" locked="0" layoutInCell="1" allowOverlap="1" wp14:anchorId="3931DCF4" wp14:editId="48F63E0E">
                <wp:simplePos x="0" y="0"/>
                <wp:positionH relativeFrom="column">
                  <wp:posOffset>-2569210</wp:posOffset>
                </wp:positionH>
                <wp:positionV relativeFrom="paragraph">
                  <wp:posOffset>3315970</wp:posOffset>
                </wp:positionV>
                <wp:extent cx="5818505" cy="314325"/>
                <wp:effectExtent l="8890" t="0" r="63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18505" cy="314325"/>
                        </a:xfrm>
                        <a:prstGeom prst="rect">
                          <a:avLst/>
                        </a:prstGeom>
                        <a:solidFill>
                          <a:srgbClr val="FFFFFF"/>
                        </a:solidFill>
                        <a:ln w="9525">
                          <a:noFill/>
                          <a:miter lim="800000"/>
                          <a:headEnd/>
                          <a:tailEnd/>
                        </a:ln>
                      </wps:spPr>
                      <wps:txbx>
                        <w:txbxContent>
                          <w:p w14:paraId="73F469A5" w14:textId="77777777" w:rsidR="007715D2" w:rsidRPr="000B6C41" w:rsidRDefault="007715D2" w:rsidP="00436CD0">
                            <w:pPr>
                              <w:rPr>
                                <w:rFonts w:asciiTheme="minorHAnsi" w:hAnsiTheme="minorHAnsi"/>
                                <w:szCs w:val="24"/>
                              </w:rPr>
                            </w:pPr>
                            <w:r w:rsidRPr="000B6C41">
                              <w:rPr>
                                <w:rFonts w:asciiTheme="minorHAnsi" w:hAnsiTheme="minorHAnsi"/>
                                <w:b/>
                                <w:bCs/>
                                <w:szCs w:val="24"/>
                              </w:rPr>
                              <w:t xml:space="preserve">Fig. </w:t>
                            </w:r>
                            <w:r>
                              <w:rPr>
                                <w:rFonts w:asciiTheme="minorHAnsi" w:hAnsiTheme="minorHAnsi"/>
                                <w:b/>
                                <w:bCs/>
                                <w:szCs w:val="24"/>
                              </w:rPr>
                              <w:t>4.</w:t>
                            </w:r>
                            <w:r w:rsidRPr="000B6C41">
                              <w:rPr>
                                <w:rFonts w:asciiTheme="minorHAnsi" w:hAnsiTheme="minorHAnsi"/>
                                <w:b/>
                                <w:bCs/>
                                <w:szCs w:val="24"/>
                              </w:rPr>
                              <w:t>1</w:t>
                            </w:r>
                            <w:r w:rsidRPr="000B6C41">
                              <w:rPr>
                                <w:rFonts w:asciiTheme="minorHAnsi" w:hAnsiTheme="minorHAnsi"/>
                                <w:szCs w:val="24"/>
                              </w:rPr>
                              <w:t xml:space="preserve"> Schematic of the batch setup for growth of biofilms on support material.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3931DCF4" id="Text Box 2" o:spid="_x0000_s1044" type="#_x0000_t202" style="position:absolute;margin-left:-202.3pt;margin-top:261.1pt;width:458.15pt;height:24.75pt;rotation:90;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" stroked="f">
                <v:textbox style="mso-fit-shape-to-text:t">
                  <w:txbxContent>
                    <w:p w14:paraId="73F469A5" w14:textId="77777777" w:rsidR="007715D2" w:rsidRPr="000B6C41" w:rsidRDefault="007715D2" w:rsidP="00436CD0">
                      <w:pPr>
                        <w:rPr>
                          <w:rFonts w:asciiTheme="minorHAnsi" w:hAnsiTheme="minorHAnsi"/>
                          <w:szCs w:val="24"/>
                        </w:rPr>
                      </w:pPr>
                      <w:r w:rsidRPr="000B6C41">
                        <w:rPr>
                          <w:rFonts w:asciiTheme="minorHAnsi" w:hAnsiTheme="minorHAnsi"/>
                          <w:b/>
                          <w:bCs/>
                          <w:szCs w:val="24"/>
                        </w:rPr>
                        <w:t xml:space="preserve">Fig. </w:t>
                      </w:r>
                      <w:r>
                        <w:rPr>
                          <w:rFonts w:asciiTheme="minorHAnsi" w:hAnsiTheme="minorHAnsi"/>
                          <w:b/>
                          <w:bCs/>
                          <w:szCs w:val="24"/>
                        </w:rPr>
                        <w:t>4.</w:t>
                      </w:r>
                      <w:r w:rsidRPr="000B6C41">
                        <w:rPr>
                          <w:rFonts w:asciiTheme="minorHAnsi" w:hAnsiTheme="minorHAnsi"/>
                          <w:b/>
                          <w:bCs/>
                          <w:szCs w:val="24"/>
                        </w:rPr>
                        <w:t>1</w:t>
                      </w:r>
                      <w:r w:rsidRPr="000B6C41">
                        <w:rPr>
                          <w:rFonts w:asciiTheme="minorHAnsi" w:hAnsiTheme="minorHAnsi"/>
                          <w:szCs w:val="24"/>
                        </w:rPr>
                        <w:t xml:space="preserve"> Schematic of the batch setup for growth of biofilms on support material. </w:t>
                      </w:r>
                    </w:p>
                  </w:txbxContent>
                </v:textbox>
              </v:shape>
            </w:pict>
          </mc:Fallback>
        </mc:AlternateContent>
      </w:r>
      <w:r w:rsidRPr="00C44D8C">
        <w:rPr>
          <w:rFonts w:asciiTheme="minorHAnsi" w:eastAsia="Calibri" w:hAnsiTheme="minorHAnsi" w:cs="Calibri"/>
          <w:noProof/>
          <w:color w:val="000000"/>
          <w:sz w:val="22"/>
          <w:szCs w:val="22"/>
          <w:lang w:eastAsia="en-GB"/>
        </w:rPr>
        <w:drawing>
          <wp:anchor distT="0" distB="0" distL="114300" distR="114300" simplePos="0" relativeHeight="251678720" behindDoc="0" locked="0" layoutInCell="1" allowOverlap="1" wp14:anchorId="29B76884" wp14:editId="7C316A17">
            <wp:simplePos x="0" y="0"/>
            <wp:positionH relativeFrom="column">
              <wp:posOffset>-1511935</wp:posOffset>
            </wp:positionH>
            <wp:positionV relativeFrom="paragraph">
              <wp:posOffset>2174875</wp:posOffset>
            </wp:positionV>
            <wp:extent cx="8790940" cy="4944745"/>
            <wp:effectExtent l="0" t="953" r="9208" b="9207"/>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ust 2015 FTIR and XPS biofilm experiment and proteomics.tif"/>
                    <pic:cNvPicPr/>
                  </pic:nvPicPr>
                  <pic:blipFill>
                    <a:blip r:embed="rId36">
                      <a:extLst>
                        <a:ext uri="{28A0092B-C50C-407E-A947-70E740481C1C}">
                          <a14:useLocalDpi xmlns:a14="http://schemas.microsoft.com/office/drawing/2010/main" val="0"/>
                        </a:ext>
                      </a:extLst>
                    </a:blip>
                    <a:stretch>
                      <a:fillRect/>
                    </a:stretch>
                  </pic:blipFill>
                  <pic:spPr>
                    <a:xfrm rot="5400000">
                      <a:off x="0" y="0"/>
                      <a:ext cx="8790940" cy="4944745"/>
                    </a:xfrm>
                    <a:prstGeom prst="rect">
                      <a:avLst/>
                    </a:prstGeom>
                  </pic:spPr>
                </pic:pic>
              </a:graphicData>
            </a:graphic>
          </wp:anchor>
        </w:drawing>
      </w:r>
    </w:p>
    <w:p w14:paraId="173A8A76" w14:textId="5D891E7F"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lastRenderedPageBreak/>
        <w:t xml:space="preserve">These staggered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parent cultures were all started from the same stock culture. Their growth curves </w:t>
      </w:r>
      <w:r w:rsidR="000158EA">
        <w:rPr>
          <w:rFonts w:asciiTheme="minorHAnsi" w:eastAsia="Calibri" w:hAnsiTheme="minorHAnsi" w:cs="Calibri"/>
          <w:color w:val="000000"/>
          <w:sz w:val="22"/>
          <w:szCs w:val="22"/>
          <w:lang w:eastAsia="zh-CN"/>
        </w:rPr>
        <w:t xml:space="preserve">were replicated and </w:t>
      </w:r>
      <w:r w:rsidRPr="00C44D8C">
        <w:rPr>
          <w:rFonts w:asciiTheme="minorHAnsi" w:eastAsia="Calibri" w:hAnsiTheme="minorHAnsi" w:cs="Calibri"/>
          <w:color w:val="000000"/>
          <w:sz w:val="22"/>
          <w:szCs w:val="22"/>
          <w:lang w:eastAsia="zh-CN"/>
        </w:rPr>
        <w:t>are shown in Fig. 4.2</w:t>
      </w:r>
      <w:r w:rsidR="000158EA">
        <w:rPr>
          <w:rFonts w:asciiTheme="minorHAnsi" w:eastAsia="Calibri" w:hAnsiTheme="minorHAnsi" w:cs="Calibri"/>
          <w:color w:val="000000"/>
          <w:sz w:val="22"/>
          <w:szCs w:val="22"/>
          <w:lang w:eastAsia="zh-CN"/>
        </w:rPr>
        <w:t xml:space="preserve">. They </w:t>
      </w:r>
      <w:r w:rsidRPr="00C44D8C">
        <w:rPr>
          <w:rFonts w:asciiTheme="minorHAnsi" w:eastAsia="Calibri" w:hAnsiTheme="minorHAnsi" w:cs="Calibri"/>
          <w:color w:val="000000"/>
          <w:sz w:val="22"/>
          <w:szCs w:val="22"/>
          <w:lang w:eastAsia="zh-CN"/>
        </w:rPr>
        <w:t xml:space="preserve">were not significantly different (p &gt; 0.05, one-way ANOVA), justifying the decision to regard these staggered cultures as the same parent culture across all biological replicates and experimental days. </w:t>
      </w:r>
    </w:p>
    <w:p w14:paraId="3BDE86F7"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Once inoculated, the experimental cultures were incubated at 37°C and gently shaken at 110 rpm for 96 h to allow biofilm formation on the coupons. This time point was chosen to coincide with the later time point used in the biofilm assay in the previous chapter. This biofilm setup was carried out individually for each experimental approach and repeated twice. </w:t>
      </w:r>
    </w:p>
    <w:p w14:paraId="62EC911D" w14:textId="77777777" w:rsidR="00436CD0" w:rsidRPr="00C44D8C" w:rsidRDefault="00436CD0" w:rsidP="00436CD0">
      <w:pPr>
        <w:spacing w:line="360" w:lineRule="auto"/>
        <w:rPr>
          <w:rFonts w:asciiTheme="minorHAnsi" w:eastAsia="Calibri" w:hAnsiTheme="minorHAnsi" w:cs="Calibri"/>
          <w:b/>
          <w:color w:val="000000"/>
          <w:sz w:val="22"/>
          <w:szCs w:val="22"/>
          <w:lang w:eastAsia="zh-CN"/>
        </w:rPr>
      </w:pPr>
    </w:p>
    <w:p w14:paraId="2887E824" w14:textId="1A83A5B5" w:rsidR="00436CD0" w:rsidRPr="00C44D8C" w:rsidRDefault="005B4620" w:rsidP="00436CD0">
      <w:pPr>
        <w:spacing w:line="360" w:lineRule="auto"/>
        <w:jc w:val="center"/>
        <w:rPr>
          <w:rFonts w:asciiTheme="minorHAnsi" w:eastAsia="Calibri" w:hAnsiTheme="minorHAnsi" w:cs="Calibri"/>
          <w:b/>
          <w:color w:val="000000"/>
          <w:sz w:val="22"/>
          <w:szCs w:val="22"/>
          <w:lang w:eastAsia="zh-CN"/>
        </w:rPr>
      </w:pPr>
      <w:r w:rsidRPr="00C44D8C">
        <w:rPr>
          <w:rFonts w:asciiTheme="minorHAnsi" w:eastAsia="Arial" w:hAnsiTheme="minorHAnsi" w:cs="Arial"/>
          <w:color w:val="000000"/>
          <w:sz w:val="22"/>
          <w:szCs w:val="22"/>
          <w:lang w:eastAsia="zh-CN"/>
        </w:rPr>
        <w:object w:dxaOrig="6070" w:dyaOrig="5069" w14:anchorId="3EEB578F">
          <v:shape id="_x0000_i1028" type="#_x0000_t75" style="width:307.5pt;height:256pt" o:ole="">
            <v:imagedata r:id="rId37" o:title=""/>
          </v:shape>
          <o:OLEObject Type="Embed" ProgID="Prism6.Document" ShapeID="_x0000_i1028" DrawAspect="Content" ObjectID="_1568973012" r:id="rId38"/>
        </w:object>
      </w:r>
    </w:p>
    <w:p w14:paraId="00E1886B"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b/>
          <w:color w:val="000000"/>
          <w:sz w:val="22"/>
          <w:szCs w:val="22"/>
          <w:lang w:eastAsia="zh-CN"/>
        </w:rPr>
        <w:t>Fig. 4.2</w:t>
      </w:r>
      <w:r w:rsidRPr="00C44D8C">
        <w:rPr>
          <w:rFonts w:asciiTheme="minorHAnsi" w:eastAsia="Calibri" w:hAnsiTheme="minorHAnsi" w:cs="Calibri"/>
          <w:color w:val="000000"/>
          <w:sz w:val="22"/>
          <w:szCs w:val="22"/>
          <w:lang w:eastAsia="zh-CN"/>
        </w:rPr>
        <w:t xml:space="preserve"> Growth curves of the four parent cultures over 96 h in the biofilm setup, with each parent culture staggered over 8 days from the same stock culture. </w:t>
      </w:r>
    </w:p>
    <w:p w14:paraId="673B3474" w14:textId="77777777" w:rsidR="00436CD0" w:rsidRPr="00C44D8C" w:rsidRDefault="00436CD0" w:rsidP="00436CD0">
      <w:pPr>
        <w:spacing w:line="360" w:lineRule="auto"/>
        <w:rPr>
          <w:rFonts w:asciiTheme="minorHAnsi" w:eastAsia="Calibri" w:hAnsiTheme="minorHAnsi" w:cs="Calibri"/>
          <w:b/>
          <w:color w:val="000000"/>
          <w:sz w:val="22"/>
          <w:szCs w:val="22"/>
          <w:lang w:eastAsia="zh-CN"/>
        </w:rPr>
      </w:pPr>
    </w:p>
    <w:p w14:paraId="65584033" w14:textId="77777777" w:rsidR="00436CD0" w:rsidRPr="00C44D8C" w:rsidRDefault="00436CD0" w:rsidP="005B4620">
      <w:pPr>
        <w:pStyle w:val="Heading6"/>
        <w:rPr>
          <w:rFonts w:eastAsia="Arial" w:cs="Arial"/>
          <w:lang w:eastAsia="zh-CN"/>
        </w:rPr>
      </w:pPr>
      <w:bookmarkStart w:id="113" w:name="_Toc462575325"/>
      <w:r w:rsidRPr="00C44D8C">
        <w:rPr>
          <w:rFonts w:eastAsia="Calibri"/>
          <w:lang w:eastAsia="zh-CN"/>
        </w:rPr>
        <w:t>4.2.3. Fourier-transform infrared spectroscopy (FTIR) analysis</w:t>
      </w:r>
      <w:bookmarkEnd w:id="113"/>
    </w:p>
    <w:p w14:paraId="76E4A125" w14:textId="5A4895B1"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After 96 h of growth, a biological replicate from each biofilm experimental condition (corresponding to twenty pooled cultures and eighty coupons per biological replicate) were opened within an anaerobic chamber. Coupons with attached biofilm were carefully and aseptically removed from all culture bottles using sterile tweezers. The planktonic cell suspension was discarded and coupons from each biological replicate were twice washed with sterile anaerobically-prepared 100 mM KCl solution within the anaerobic chamber, </w:t>
      </w:r>
      <w:r w:rsidRPr="00C44D8C">
        <w:rPr>
          <w:rFonts w:asciiTheme="minorHAnsi" w:eastAsia="Calibri" w:hAnsiTheme="minorHAnsi" w:cs="Calibri"/>
          <w:color w:val="000000"/>
          <w:sz w:val="22"/>
          <w:szCs w:val="22"/>
          <w:lang w:eastAsia="zh-CN"/>
        </w:rPr>
        <w:lastRenderedPageBreak/>
        <w:t xml:space="preserve">and then placed into a sterile container containing 80 ml of 100 mM KCl. Cells were removed from coupons by vigorous manual shaking for 2 minutes. </w:t>
      </w:r>
    </w:p>
    <w:p w14:paraId="3C06F3F7"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 xml:space="preserve">The detached biofilm cell suspension was transferred into sterile glass centrifuge tubes. Biofilm cells were washed with sterile 100 mM KCl and harvested by centrifugation at 6000 x g for 10 minutes at 4˚C outside the anaerobic chamber. </w:t>
      </w:r>
    </w:p>
    <w:p w14:paraId="71CA1761" w14:textId="5003D0A5"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Thereafter, 5 μl of the cell pellets from the both the PETG and PVC biofilm conditions were pipetted onto the diamond crystal of the attenuated total reflectance (ATR) attachment of the Fourier-transform infrared spectrophotometer (IR-Prestige 21, Shimadzu, UK), and left to air dry for 45 minutes. At least 64 scans were made on each sample using the Happ-Genzel apodisation function with a resolution of 4 cm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The FTIR spectrum was analysed over a wavenumber range of 600 to 4000, but manual analysis of the spectra was limited to a wavenumber range of 800 to 1800, as this range correlates to characteristic absorbance peaks from macromolecules of biological origin</w:t>
      </w:r>
      <w:r w:rsidR="001D078B">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"Naumann", "given" : "Dieter", "non-dropping-particle" : "", "parse-names" : false, "suffix" : "" } ], "container-title" : "Encyclopedia of Analytical Chemistry", "id" : "ITEM-1", "issued" : { "date-parts" : [ [ "2006" ] ] }, "page" : "102-131", "title" : "Infrared Spectroscopy in Microbiology", "type" : "chapter" }, "uris" : [ "http://www.mendeley.com/documents/?uuid=0f4ac524-2e96-4c53-8a59-07b172cb18de" ] } ], "mendeley" : { "formattedCitation" : "[103]", "plainTextFormattedCitation" : "[103]", "previouslyFormattedCitation" : "[103]"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[103]</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w:t>
      </w:r>
    </w:p>
    <w:p w14:paraId="70EFDD78" w14:textId="4A3B4815"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Spectral processing was carried out using IR Solution software (Shimadzu, UK) where FTIR spectra  was atmosphere and baseline-corrected to remove any interfering background noise from the spectra, as well as normalised to the intensity of a peak at 2930 cm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xml:space="preserve"> to ensure that any differences in the amount of cells loaded onto the ATR were accounted for. This peak absorbance is attributed to the asymmetric stretching of C-H groups</w:t>
      </w:r>
      <w:r w:rsidR="001D078B">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"Naumann", "given" : "Dieter", "non-dropping-particle" : "", "parse-names" : false, "suffix" : "" } ], "container-title" : "Encyclopedia of Analytical Chemistry", "id" : "ITEM-1", "issued" : { "date-parts" : [ [ "2006" ] ] }, "page" : "102-131", "title" : "Infrared Spectroscopy in Microbiology", "type" : "chapter" }, "uris" : [ "http://www.mendeley.com/documents/?uuid=0f4ac524-2e96-4c53-8a59-07b172cb18de" ] } ], "mendeley" : { "formattedCitation" : "[103]", "plainTextFormattedCitation" : "[103]", "previouslyFormattedCitation" : "[103]"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[103]</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and is present in all microorganisms</w:t>
      </w:r>
      <w:r w:rsidR="001D078B">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"Mei", "given" : "H.C.", "non-dropping-particle" : "van der", "parse-names" : false, "suffix" : "" }, { "dropping-particle" : "", "family" : "Vries", "given" : "J.", "non-dropping-particle" : "de", "parse-names" : false, "suffix" : "" }, { "dropping-particle" : "", "family" : "Busscher", "given" : "H.J.", "non-dropping-particle" : "", "parse-names" : false, "suffix" : "" } ], "container-title" : "Surface Science Reports", "id" : "ITEM-1", "issued" : { "date-parts" : [ [ "2000" ] ] }, "page" : "1-24", "title" : "X-ray photoelectron spectroscopy for the study of microbial cell surfaces", "type" : "article-journal", "volume" : "39" }, "uris" : [ "http://www.mendeley.com/documents/?uuid=e5ad0b72-4ff5-3aa3-82bb-5bb5ab34718f" ] } ], "mendeley" : { "formattedCitation" : "[109]", "plainTextFormattedCitation" : "[109]", "previouslyFormattedCitation" : "[109]"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[109]</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w:t>
      </w:r>
    </w:p>
    <w:p w14:paraId="3D1040E6"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Principal component analysis (PCA) was carried out using XLSTAT 2014.4 software using the Pearson correlation.</w:t>
      </w:r>
    </w:p>
    <w:p w14:paraId="442812EE"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p>
    <w:p w14:paraId="506B1E42" w14:textId="77777777" w:rsidR="00436CD0" w:rsidRPr="00C44D8C" w:rsidRDefault="00436CD0" w:rsidP="005B4620">
      <w:pPr>
        <w:pStyle w:val="Heading6"/>
        <w:rPr>
          <w:rFonts w:eastAsia="Arial" w:cs="Arial"/>
          <w:color w:val="FF0000"/>
          <w:lang w:eastAsia="zh-CN"/>
        </w:rPr>
      </w:pPr>
      <w:bookmarkStart w:id="114" w:name="_Toc462575326"/>
      <w:r w:rsidRPr="00C44D8C">
        <w:rPr>
          <w:rFonts w:eastAsia="Calibri"/>
          <w:lang w:eastAsia="zh-CN"/>
        </w:rPr>
        <w:t>4.2.4. X-ray photoelectron spectroscopy (XPS)</w:t>
      </w:r>
      <w:bookmarkEnd w:id="114"/>
      <w:r w:rsidRPr="00C44D8C">
        <w:rPr>
          <w:rFonts w:eastAsia="Calibri"/>
          <w:lang w:eastAsia="zh-CN"/>
        </w:rPr>
        <w:t xml:space="preserve"> </w:t>
      </w:r>
    </w:p>
    <w:p w14:paraId="3874B619" w14:textId="77777777" w:rsidR="00436CD0" w:rsidRPr="00C44D8C" w:rsidRDefault="00436CD0" w:rsidP="00436CD0">
      <w:pPr>
        <w:spacing w:line="360" w:lineRule="auto"/>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 xml:space="preserve">As described previously, biofilm cells were removed from coupons after 96 h of growth by vigorous manual shaking for 2 minutes. The detached biofilm cell suspension was transferred into sterile glass centrifuge tubes and washed with sterile Milli-Q water and harvested by centrifugation at 6000 x g for 10 mins at 4˚C, before transferring washed cells into sterile 2 ml microcentrifuge tubes (Eppendorf, Germany). </w:t>
      </w:r>
    </w:p>
    <w:p w14:paraId="707ABB0A"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 xml:space="preserve">Using the flame of a Bunsen burner to create a sterile field to prevent contamination, parafilm tape (Sigma Aldrich, UK) was used to cover the opening of microcentrifuge tubes containing washed cell pellets, and a sterile syringe needle was used to pierce a hole within the parafilm tape to allow dehydration of samples. Samples were dehydrated by freeze drying for 24 h before XPS analysis. </w:t>
      </w:r>
    </w:p>
    <w:p w14:paraId="2F66664B"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lastRenderedPageBreak/>
        <w:t>XPS analysis was carried out using an AXIS Ultra DLD Photoelectron spectrometer (Kratos Analytical, UK). Survey scans were collected between 1200 to 0 eV binding energy (160 eV pass energy; 0.5 eV intervals). High-resolution scans for C 1</w:t>
      </w:r>
      <w:r w:rsidRPr="00C44D8C">
        <w:rPr>
          <w:rFonts w:asciiTheme="minorHAnsi" w:eastAsia="Calibri" w:hAnsiTheme="minorHAnsi" w:cs="Calibri"/>
          <w:i/>
          <w:color w:val="000000"/>
          <w:sz w:val="22"/>
          <w:szCs w:val="22"/>
          <w:lang w:eastAsia="zh-CN"/>
        </w:rPr>
        <w:t>s</w:t>
      </w:r>
      <w:r w:rsidRPr="00C44D8C">
        <w:rPr>
          <w:rFonts w:asciiTheme="minorHAnsi" w:eastAsia="Calibri" w:hAnsiTheme="minorHAnsi" w:cs="Calibri"/>
          <w:color w:val="000000"/>
          <w:sz w:val="22"/>
          <w:szCs w:val="22"/>
          <w:lang w:eastAsia="zh-CN"/>
        </w:rPr>
        <w:t>, N 1</w:t>
      </w:r>
      <w:r w:rsidRPr="00C44D8C">
        <w:rPr>
          <w:rFonts w:asciiTheme="minorHAnsi" w:eastAsia="Calibri" w:hAnsiTheme="minorHAnsi" w:cs="Calibri"/>
          <w:i/>
          <w:color w:val="000000"/>
          <w:sz w:val="22"/>
          <w:szCs w:val="22"/>
          <w:lang w:eastAsia="zh-CN"/>
        </w:rPr>
        <w:t>s</w:t>
      </w:r>
      <w:r w:rsidRPr="00C44D8C">
        <w:rPr>
          <w:rFonts w:asciiTheme="minorHAnsi" w:eastAsia="Calibri" w:hAnsiTheme="minorHAnsi" w:cs="Calibri"/>
          <w:color w:val="000000"/>
          <w:sz w:val="22"/>
          <w:szCs w:val="22"/>
          <w:lang w:eastAsia="zh-CN"/>
        </w:rPr>
        <w:t>, and O 1</w:t>
      </w:r>
      <w:r w:rsidRPr="00C44D8C">
        <w:rPr>
          <w:rFonts w:asciiTheme="minorHAnsi" w:eastAsia="Calibri" w:hAnsiTheme="minorHAnsi" w:cs="Calibri"/>
          <w:i/>
          <w:color w:val="000000"/>
          <w:sz w:val="22"/>
          <w:szCs w:val="22"/>
          <w:lang w:eastAsia="zh-CN"/>
        </w:rPr>
        <w:t>s</w:t>
      </w:r>
      <w:r w:rsidRPr="00C44D8C">
        <w:rPr>
          <w:rFonts w:asciiTheme="minorHAnsi" w:eastAsia="Calibri" w:hAnsiTheme="minorHAnsi" w:cs="Calibri"/>
          <w:color w:val="000000"/>
          <w:sz w:val="22"/>
          <w:szCs w:val="22"/>
          <w:lang w:eastAsia="zh-CN"/>
        </w:rPr>
        <w:t xml:space="preserve"> were collected over an appropriate energy range (20 eV pass energy; 0.05 eV intervals), with spectra decomposed into their respective elemental components to identify the functional groups present on the cell surface.</w:t>
      </w:r>
    </w:p>
    <w:p w14:paraId="066F283C"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The carbon peak (C 1s) was analysed at high resolution and was best fit with four components: a component due to carbon bound only to carbon and hydrogen, C-(C,H), at 285 eV; a component due to carbon singly bound to oxygen or nitrogen, such as from ethers, alcohols, amines, and/or amides, C-(O,N), at 286.5 eV; a component at 288.2 eV corresponding to carbon doubly bonded to oxygen or singly bonded to two oxygen atoms from amides, carbonyls, carboxylates, esters, acetals, and/or hemiacetals, C=O, O-C-O; and a weak component due to carboxyl activity, COOR, at 289.8 eV.</w:t>
      </w:r>
    </w:p>
    <w:p w14:paraId="7167493B" w14:textId="34DC7E9E"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The oxygen peak (O 1s) at high resolution was also best fit with two components: a component at 531.6 eV due to carbon sharing a double bond with oxygen in carboxylic acid, carboxylates, esters, carbonyls or amide (C=O); and a component due to attributable to hydroxide, acetal, or hemiacetal (C-OH, C-O-C) at 533 eV.</w:t>
      </w:r>
      <w:r w:rsidRPr="00C44D8C">
        <w:rPr>
          <w:rFonts w:asciiTheme="minorHAnsi" w:eastAsia="Arial" w:hAnsiTheme="minorHAnsi" w:cs="Arial"/>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Nitrogen was apparent at a binding energy of 398 eV, and arises mainly as a result of the amine or amide groups in proteins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"ITEM-1",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"mendeley" : { "formattedCitation" : "[102]", "plainTextFormattedCitation" : "[102]", "previouslyFormattedCitation" : "[102]"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[102]</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p>
    <w:p w14:paraId="2271488F"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Three analyses were recorded per sample with an analysis area of 700 µm x 300 µm. The data was calibrated for binding energy by using the C 1</w:t>
      </w:r>
      <w:r w:rsidRPr="00C44D8C">
        <w:rPr>
          <w:rFonts w:asciiTheme="minorHAnsi" w:eastAsia="Calibri" w:hAnsiTheme="minorHAnsi" w:cs="Calibri"/>
          <w:i/>
          <w:color w:val="000000"/>
          <w:sz w:val="22"/>
          <w:szCs w:val="22"/>
          <w:lang w:eastAsia="zh-CN"/>
        </w:rPr>
        <w:t>s</w:t>
      </w:r>
      <w:r w:rsidRPr="00C44D8C">
        <w:rPr>
          <w:rFonts w:asciiTheme="minorHAnsi" w:eastAsia="Calibri" w:hAnsiTheme="minorHAnsi" w:cs="Calibri"/>
          <w:color w:val="000000"/>
          <w:sz w:val="22"/>
          <w:szCs w:val="22"/>
          <w:lang w:eastAsia="zh-CN"/>
        </w:rPr>
        <w:t xml:space="preserve"> main carbon peak at 285 eV, and correcting all data for each sample analysis accordingly. XPS spectra peaks were fitted using the Casa XPS 2.3.1250 software. </w:t>
      </w:r>
    </w:p>
    <w:p w14:paraId="6EF94D9E" w14:textId="77777777" w:rsidR="00436CD0" w:rsidRPr="00C44D8C" w:rsidRDefault="00436CD0" w:rsidP="00436CD0">
      <w:pPr>
        <w:spacing w:line="360" w:lineRule="auto"/>
        <w:rPr>
          <w:rFonts w:asciiTheme="minorHAnsi" w:eastAsia="Arial" w:hAnsiTheme="minorHAnsi" w:cs="Arial"/>
          <w:color w:val="000000"/>
          <w:sz w:val="22"/>
          <w:szCs w:val="22"/>
          <w:lang w:eastAsia="zh-CN"/>
        </w:rPr>
      </w:pPr>
    </w:p>
    <w:p w14:paraId="6D23A506" w14:textId="77777777" w:rsidR="00436CD0" w:rsidRPr="00C44D8C" w:rsidRDefault="00436CD0" w:rsidP="002B69BD">
      <w:pPr>
        <w:pStyle w:val="Heading6"/>
        <w:rPr>
          <w:rFonts w:eastAsia="Arial" w:cs="Arial"/>
          <w:lang w:eastAsia="zh-CN"/>
        </w:rPr>
      </w:pPr>
      <w:bookmarkStart w:id="115" w:name="_Toc462575327"/>
      <w:r w:rsidRPr="00C44D8C">
        <w:rPr>
          <w:rFonts w:eastAsia="Calibri"/>
          <w:lang w:eastAsia="zh-CN"/>
        </w:rPr>
        <w:t>4.2.5. Zeta potential analysis</w:t>
      </w:r>
      <w:bookmarkEnd w:id="115"/>
    </w:p>
    <w:p w14:paraId="0B7ED67D"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 EPM of </w:t>
      </w:r>
      <w:r w:rsidRPr="00C44D8C">
        <w:rPr>
          <w:rFonts w:asciiTheme="minorHAnsi" w:eastAsia="Calibri" w:hAnsiTheme="minorHAnsi" w:cs="Calibri"/>
          <w:i/>
          <w:color w:val="000000"/>
          <w:sz w:val="22"/>
          <w:szCs w:val="22"/>
          <w:lang w:eastAsia="zh-CN"/>
        </w:rPr>
        <w:t>M. barkeri</w:t>
      </w:r>
      <w:r w:rsidRPr="00C44D8C">
        <w:rPr>
          <w:rFonts w:asciiTheme="minorHAnsi" w:eastAsia="Calibri" w:hAnsiTheme="minorHAnsi" w:cs="Calibri"/>
          <w:color w:val="000000"/>
          <w:sz w:val="22"/>
          <w:szCs w:val="22"/>
          <w:lang w:eastAsia="zh-CN"/>
        </w:rPr>
        <w:t xml:space="preserve"> was measured using phase amplitude light scattering in 100 mM KCl solution at a pH of 2, 4, 6, 7, 8 and 10, with the pH adjusted with potassium hydroxide (KOH) and hydrochloric acid (HCl). The EPM of cells at each different pH was measured, using the same methods described previously in section 3.2.5.3.</w:t>
      </w:r>
    </w:p>
    <w:p w14:paraId="1BF71DE7"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p>
    <w:p w14:paraId="7242EC00" w14:textId="77777777" w:rsidR="00436CD0" w:rsidRPr="00C44D8C" w:rsidRDefault="00436CD0" w:rsidP="002B69BD">
      <w:pPr>
        <w:pStyle w:val="Heading6"/>
        <w:rPr>
          <w:rFonts w:eastAsia="Arial" w:cs="Arial"/>
          <w:lang w:eastAsia="zh-CN"/>
        </w:rPr>
      </w:pPr>
      <w:bookmarkStart w:id="116" w:name="_Toc462575328"/>
      <w:r w:rsidRPr="00C44D8C">
        <w:rPr>
          <w:rFonts w:eastAsia="Calibri"/>
          <w:lang w:eastAsia="zh-CN"/>
        </w:rPr>
        <w:t>4.2.6. Multiple fluorescent staining of cell surface components</w:t>
      </w:r>
      <w:bookmarkEnd w:id="116"/>
      <w:r w:rsidRPr="00C44D8C">
        <w:rPr>
          <w:rFonts w:eastAsia="Calibri"/>
          <w:lang w:eastAsia="zh-CN"/>
        </w:rPr>
        <w:t xml:space="preserve"> </w:t>
      </w:r>
    </w:p>
    <w:p w14:paraId="0C64A7FA"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After 96 h of growth, biofilm cells on PVC and PETG were collected and harvested as described previously, by rinsing with anaerobically-prepared PBS and harvested by </w:t>
      </w:r>
      <w:r w:rsidRPr="00C44D8C">
        <w:rPr>
          <w:rFonts w:asciiTheme="minorHAnsi" w:eastAsia="Calibri" w:hAnsiTheme="minorHAnsi" w:cs="Calibri"/>
          <w:color w:val="000000"/>
          <w:sz w:val="22"/>
          <w:szCs w:val="22"/>
          <w:lang w:eastAsia="zh-CN"/>
        </w:rPr>
        <w:lastRenderedPageBreak/>
        <w:t xml:space="preserve">centrifugation at 6000 x g for 5 minutes. The supernatant was removed from harvested cells. Cells were resuspended in 1 ml of PBS and aliquoted into sterile microcentrifuge tubes, before adding 4% (w/v) paraformaldehyde solution to fix cells for 15 minutes inside an anaerobic chamber. Thereafter, fixed cells were harvested by centrifugation at 6000 x g for 5 minutes and the fixing agent supernatant was removed. 1 ml of PBS was added in order to rinse cells of fixing agent, before further centrifugation to harvest cells. </w:t>
      </w:r>
    </w:p>
    <w:p w14:paraId="0C8CCB8F" w14:textId="5E8A5199"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Fluorescent staining of harvested biofilm cells was carried out within foil-wrapped microcentrifuge tubes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"10.1128/AEM.71.2.1051", "ISBN" : "4989289137", "author" : [ { "dropping-particle" : "", "family" : "Mcswain", "given" : "B S", "non-dropping-particle" : "", "parse-names" : false, "suffix" : "" }, { "dropping-particle" : "", "family" : "Irvine", "given" : "R L", "non-dropping-particle" : "", "parse-names" : false, "suffix" : "" }, { "dropping-particle" : "", "family" : "Hausner", "given" : "M", "non-dropping-particle" : "", "parse-names" : false, "suffix" : "" }, { "dropping-particle" : "", "family" : "Wilderer", "given" : "P A", "non-dropping-particle" : "", "parse-names" : false, "suffix" : "" } ], "container-title" : "Applied and Environmental Microbiology", "id" : "ITEM-1", "issue" : "2", "issued" : { "date-parts" : [ [ "2005" ] ] }, "page" : "1051-1057", "title" : "Composition and Distribution of Extracellular Polymeric Substances in Aerobic Flocs and Granular Sludge", "type" : "article-journal", "volume" : "71" }, "uris" : [ "http://www.mendeley.com/documents/?uuid=9c48ed5e-3a65-4c4f-b1b8-2d34cfcf9073" ] } ], "mendeley" : { "formattedCitation" : "[140]", "plainTextFormattedCitation" : "[140]", "previouslyFormattedCitation" : "[140]"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[140]</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in order to determine the </w:t>
      </w:r>
      <w:r w:rsidR="00DB56D6">
        <w:rPr>
          <w:rFonts w:asciiTheme="minorHAnsi" w:eastAsia="Calibri" w:hAnsiTheme="minorHAnsi" w:cs="Calibri"/>
          <w:color w:val="000000"/>
          <w:sz w:val="22"/>
          <w:szCs w:val="22"/>
          <w:lang w:eastAsia="zh-CN"/>
        </w:rPr>
        <w:t xml:space="preserve">amount of polysaccharides and proteins on the cell surface. </w:t>
      </w:r>
      <w:r w:rsidRPr="00C44D8C">
        <w:rPr>
          <w:rFonts w:asciiTheme="minorHAnsi" w:eastAsia="Calibri" w:hAnsiTheme="minorHAnsi" w:cs="Calibri"/>
          <w:color w:val="000000"/>
          <w:sz w:val="22"/>
          <w:szCs w:val="22"/>
          <w:lang w:eastAsia="zh-CN"/>
        </w:rPr>
        <w:t xml:space="preserve">Following the staining methodology used by </w:t>
      </w:r>
      <w:r w:rsidRPr="001D078B">
        <w:rPr>
          <w:rFonts w:asciiTheme="minorHAnsi" w:eastAsia="Calibri" w:hAnsiTheme="minorHAnsi" w:cs="Calibri"/>
          <w:color w:val="000000"/>
          <w:sz w:val="22"/>
          <w:szCs w:val="22"/>
          <w:lang w:eastAsia="zh-CN"/>
        </w:rPr>
        <w:t xml:space="preserve">Fish </w:t>
      </w:r>
      <w:r w:rsidRPr="001D078B">
        <w:rPr>
          <w:rFonts w:asciiTheme="minorHAnsi" w:eastAsia="Calibri" w:hAnsiTheme="minorHAnsi" w:cs="Calibri"/>
          <w:i/>
          <w:color w:val="000000"/>
          <w:sz w:val="22"/>
          <w:szCs w:val="22"/>
          <w:lang w:eastAsia="zh-CN"/>
        </w:rPr>
        <w:t xml:space="preserve">et al. </w:t>
      </w:r>
      <w:r w:rsidRPr="001D078B">
        <w:rPr>
          <w:rFonts w:asciiTheme="minorHAnsi" w:eastAsia="Calibri" w:hAnsiTheme="minorHAnsi" w:cs="Calibri"/>
          <w:color w:val="000000"/>
          <w:sz w:val="22"/>
          <w:szCs w:val="22"/>
          <w:lang w:eastAsia="zh-CN"/>
        </w:rPr>
        <w:t>(2015)</w:t>
      </w:r>
      <w:r w:rsidR="001D078B">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"10.1371/journal.pone.0115824", "author" : [ { "dropping-particle" : "", "family" : "Fish", "given" : "Katherine E", "non-dropping-particle" : "", "parse-names" : false, "suffix" : "" }, { "dropping-particle" : "", "family" : "Collins", "given" : "Richard", "non-dropping-particle" : "", "parse-names" : false, "suffix" : "" }, { "dropping-particle" : "", "family" : "Green", "given" : "Nicola H", "non-dropping-particle" : "", "parse-names" : false, "suffix" : "" }, { "dropping-particle" : "", "family" : "Sharpe", "given" : "Rebecca L", "non-dropping-particle" : "", "parse-names" : false, "suffix" : "" }, { "dropping-particle" : "", "family" : "Douterelo", "given" : "Isabel", "non-dropping-particle" : "", "parse-names" : false, "suffix" : "" }, { "dropping-particle" : "", "family" : "Osborn", "given" : "A Mark", "non-dropping-particle" : "", "parse-names" : false, "suffix" : "" }, { "dropping-particle" : "", "family" : "Boxall", "given" : "Joby B", "non-dropping-particle" : "", "parse-names" : false, "suffix" : "" } ], "container-title" : "PloS one", "id" : "ITEM-1", "issue" : "2", "issued" : { "date-parts" : [ [ "2015" ] ] }, "page" : "1-22", "title" : "Characterisation of the Physical Composition and Microbial Community Structure of Biofilms within a Model Full-Scale Drinking Water Distribution System", "type" : "article-journal", "volume" : "10" }, "uris" : [ "http://www.mendeley.com/documents/?uuid=524bf8f3-e31b-499e-be24-7045210c5a4b" ] } ], "mendeley" : { "formattedCitation" : "[138]", "plainTextFormattedCitation" : "[138]", "previouslyFormattedCitation" : "[138]"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[138]</w:t>
      </w:r>
      <w:r w:rsidR="001D078B">
        <w:rPr>
          <w:rFonts w:asciiTheme="minorHAnsi" w:eastAsia="Calibri" w:hAnsiTheme="minorHAnsi" w:cs="Calibri"/>
          <w:color w:val="000000"/>
          <w:sz w:val="22"/>
          <w:szCs w:val="22"/>
          <w:lang w:eastAsia="zh-CN"/>
        </w:rPr>
        <w:fldChar w:fldCharType="end"/>
      </w:r>
      <w:r w:rsidRPr="001D078B">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lang w:eastAsia="zh-CN"/>
        </w:rPr>
        <w:t xml:space="preserve"> </w:t>
      </w:r>
      <w:r w:rsidR="00DB56D6">
        <w:rPr>
          <w:rFonts w:asciiTheme="minorHAnsi" w:eastAsia="Calibri" w:hAnsiTheme="minorHAnsi" w:cs="Calibri"/>
          <w:color w:val="000000"/>
          <w:sz w:val="22"/>
          <w:szCs w:val="22"/>
          <w:lang w:eastAsia="zh-CN"/>
        </w:rPr>
        <w:t>a</w:t>
      </w:r>
      <w:r w:rsidRPr="00C44D8C">
        <w:rPr>
          <w:rFonts w:asciiTheme="minorHAnsi" w:eastAsia="Calibri" w:hAnsiTheme="minorHAnsi" w:cs="Calibri"/>
          <w:color w:val="000000"/>
          <w:sz w:val="22"/>
          <w:szCs w:val="22"/>
          <w:lang w:eastAsia="zh-CN"/>
        </w:rPr>
        <w:t xml:space="preserve"> triple fluorophore combination of DAPI, fluorescein-5-isothiocyanate (FITC) and concanavalin A lectin conjugate</w:t>
      </w:r>
      <w:r w:rsidR="00DB56D6">
        <w:rPr>
          <w:rFonts w:asciiTheme="minorHAnsi" w:eastAsia="Calibri" w:hAnsiTheme="minorHAnsi" w:cs="Calibri"/>
          <w:color w:val="000000"/>
          <w:sz w:val="22"/>
          <w:szCs w:val="22"/>
          <w:lang w:eastAsia="zh-CN"/>
        </w:rPr>
        <w:t>d with rhodamine (ConA-Rho) was</w:t>
      </w:r>
      <w:r w:rsidRPr="00C44D8C">
        <w:rPr>
          <w:rFonts w:asciiTheme="minorHAnsi" w:eastAsia="Calibri" w:hAnsiTheme="minorHAnsi" w:cs="Calibri"/>
          <w:color w:val="000000"/>
          <w:sz w:val="22"/>
          <w:szCs w:val="22"/>
          <w:lang w:eastAsia="zh-CN"/>
        </w:rPr>
        <w:t xml:space="preserve"> used to detect cellular DNA, amines and amino-sugars, and extracellular </w:t>
      </w:r>
      <w:r w:rsidRPr="00C44D8C">
        <w:rPr>
          <w:rFonts w:asciiTheme="minorHAnsi" w:eastAsia="Arial" w:hAnsiTheme="minorHAnsi" w:cs="Arial"/>
          <w:color w:val="000000"/>
          <w:sz w:val="22"/>
          <w:szCs w:val="22"/>
          <w:lang w:eastAsia="zh-CN"/>
        </w:rPr>
        <w:t xml:space="preserve">α-mannopyranosyl and α -glucopyranosyl sugar residues </w:t>
      </w:r>
      <w:r w:rsidR="001D078B">
        <w:rPr>
          <w:rFonts w:asciiTheme="minorHAnsi" w:eastAsia="Arial" w:hAnsiTheme="minorHAnsi" w:cs="Arial"/>
          <w:color w:val="000000"/>
          <w:sz w:val="22"/>
          <w:szCs w:val="22"/>
          <w:lang w:eastAsia="zh-CN"/>
        </w:rPr>
        <w:fldChar w:fldCharType="begin" w:fldLock="1"/>
      </w:r>
      <w:r w:rsidR="00F6573E">
        <w:rPr>
          <w:rFonts w:asciiTheme="minorHAnsi" w:eastAsia="Arial" w:hAnsiTheme="minorHAnsi" w:cs="Arial"/>
          <w:color w:val="000000"/>
          <w:sz w:val="22"/>
          <w:szCs w:val="22"/>
          <w:lang w:eastAsia="zh-CN"/>
        </w:rPr>
        <w:instrText>ADDIN CSL_CITATION { "citationItems" : [ { "id" : "ITEM-1", "itemData" : { "DOI" : "10.3389/fmicb.2014.00353", "ISSN" : "1664-302X", "PMID" : "25071757", "abstract" : "Although in nature most microorganisms are known to occur predominantly in consortia or biofilms, data on archaeal biofilm formation are in general scarce. Here, the ability of three methanoarchaeal strains, Methanobrevibacter smithii and Methanosphaera stadtmanae, which form part of the human gut microbiota, and the Methanosarcina mazei strain G\u00f61 to grow on different surfaces and form biofilms was investigated. All three strains adhered to the substrate mica and grew predominantly as bilayers on its surface as demonstrated by confocal laser scanning microscopy analyses, though the formation of multi-layered biofilms of Methanosphaera stadtmanae and Methanobrevibacter smithii was observed as well. Stable biofilm formation was further confirmed by scanning electron microscopy analysis. Methanosarcina mazei and Methanobrevibacter smithii also formed multi-layered biofilms in uncoated plastic \u03bc-dishes(TM), which were very similar in morphology and reached a height of up to 40 \u03bcm. In contrast, biofilms formed by Methanosphaera stadtmanae reached only a height of 2 \u03bcm. Staining with the two lectins ConA and IB4 indicated that all three strains produced relatively low amounts of extracellular polysaccharides most likely containing glucose, mannose, and galactose. Taken together, this study provides the first evidence that methanoarchaea can develop and form biofilms on different substrates and thus, will contribute to our knowledge on the appearance and physiological role of Methanobrevibacter smithii and Methanosphaera stadtmanae in the human intestine.", "author" : [ { "dropping-particle" : "", "family" : "Bang", "given" : "Corinna", "non-dropping-particle" : "", "parse-names" : false, "suffix" : "" }, { "dropping-particle" : "", "family" : "Ehlers", "given" : "Claudia", "non-dropping-particle" : "", "parse-names" : false, "suffix" : "" }, { "dropping-particle" : "", "family" : "Orell", "given" : "Alvaro", "non-dropping-particle" : "", "parse-names" : false, "suffix" : "" }, { "dropping-particle" : "", "family" : "Prasse", "given" : "Daniela", "non-dropping-particle" : "", "parse-names" : false, "suffix" : "" }, { "dropping-particle" : "", "family" : "Spinner", "given" : "Marlene", "non-dropping-particle" : "", "parse-names" : false, "suffix" : "" }, { "dropping-particle" : "", "family" : "Gorb", "given" : "Stanislav N", "non-dropping-particle" : "", "parse-names" : false, "suffix" : "" }, { "dropping-particle" : "", "family" : "Albers", "given" : "Sonja-Verena", "non-dropping-particle" : "", "parse-names" : false, "suffix" : "" }, { "dropping-particle" : "", "family" : "Schmitz", "given" : "Ruth a", "non-dropping-particle" : "", "parse-names" : false, "suffix" : "" } ], "container-title" : "Frontiers in microbiology", "id" : "ITEM-1", "issue" : "July", "issued" : { "date-parts" : [ [ "2014", "1" ] ] }, "page" : "353", "title" : "Biofilm formation of mucosa-associated methanoarchaeal strains.", "type" : "article-journal", "volume" : "5" }, "uris" : [ "http://www.mendeley.com/documents/?uuid=32a7e40a-8f85-4f4b-a0bd-b51d05eda89c" ] } ], "mendeley" : { "formattedCitation" : "[57]", "plainTextFormattedCitation" : "[57]", "previouslyFormattedCitation" : "[57]" }, "properties" : { "noteIndex" : 0 }, "schema" : "https://github.com/citation-style-language/schema/raw/master/csl-citation.json" }</w:instrText>
      </w:r>
      <w:r w:rsidR="001D078B">
        <w:rPr>
          <w:rFonts w:asciiTheme="minorHAnsi" w:eastAsia="Arial" w:hAnsiTheme="minorHAnsi" w:cs="Arial"/>
          <w:color w:val="000000"/>
          <w:sz w:val="22"/>
          <w:szCs w:val="22"/>
          <w:lang w:eastAsia="zh-CN"/>
        </w:rPr>
        <w:fldChar w:fldCharType="separate"/>
      </w:r>
      <w:r w:rsidR="003250CB" w:rsidRPr="003250CB">
        <w:rPr>
          <w:rFonts w:asciiTheme="minorHAnsi" w:eastAsia="Arial" w:hAnsiTheme="minorHAnsi" w:cs="Arial"/>
          <w:noProof/>
          <w:color w:val="000000"/>
          <w:sz w:val="22"/>
          <w:szCs w:val="22"/>
          <w:lang w:eastAsia="zh-CN"/>
        </w:rPr>
        <w:t>[57]</w:t>
      </w:r>
      <w:r w:rsidR="001D078B">
        <w:rPr>
          <w:rFonts w:asciiTheme="minorHAnsi" w:eastAsia="Arial" w:hAnsiTheme="minorHAnsi" w:cs="Arial"/>
          <w:color w:val="000000"/>
          <w:sz w:val="22"/>
          <w:szCs w:val="22"/>
          <w:lang w:eastAsia="zh-CN"/>
        </w:rPr>
        <w:fldChar w:fldCharType="end"/>
      </w:r>
      <w:r w:rsidR="001D078B">
        <w:rPr>
          <w:rFonts w:asciiTheme="minorHAnsi" w:eastAsia="Arial" w:hAnsiTheme="minorHAnsi" w:cs="Arial"/>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with staining carried out in this order. </w:t>
      </w:r>
    </w:p>
    <w:p w14:paraId="1069E719" w14:textId="2E77B165" w:rsidR="00436CD0" w:rsidRPr="00C44D8C" w:rsidRDefault="00436CD0" w:rsidP="00114AA3">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A volume of 1 ml of 1 µg/ml of DAPI was used to stain samples for 10 minutes at room temperature in the dark, followed by staining with 1 ml of 100 µg/ml of FITC for 1 h at room temperature in the dark, and 1 ml of 100 µg/ml of ConA-Rho for 30 minutes at room temperature in the dark. An intermediate washing step with Milli-Q water followed each staining stage. Standards on glass coverslips (Sigma-Aldrich, UK) were established prior to experimental analysis to confirm the binding specificity of the chosen fluorophores, by immersing coverslips into sterile 50 ml Falcon tubes containing 1 µg/ml of bovine serum albumin </w:t>
      </w:r>
      <w:r w:rsidR="00DB56D6">
        <w:rPr>
          <w:rFonts w:asciiTheme="minorHAnsi" w:eastAsia="Calibri" w:hAnsiTheme="minorHAnsi" w:cs="Calibri"/>
          <w:color w:val="000000"/>
          <w:sz w:val="22"/>
          <w:szCs w:val="22"/>
          <w:lang w:eastAsia="zh-CN"/>
        </w:rPr>
        <w:t xml:space="preserve">(to model proteins) </w:t>
      </w:r>
      <w:r w:rsidRPr="00C44D8C">
        <w:rPr>
          <w:rFonts w:asciiTheme="minorHAnsi" w:eastAsia="Calibri" w:hAnsiTheme="minorHAnsi" w:cs="Calibri"/>
          <w:color w:val="000000"/>
          <w:sz w:val="22"/>
          <w:szCs w:val="22"/>
          <w:lang w:eastAsia="zh-CN"/>
        </w:rPr>
        <w:t>and glucose solution</w:t>
      </w:r>
      <w:r w:rsidR="00DB56D6">
        <w:rPr>
          <w:rFonts w:asciiTheme="minorHAnsi" w:eastAsia="Calibri" w:hAnsiTheme="minorHAnsi" w:cs="Calibri"/>
          <w:color w:val="000000"/>
          <w:sz w:val="22"/>
          <w:szCs w:val="22"/>
          <w:lang w:eastAsia="zh-CN"/>
        </w:rPr>
        <w:t xml:space="preserve"> (to model polysaccharides)</w:t>
      </w:r>
      <w:r w:rsidRPr="00C44D8C">
        <w:rPr>
          <w:rFonts w:asciiTheme="minorHAnsi" w:eastAsia="Calibri" w:hAnsiTheme="minorHAnsi" w:cs="Calibri"/>
          <w:color w:val="000000"/>
          <w:sz w:val="22"/>
          <w:szCs w:val="22"/>
          <w:lang w:eastAsia="zh-CN"/>
        </w:rPr>
        <w:t xml:space="preserve"> for 1 h (Sigma-Aldrich, UK). Thereafter, glass coverslips were removed from their standard solutions and left to air dry within a laminar flow hood, before staining with DAPI, ConA-Rho and FITC fluorophores as described previously. </w:t>
      </w:r>
    </w:p>
    <w:p w14:paraId="49D35BC2"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After staining, cells were centrifuged at 6000 x g for 5 minutes, the supernatant removed and cells resuspended in PBS. Immediately before imaging on epifluorescence microscopy, 10 µl of cell suspension from the biofilm and planktonic samples were pipetted onto clean glass microscope slides and covered with a glass coverslip (Sigma-Aldrich, UK) for microscopic viewing. </w:t>
      </w:r>
    </w:p>
    <w:p w14:paraId="4C740BB9"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Acquisition was facilitated with a Leica AF6000 inverted microscope attached to a computer with a magnification of 100 in order to obtain a representative surface coverage. The fluorophores were visualised on three channels corresponding to excitation and emission wavelengths of 358/461 nm (DAPI), 488/520 nm (FITC) and 543/580 nm (ConA-Rho). Five microscopic fields (1 mm</w:t>
      </w:r>
      <w:r w:rsidRPr="00C44D8C">
        <w:rPr>
          <w:rFonts w:asciiTheme="minorHAnsi" w:eastAsia="Calibri" w:hAnsiTheme="minorHAnsi" w:cs="Calibri"/>
          <w:color w:val="000000"/>
          <w:sz w:val="22"/>
          <w:szCs w:val="22"/>
          <w:vertAlign w:val="superscript"/>
          <w:lang w:eastAsia="zh-CN"/>
        </w:rPr>
        <w:t>2</w:t>
      </w:r>
      <w:r w:rsidRPr="00C44D8C">
        <w:rPr>
          <w:rFonts w:asciiTheme="minorHAnsi" w:eastAsia="Calibri" w:hAnsiTheme="minorHAnsi" w:cs="Calibri"/>
          <w:color w:val="000000"/>
          <w:sz w:val="22"/>
          <w:szCs w:val="22"/>
          <w:lang w:eastAsia="zh-CN"/>
        </w:rPr>
        <w:t xml:space="preserve"> per field) were randomly selected for each sample and measured as percentage of surface area coverage. Images were analysed with the ImageJ </w:t>
      </w:r>
      <w:r w:rsidRPr="00C44D8C">
        <w:rPr>
          <w:rFonts w:asciiTheme="minorHAnsi" w:eastAsia="Calibri" w:hAnsiTheme="minorHAnsi" w:cs="Calibri"/>
          <w:color w:val="000000"/>
          <w:sz w:val="22"/>
          <w:szCs w:val="22"/>
          <w:lang w:eastAsia="zh-CN"/>
        </w:rPr>
        <w:lastRenderedPageBreak/>
        <w:t>software in ‘Analyse Particles’ mode to calculate the average percentage of area covered by cells after 96 h.</w:t>
      </w:r>
    </w:p>
    <w:p w14:paraId="1AF2A7C7"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p>
    <w:p w14:paraId="6A1B4286" w14:textId="77777777" w:rsidR="00436CD0" w:rsidRPr="00C44D8C" w:rsidRDefault="00436CD0" w:rsidP="002B69BD">
      <w:pPr>
        <w:pStyle w:val="Heading6"/>
        <w:rPr>
          <w:rFonts w:eastAsia="Calibri"/>
          <w:lang w:eastAsia="zh-CN"/>
        </w:rPr>
      </w:pPr>
      <w:bookmarkStart w:id="117" w:name="_Toc462575329"/>
      <w:r w:rsidRPr="00C44D8C">
        <w:rPr>
          <w:rFonts w:eastAsia="Calibri"/>
          <w:lang w:eastAsia="zh-CN"/>
        </w:rPr>
        <w:t>4.2.7. Statistical analysis</w:t>
      </w:r>
      <w:bookmarkEnd w:id="117"/>
    </w:p>
    <w:p w14:paraId="32D40897"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Statistical analysis was performed using GraphPad Prism. The Brown-Forsythe test was used to determine statistical differences between group variances. A one-way ANOVA with Tukey’s </w:t>
      </w:r>
      <w:r w:rsidRPr="00C44D8C">
        <w:rPr>
          <w:rFonts w:asciiTheme="minorHAnsi" w:eastAsia="Calibri" w:hAnsiTheme="minorHAnsi" w:cs="Calibri"/>
          <w:i/>
          <w:iCs/>
          <w:color w:val="000000"/>
          <w:sz w:val="22"/>
          <w:szCs w:val="22"/>
          <w:lang w:eastAsia="zh-CN"/>
        </w:rPr>
        <w:t xml:space="preserve">post-hoc </w:t>
      </w:r>
      <w:r w:rsidRPr="00C44D8C">
        <w:rPr>
          <w:rFonts w:asciiTheme="minorHAnsi" w:eastAsia="Calibri" w:hAnsiTheme="minorHAnsi" w:cs="Calibri"/>
          <w:color w:val="000000"/>
          <w:sz w:val="22"/>
          <w:szCs w:val="22"/>
          <w:lang w:eastAsia="zh-CN"/>
        </w:rPr>
        <w:t>test was used to compare the growth curves between the staggered parent cultures, and an unpaired student t-test to compare the surface chemical information obtained from XPS and fluorescent staining results for both biofilm samples.</w:t>
      </w:r>
    </w:p>
    <w:p w14:paraId="0B5A50A4" w14:textId="77777777" w:rsidR="00436CD0" w:rsidRPr="00C44D8C" w:rsidRDefault="00436CD0" w:rsidP="00436CD0">
      <w:pPr>
        <w:spacing w:line="360" w:lineRule="auto"/>
        <w:rPr>
          <w:rFonts w:asciiTheme="minorHAnsi" w:eastAsia="Arial" w:hAnsiTheme="minorHAnsi" w:cs="Arial"/>
          <w:color w:val="000000"/>
          <w:sz w:val="22"/>
          <w:szCs w:val="22"/>
          <w:lang w:eastAsia="zh-CN"/>
        </w:rPr>
      </w:pPr>
    </w:p>
    <w:p w14:paraId="22D45781" w14:textId="26F37D3F" w:rsidR="00436CD0" w:rsidRPr="00C44D8C" w:rsidRDefault="00436CD0" w:rsidP="002B69BD">
      <w:pPr>
        <w:pStyle w:val="Heading1"/>
        <w:rPr>
          <w:lang w:eastAsia="zh-CN"/>
        </w:rPr>
      </w:pPr>
      <w:bookmarkStart w:id="118" w:name="_Toc462575330"/>
      <w:r w:rsidRPr="00C44D8C">
        <w:rPr>
          <w:lang w:eastAsia="zh-CN"/>
        </w:rPr>
        <w:t>4.3. Results</w:t>
      </w:r>
      <w:bookmarkEnd w:id="118"/>
    </w:p>
    <w:p w14:paraId="472DC4FB" w14:textId="77777777" w:rsidR="00436CD0" w:rsidRPr="00C44D8C" w:rsidRDefault="00436CD0" w:rsidP="002B69BD">
      <w:pPr>
        <w:pStyle w:val="Heading6"/>
        <w:rPr>
          <w:rFonts w:eastAsia="Calibri"/>
          <w:lang w:eastAsia="zh-CN"/>
        </w:rPr>
      </w:pPr>
      <w:bookmarkStart w:id="119" w:name="_Toc462575331"/>
      <w:r w:rsidRPr="00C44D8C">
        <w:rPr>
          <w:rFonts w:eastAsia="Calibri"/>
          <w:lang w:eastAsia="zh-CN"/>
        </w:rPr>
        <w:t>4.3.1. Fourier transform infrared spectroscopy (FTIR) analysis</w:t>
      </w:r>
      <w:bookmarkEnd w:id="119"/>
    </w:p>
    <w:p w14:paraId="41EAB836" w14:textId="77777777" w:rsidR="00436CD0" w:rsidRPr="00C44D8C" w:rsidRDefault="00436CD0" w:rsidP="00436CD0">
      <w:pPr>
        <w:spacing w:line="360" w:lineRule="auto"/>
        <w:rPr>
          <w:rFonts w:asciiTheme="minorHAnsi" w:eastAsia="Arial" w:hAnsiTheme="minorHAnsi" w:cs="Arial"/>
          <w:b/>
          <w:bCs/>
          <w:color w:val="FF0000"/>
          <w:sz w:val="22"/>
          <w:szCs w:val="22"/>
          <w:lang w:eastAsia="zh-CN"/>
        </w:rPr>
      </w:pPr>
      <w:r w:rsidRPr="00C44D8C">
        <w:rPr>
          <w:rFonts w:asciiTheme="minorHAnsi" w:eastAsia="Calibri" w:hAnsiTheme="minorHAnsi" w:cs="Calibri"/>
          <w:color w:val="000000"/>
          <w:sz w:val="22"/>
          <w:szCs w:val="22"/>
          <w:lang w:eastAsia="zh-CN"/>
        </w:rPr>
        <w:t xml:space="preserve">FTIR spectra was used to characterise the dominant functional groups found on the cell surface of </w:t>
      </w:r>
      <w:r w:rsidRPr="00C44D8C">
        <w:rPr>
          <w:rFonts w:asciiTheme="minorHAnsi" w:eastAsia="Calibri" w:hAnsiTheme="minorHAnsi" w:cs="Calibri"/>
          <w:i/>
          <w:iCs/>
          <w:color w:val="000000"/>
          <w:sz w:val="22"/>
          <w:szCs w:val="22"/>
          <w:lang w:eastAsia="zh-CN"/>
        </w:rPr>
        <w:t xml:space="preserve">M. barkeri </w:t>
      </w:r>
      <w:r w:rsidRPr="00C44D8C">
        <w:rPr>
          <w:rFonts w:asciiTheme="minorHAnsi" w:eastAsia="Calibri" w:hAnsiTheme="minorHAnsi" w:cs="Calibri"/>
          <w:color w:val="000000"/>
          <w:sz w:val="22"/>
          <w:szCs w:val="22"/>
          <w:lang w:eastAsia="zh-CN"/>
        </w:rPr>
        <w:t>between 800 and 1800 cm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xml:space="preserve"> when grown as a biofilm attached to either PVC or PETG. </w:t>
      </w:r>
    </w:p>
    <w:p w14:paraId="64A9C017" w14:textId="59CE8D02" w:rsidR="00436CD0" w:rsidRPr="00C44D8C" w:rsidRDefault="00436CD0" w:rsidP="00436CD0">
      <w:pPr>
        <w:spacing w:line="360" w:lineRule="auto"/>
        <w:ind w:firstLine="720"/>
        <w:rPr>
          <w:rFonts w:asciiTheme="minorHAnsi" w:eastAsia="Calibri" w:hAnsiTheme="minorHAnsi" w:cs="Calibri"/>
          <w:sz w:val="22"/>
          <w:szCs w:val="22"/>
          <w:lang w:eastAsia="zh-CN"/>
        </w:rPr>
      </w:pPr>
      <w:r w:rsidRPr="00C44D8C">
        <w:rPr>
          <w:rFonts w:asciiTheme="minorHAnsi" w:eastAsia="Calibri" w:hAnsiTheme="minorHAnsi" w:cs="Calibri"/>
          <w:color w:val="000000"/>
          <w:sz w:val="22"/>
          <w:szCs w:val="22"/>
          <w:lang w:eastAsia="zh-CN"/>
        </w:rPr>
        <w:t xml:space="preserve">The normalised FTIR spectra for PVC and PETG-biofilm cells showed identical dominant surface functional groups (Fig. 4.3a). In particular, there were major peak intensities of absorption bands in the spectral regions correlating to </w:t>
      </w:r>
      <w:r w:rsidR="002320D8">
        <w:rPr>
          <w:rFonts w:asciiTheme="minorHAnsi" w:eastAsia="Calibri" w:hAnsiTheme="minorHAnsi" w:cs="Calibri"/>
          <w:color w:val="000000"/>
          <w:sz w:val="22"/>
          <w:szCs w:val="22"/>
          <w:lang w:eastAsia="zh-CN"/>
        </w:rPr>
        <w:t xml:space="preserve">both </w:t>
      </w:r>
      <w:r w:rsidRPr="00C44D8C">
        <w:rPr>
          <w:rFonts w:asciiTheme="minorHAnsi" w:eastAsia="Calibri" w:hAnsiTheme="minorHAnsi" w:cs="Calibri"/>
          <w:color w:val="000000"/>
          <w:sz w:val="22"/>
          <w:szCs w:val="22"/>
          <w:lang w:eastAsia="zh-CN"/>
        </w:rPr>
        <w:t xml:space="preserve">polysaccharides </w:t>
      </w:r>
      <w:r w:rsidR="002320D8">
        <w:rPr>
          <w:rFonts w:asciiTheme="minorHAnsi" w:eastAsia="Calibri" w:hAnsiTheme="minorHAnsi" w:cs="Calibri"/>
          <w:color w:val="000000"/>
          <w:sz w:val="22"/>
          <w:szCs w:val="22"/>
          <w:lang w:eastAsia="zh-CN"/>
        </w:rPr>
        <w:t xml:space="preserve">and the phosphate groups of nucleic acids </w:t>
      </w:r>
      <w:r w:rsidRPr="00C44D8C">
        <w:rPr>
          <w:rFonts w:asciiTheme="minorHAnsi" w:eastAsia="Calibri" w:hAnsiTheme="minorHAnsi" w:cs="Calibri"/>
          <w:color w:val="000000"/>
          <w:sz w:val="22"/>
          <w:szCs w:val="22"/>
          <w:lang w:eastAsia="zh-CN"/>
        </w:rPr>
        <w:t>(1200-900cm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amide III components of proteins (1310-1240 cm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and amide I (C=O) and amide II components (N-H) (1700-1500 cm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"Naumann", "given" : "Dieter", "non-dropping-particle" : "", "parse-names" : false, "suffix" : "" } ], "container-title" : "Encyclopedia of Analytical Chemistry", "id" : "ITEM-1", "issued" : { "date-parts" : [ [ "2006" ] ] }, "page" : "102-131", "title" : "Infrared Spectroscopy in Microbiology", "type" : "chapter" }, "uris" : [ "http://www.mendeley.com/documents/?uuid=0f4ac524-2e96-4c53-8a59-07b172cb18de" ] } ], "mendeley" : { "formattedCitation" : "[103]", "plainTextFormattedCitation" : "[103]", "previouslyFormattedCitation" : "[103]"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[103]</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p>
    <w:p w14:paraId="5F3B0F57" w14:textId="77777777" w:rsidR="00436CD0" w:rsidRPr="00C44D8C" w:rsidRDefault="00436CD0" w:rsidP="00436CD0">
      <w:pPr>
        <w:spacing w:line="360" w:lineRule="auto"/>
        <w:ind w:firstLine="720"/>
        <w:rPr>
          <w:rFonts w:asciiTheme="minorHAnsi" w:eastAsia="Arial" w:hAnsiTheme="minorHAnsi" w:cs="Arial"/>
          <w:sz w:val="22"/>
          <w:szCs w:val="22"/>
          <w:lang w:eastAsia="zh-CN"/>
        </w:rPr>
      </w:pPr>
      <w:r w:rsidRPr="00C44D8C">
        <w:rPr>
          <w:rFonts w:asciiTheme="minorHAnsi" w:eastAsia="Calibri" w:hAnsiTheme="minorHAnsi" w:cs="Calibri"/>
          <w:sz w:val="22"/>
          <w:szCs w:val="22"/>
          <w:lang w:eastAsia="zh-CN"/>
        </w:rPr>
        <w:t xml:space="preserve">A comparison of the FTIR spectra of both biofilm samples (Fig. 4.3a) reveals an increase in the intensity of absorption bands corresponding to polysaccharide functional groups </w:t>
      </w:r>
      <w:r w:rsidRPr="00C44D8C">
        <w:rPr>
          <w:rFonts w:asciiTheme="minorHAnsi" w:eastAsia="Calibri" w:hAnsiTheme="minorHAnsi" w:cs="Calibri"/>
          <w:color w:val="000000"/>
          <w:sz w:val="22"/>
          <w:szCs w:val="22"/>
          <w:lang w:eastAsia="zh-CN"/>
        </w:rPr>
        <w:t>(1200-900 cm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and protein functional groups (1700-1500 cm</w:t>
      </w:r>
      <w:r w:rsidRPr="00C44D8C">
        <w:rPr>
          <w:rFonts w:asciiTheme="minorHAnsi" w:eastAsia="Calibri" w:hAnsiTheme="minorHAnsi" w:cs="Calibri"/>
          <w:color w:val="000000"/>
          <w:sz w:val="22"/>
          <w:szCs w:val="22"/>
          <w:vertAlign w:val="superscript"/>
          <w:lang w:eastAsia="zh-CN"/>
        </w:rPr>
        <w:t>-1</w:t>
      </w:r>
      <w:r w:rsidRPr="00C44D8C">
        <w:rPr>
          <w:rFonts w:asciiTheme="minorHAnsi" w:eastAsia="Calibri" w:hAnsiTheme="minorHAnsi" w:cs="Calibri"/>
          <w:color w:val="000000"/>
          <w:sz w:val="22"/>
          <w:szCs w:val="22"/>
          <w:lang w:eastAsia="zh-CN"/>
        </w:rPr>
        <w:t xml:space="preserve">) in PVC-biofilm cells compared to PETG-biofilm cells.  </w:t>
      </w:r>
      <w:r w:rsidRPr="00C44D8C">
        <w:rPr>
          <w:rFonts w:asciiTheme="minorHAnsi" w:eastAsia="Calibri" w:hAnsiTheme="minorHAnsi" w:cs="Calibri"/>
          <w:sz w:val="22"/>
          <w:szCs w:val="22"/>
          <w:lang w:eastAsia="zh-CN"/>
        </w:rPr>
        <w:t xml:space="preserve"> </w:t>
      </w:r>
    </w:p>
    <w:p w14:paraId="162353D8" w14:textId="6F56B085" w:rsidR="0058312F" w:rsidRDefault="00436CD0" w:rsidP="00436CD0">
      <w:pPr>
        <w:spacing w:line="360" w:lineRule="auto"/>
        <w:ind w:firstLine="720"/>
        <w:rPr>
          <w:rFonts w:asciiTheme="minorHAnsi" w:eastAsia="Calibri" w:hAnsiTheme="minorHAnsi" w:cs="Calibri"/>
          <w:color w:val="000000"/>
          <w:sz w:val="22"/>
          <w:szCs w:val="22"/>
          <w:lang w:eastAsia="zh-CN"/>
        </w:rPr>
        <w:sectPr w:rsidR="0058312F"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zh-CN"/>
        </w:rPr>
        <w:t>Previous studies have combined FTIR with PCA analysis to differentiate between cells in different stages of growth and lifestyle, showing the potential and relevance of this method in biofilm studies</w:t>
      </w:r>
      <w:r w:rsidR="001D078B">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"ITEM-1",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"id" : "ITEM-2", "itemData" : { "author" : [ { "dropping-particle" : "", "family" : "Mukherjee, J., Karunakaran, E., Biggs", "given" : "C.A.", "non-dropping-particle" : "", "parse-names" : false, "suffix" : "" } ], "container-title" : "Biofouling", "id" : "ITEM-2",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"mendeley" : { "formattedCitation" : "[89,92]", "plainTextFormattedCitation" : "[89,92]", "previouslyFormattedCitation" : "[89,92]"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[89,92]</w:t>
      </w:r>
      <w:r w:rsidR="001D078B">
        <w:rPr>
          <w:rFonts w:asciiTheme="minorHAnsi" w:eastAsia="Calibri" w:hAnsiTheme="minorHAnsi" w:cs="Calibri"/>
          <w:color w:val="000000"/>
          <w:sz w:val="22"/>
          <w:szCs w:val="22"/>
          <w:lang w:eastAsia="zh-CN"/>
        </w:rPr>
        <w:fldChar w:fldCharType="end"/>
      </w:r>
      <w:r w:rsidR="001D078B">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color w:val="000000"/>
          <w:sz w:val="22"/>
          <w:szCs w:val="22"/>
          <w:lang w:eastAsia="zh-CN"/>
        </w:rPr>
        <w:t>Cluster analysis using PCA analysis was used to identify any variations between the two biofilm samples.  PCA analysis identified distinct clustering of both experimental conditions from each other (Fig. 4.3b). These results suggest that there are distinct cell surface differences betwe</w:t>
      </w:r>
      <w:r w:rsidR="00DB56D6">
        <w:rPr>
          <w:rFonts w:asciiTheme="minorHAnsi" w:eastAsia="Calibri" w:hAnsiTheme="minorHAnsi" w:cs="Calibri"/>
          <w:color w:val="000000"/>
          <w:sz w:val="22"/>
          <w:szCs w:val="22"/>
          <w:lang w:eastAsia="zh-CN"/>
        </w:rPr>
        <w:t>en the two biofilm populations.</w:t>
      </w:r>
    </w:p>
    <w:p w14:paraId="348C52BE" w14:textId="645435F2" w:rsidR="00436CD0" w:rsidRDefault="00436CD0" w:rsidP="00436CD0">
      <w:pPr>
        <w:spacing w:line="360" w:lineRule="auto"/>
        <w:rPr>
          <w:rFonts w:asciiTheme="minorHAnsi" w:eastAsia="Arial" w:hAnsiTheme="minorHAnsi" w:cs="Arial"/>
          <w:color w:val="000000"/>
          <w:sz w:val="22"/>
          <w:szCs w:val="22"/>
          <w:lang w:eastAsia="zh-CN"/>
        </w:rPr>
      </w:pPr>
      <w:r w:rsidRPr="00C44D8C">
        <w:rPr>
          <w:rFonts w:asciiTheme="minorHAnsi" w:eastAsia="Arial" w:hAnsiTheme="minorHAnsi" w:cs="Arial"/>
          <w:noProof/>
          <w:color w:val="000000"/>
          <w:sz w:val="22"/>
          <w:szCs w:val="22"/>
          <w:lang w:eastAsia="en-GB"/>
        </w:rPr>
        <w:lastRenderedPageBreak/>
        <mc:AlternateContent>
          <mc:Choice Requires="wps">
            <w:drawing>
              <wp:anchor distT="0" distB="0" distL="114300" distR="114300" simplePos="0" relativeHeight="251682816" behindDoc="0" locked="0" layoutInCell="1" allowOverlap="1" wp14:anchorId="724A23F8" wp14:editId="55BD662A">
                <wp:simplePos x="0" y="0"/>
                <wp:positionH relativeFrom="column">
                  <wp:posOffset>99060</wp:posOffset>
                </wp:positionH>
                <wp:positionV relativeFrom="paragraph">
                  <wp:posOffset>167640</wp:posOffset>
                </wp:positionV>
                <wp:extent cx="2374265" cy="1403985"/>
                <wp:effectExtent l="0" t="0" r="0"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3BA6C9A" w14:textId="77777777" w:rsidR="007715D2" w:rsidRPr="0085755D" w:rsidRDefault="007715D2" w:rsidP="00436CD0">
                            <w:pPr>
                              <w:rPr>
                                <w:rFonts w:ascii="Calibri" w:hAnsi="Calibri"/>
                                <w:b/>
                                <w:bCs/>
                                <w:szCs w:val="24"/>
                              </w:rPr>
                            </w:pPr>
                            <w:r>
                              <w:rPr>
                                <w:rFonts w:ascii="Calibri" w:hAnsi="Calibri"/>
                                <w:b/>
                                <w:bCs/>
                                <w:szCs w:val="24"/>
                              </w:rPr>
                              <w:t>a</w:t>
                            </w:r>
                            <w:r w:rsidRPr="0085755D">
                              <w:rPr>
                                <w:rFonts w:ascii="Calibri" w:hAnsi="Calibri"/>
                                <w:b/>
                                <w:bCs/>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724A23F8" id="_x0000_s1045" type="#_x0000_t202" style="position:absolute;margin-left:7.8pt;margin-top:13.2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N3JgIAACU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" stroked="f">
                <v:textbox style="mso-fit-shape-to-text:t">
                  <w:txbxContent>
                    <w:p w14:paraId="63BA6C9A" w14:textId="77777777" w:rsidR="007715D2" w:rsidRPr="0085755D" w:rsidRDefault="007715D2" w:rsidP="00436CD0">
                      <w:pPr>
                        <w:rPr>
                          <w:rFonts w:ascii="Calibri" w:hAnsi="Calibri"/>
                          <w:b/>
                          <w:bCs/>
                          <w:szCs w:val="24"/>
                        </w:rPr>
                      </w:pPr>
                      <w:r>
                        <w:rPr>
                          <w:rFonts w:ascii="Calibri" w:hAnsi="Calibri"/>
                          <w:b/>
                          <w:bCs/>
                          <w:szCs w:val="24"/>
                        </w:rPr>
                        <w:t>a</w:t>
                      </w:r>
                      <w:r w:rsidRPr="0085755D">
                        <w:rPr>
                          <w:rFonts w:ascii="Calibri" w:hAnsi="Calibri"/>
                          <w:b/>
                          <w:bCs/>
                          <w:szCs w:val="24"/>
                        </w:rPr>
                        <w:t>)</w:t>
                      </w:r>
                    </w:p>
                  </w:txbxContent>
                </v:textbox>
              </v:shape>
            </w:pict>
          </mc:Fallback>
        </mc:AlternateContent>
      </w:r>
    </w:p>
    <w:p w14:paraId="0DA672C3" w14:textId="77777777" w:rsidR="0058312F" w:rsidRPr="00C44D8C" w:rsidRDefault="0058312F" w:rsidP="00436CD0">
      <w:pPr>
        <w:spacing w:line="360" w:lineRule="auto"/>
        <w:rPr>
          <w:rFonts w:asciiTheme="minorHAnsi" w:eastAsia="Arial" w:hAnsiTheme="minorHAnsi" w:cs="Arial"/>
          <w:color w:val="000000"/>
          <w:sz w:val="22"/>
          <w:szCs w:val="22"/>
          <w:lang w:eastAsia="zh-CN"/>
        </w:rPr>
      </w:pPr>
    </w:p>
    <w:p w14:paraId="064F2230" w14:textId="77777777" w:rsidR="00436CD0" w:rsidRPr="00C44D8C" w:rsidRDefault="00436CD0" w:rsidP="00436CD0">
      <w:pPr>
        <w:spacing w:line="360" w:lineRule="auto"/>
        <w:rPr>
          <w:rFonts w:asciiTheme="minorHAnsi" w:eastAsia="Arial" w:hAnsiTheme="minorHAnsi" w:cs="Arial"/>
          <w:color w:val="000000"/>
          <w:sz w:val="22"/>
          <w:szCs w:val="22"/>
          <w:lang w:eastAsia="zh-CN"/>
        </w:rPr>
      </w:pPr>
      <w:r w:rsidRPr="00C44D8C">
        <w:rPr>
          <w:rFonts w:asciiTheme="minorHAnsi" w:eastAsia="Arial" w:hAnsiTheme="minorHAnsi" w:cs="Arial"/>
          <w:color w:val="000000"/>
          <w:sz w:val="22"/>
          <w:szCs w:val="22"/>
          <w:lang w:eastAsia="zh-CN"/>
        </w:rPr>
        <w:object w:dxaOrig="8905" w:dyaOrig="4173" w14:anchorId="3013F053">
          <v:shape id="_x0000_i1029" type="#_x0000_t75" style="width:425.5pt;height:200pt" o:ole="">
            <v:imagedata r:id="rId39" o:title=""/>
          </v:shape>
          <o:OLEObject Type="Embed" ProgID="Prism6.Document" ShapeID="_x0000_i1029" DrawAspect="Content" ObjectID="_1568973013" r:id="rId40"/>
        </w:object>
      </w:r>
    </w:p>
    <w:p w14:paraId="24DF32C7" w14:textId="77777777" w:rsidR="00436CD0" w:rsidRPr="00C44D8C" w:rsidRDefault="00436CD0" w:rsidP="00436CD0">
      <w:pPr>
        <w:spacing w:line="360" w:lineRule="auto"/>
        <w:rPr>
          <w:rFonts w:asciiTheme="minorHAnsi" w:eastAsia="Arial" w:hAnsiTheme="minorHAnsi" w:cs="Arial"/>
          <w:color w:val="000000"/>
          <w:sz w:val="22"/>
          <w:szCs w:val="22"/>
          <w:lang w:eastAsia="zh-CN"/>
        </w:rPr>
      </w:pPr>
      <w:r w:rsidRPr="00C44D8C">
        <w:rPr>
          <w:rFonts w:asciiTheme="minorHAnsi" w:eastAsia="Arial" w:hAnsiTheme="minorHAnsi" w:cs="Arial"/>
          <w:noProof/>
          <w:color w:val="000000"/>
          <w:sz w:val="22"/>
          <w:szCs w:val="22"/>
          <w:lang w:eastAsia="en-GB"/>
        </w:rPr>
        <mc:AlternateContent>
          <mc:Choice Requires="wps">
            <w:drawing>
              <wp:anchor distT="0" distB="0" distL="114300" distR="114300" simplePos="0" relativeHeight="251688960" behindDoc="0" locked="0" layoutInCell="1" allowOverlap="1" wp14:anchorId="3BFD65B6" wp14:editId="0333D036">
                <wp:simplePos x="0" y="0"/>
                <wp:positionH relativeFrom="column">
                  <wp:posOffset>-1905</wp:posOffset>
                </wp:positionH>
                <wp:positionV relativeFrom="paragraph">
                  <wp:posOffset>-24765</wp:posOffset>
                </wp:positionV>
                <wp:extent cx="2374265" cy="2857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solidFill>
                          <a:srgbClr val="FFFFFF"/>
                        </a:solidFill>
                        <a:ln w="9525">
                          <a:noFill/>
                          <a:miter lim="800000"/>
                          <a:headEnd/>
                          <a:tailEnd/>
                        </a:ln>
                      </wps:spPr>
                      <wps:txbx>
                        <w:txbxContent>
                          <w:p w14:paraId="5246ECC0" w14:textId="77777777" w:rsidR="007715D2" w:rsidRPr="0085755D" w:rsidRDefault="007715D2" w:rsidP="00436CD0">
                            <w:pPr>
                              <w:rPr>
                                <w:rFonts w:ascii="Calibri" w:hAnsi="Calibri"/>
                                <w:b/>
                                <w:bCs/>
                                <w:szCs w:val="24"/>
                              </w:rPr>
                            </w:pPr>
                            <w:r>
                              <w:rPr>
                                <w:rFonts w:ascii="Calibri" w:hAnsi="Calibri"/>
                                <w:b/>
                                <w:bCs/>
                                <w:szCs w:val="24"/>
                              </w:rPr>
                              <w:t>b</w:t>
                            </w:r>
                            <w:r w:rsidRPr="0085755D">
                              <w:rPr>
                                <w:rFonts w:ascii="Calibri" w:hAnsi="Calibri"/>
                                <w:b/>
                                <w:bCs/>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http://schemas.microsoft.com/office/drawing/2014/chartex">
            <w:pict>
              <v:shape w14:anchorId="3BFD65B6" id="_x0000_s1046" type="#_x0000_t202" style="position:absolute;margin-left:-.15pt;margin-top:-1.95pt;width:186.95pt;height:22.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" stroked="f">
                <v:textbox>
                  <w:txbxContent>
                    <w:p w14:paraId="5246ECC0" w14:textId="77777777" w:rsidR="007715D2" w:rsidRPr="0085755D" w:rsidRDefault="007715D2" w:rsidP="00436CD0">
                      <w:pPr>
                        <w:rPr>
                          <w:rFonts w:ascii="Calibri" w:hAnsi="Calibri"/>
                          <w:b/>
                          <w:bCs/>
                          <w:szCs w:val="24"/>
                        </w:rPr>
                      </w:pPr>
                      <w:r>
                        <w:rPr>
                          <w:rFonts w:ascii="Calibri" w:hAnsi="Calibri"/>
                          <w:b/>
                          <w:bCs/>
                          <w:szCs w:val="24"/>
                        </w:rPr>
                        <w:t>b</w:t>
                      </w:r>
                      <w:r w:rsidRPr="0085755D">
                        <w:rPr>
                          <w:rFonts w:ascii="Calibri" w:hAnsi="Calibri"/>
                          <w:b/>
                          <w:bCs/>
                          <w:szCs w:val="24"/>
                        </w:rPr>
                        <w:t>)</w:t>
                      </w:r>
                    </w:p>
                  </w:txbxContent>
                </v:textbox>
              </v:shape>
            </w:pict>
          </mc:Fallback>
        </mc:AlternateContent>
      </w:r>
    </w:p>
    <w:p w14:paraId="21ABBDA2" w14:textId="77777777" w:rsidR="00436CD0" w:rsidRPr="00C44D8C" w:rsidRDefault="00436CD0" w:rsidP="00436CD0">
      <w:pPr>
        <w:spacing w:line="360" w:lineRule="auto"/>
        <w:jc w:val="center"/>
        <w:rPr>
          <w:rFonts w:asciiTheme="minorHAnsi" w:eastAsia="Arial" w:hAnsiTheme="minorHAnsi" w:cs="Arial"/>
          <w:color w:val="000000"/>
          <w:sz w:val="22"/>
          <w:szCs w:val="22"/>
          <w:lang w:eastAsia="zh-CN"/>
        </w:rPr>
      </w:pPr>
      <w:r w:rsidRPr="00C44D8C">
        <w:rPr>
          <w:rFonts w:asciiTheme="minorHAnsi" w:eastAsia="Arial" w:hAnsiTheme="minorHAnsi" w:cs="Arial"/>
          <w:noProof/>
          <w:color w:val="000000"/>
          <w:sz w:val="22"/>
          <w:szCs w:val="22"/>
          <w:lang w:eastAsia="en-GB"/>
        </w:rPr>
        <w:drawing>
          <wp:inline distT="0" distB="0" distL="0" distR="0" wp14:anchorId="75C759F7" wp14:editId="7BD35B54">
            <wp:extent cx="5401945" cy="3522980"/>
            <wp:effectExtent l="0" t="0" r="825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pter 2_PCA FTIR_biofilms only.tif"/>
                    <pic:cNvPicPr/>
                  </pic:nvPicPr>
                  <pic:blipFill>
                    <a:blip r:embed="rId41">
                      <a:extLst>
                        <a:ext uri="{28A0092B-C50C-407E-A947-70E740481C1C}">
                          <a14:useLocalDpi xmlns:a14="http://schemas.microsoft.com/office/drawing/2010/main" val="0"/>
                        </a:ext>
                      </a:extLst>
                    </a:blip>
                    <a:stretch>
                      <a:fillRect/>
                    </a:stretch>
                  </pic:blipFill>
                  <pic:spPr>
                    <a:xfrm>
                      <a:off x="0" y="0"/>
                      <a:ext cx="5401945" cy="3522980"/>
                    </a:xfrm>
                    <a:prstGeom prst="rect">
                      <a:avLst/>
                    </a:prstGeom>
                  </pic:spPr>
                </pic:pic>
              </a:graphicData>
            </a:graphic>
          </wp:inline>
        </w:drawing>
      </w:r>
    </w:p>
    <w:p w14:paraId="5BD8E037" w14:textId="77777777" w:rsidR="0058312F" w:rsidRDefault="00436CD0" w:rsidP="00436CD0">
      <w:pPr>
        <w:spacing w:line="360" w:lineRule="auto"/>
        <w:rPr>
          <w:rFonts w:asciiTheme="minorHAnsi" w:eastAsia="Arial" w:hAnsiTheme="minorHAnsi" w:cs="Arial"/>
          <w:color w:val="000000"/>
          <w:sz w:val="22"/>
          <w:szCs w:val="22"/>
          <w:lang w:eastAsia="zh-CN"/>
        </w:rPr>
        <w:sectPr w:rsidR="0058312F" w:rsidSect="00DF337D">
          <w:pgSz w:w="11906" w:h="16838"/>
          <w:pgMar w:top="1418" w:right="1418" w:bottom="1418" w:left="2268" w:header="708" w:footer="708" w:gutter="0"/>
          <w:cols w:space="708"/>
          <w:docGrid w:linePitch="360"/>
        </w:sectPr>
      </w:pPr>
      <w:r w:rsidRPr="00C44D8C">
        <w:rPr>
          <w:rFonts w:asciiTheme="minorHAnsi" w:eastAsia="Arial" w:hAnsiTheme="minorHAnsi" w:cs="Arial"/>
          <w:b/>
          <w:bCs/>
          <w:color w:val="000000"/>
          <w:sz w:val="22"/>
          <w:szCs w:val="22"/>
          <w:lang w:eastAsia="zh-CN"/>
        </w:rPr>
        <w:t>Fig. 4.3</w:t>
      </w:r>
      <w:r w:rsidRPr="00C44D8C">
        <w:rPr>
          <w:rFonts w:asciiTheme="minorHAnsi" w:eastAsia="Arial" w:hAnsiTheme="minorHAnsi" w:cs="Arial"/>
          <w:color w:val="000000"/>
          <w:sz w:val="22"/>
          <w:szCs w:val="22"/>
          <w:lang w:eastAsia="zh-CN"/>
        </w:rPr>
        <w:t xml:space="preserve"> Comparison between a) the FTIR spectra of PETG-biofilm (blue line) and PVC-biofilm cells (red line) of </w:t>
      </w:r>
      <w:r w:rsidRPr="00C44D8C">
        <w:rPr>
          <w:rFonts w:asciiTheme="minorHAnsi" w:eastAsia="Arial" w:hAnsiTheme="minorHAnsi" w:cs="Arial"/>
          <w:i/>
          <w:iCs/>
          <w:color w:val="000000"/>
          <w:sz w:val="22"/>
          <w:szCs w:val="22"/>
          <w:lang w:eastAsia="zh-CN"/>
        </w:rPr>
        <w:t xml:space="preserve">M. barkeri, </w:t>
      </w:r>
      <w:r w:rsidRPr="00C44D8C">
        <w:rPr>
          <w:rFonts w:asciiTheme="minorHAnsi" w:eastAsia="Arial" w:hAnsiTheme="minorHAnsi" w:cs="Arial"/>
          <w:color w:val="000000"/>
          <w:sz w:val="22"/>
          <w:szCs w:val="22"/>
          <w:lang w:eastAsia="zh-CN"/>
        </w:rPr>
        <w:t xml:space="preserve">and b) the principal component analysis of FTIR spectra of biofilms formed on PETG and PVC. </w:t>
      </w:r>
    </w:p>
    <w:p w14:paraId="6D2EB413" w14:textId="77777777" w:rsidR="00436CD0" w:rsidRPr="00C44D8C" w:rsidRDefault="00436CD0" w:rsidP="002B69BD">
      <w:pPr>
        <w:pStyle w:val="Heading6"/>
        <w:rPr>
          <w:rFonts w:eastAsia="Arial" w:cs="Arial"/>
          <w:color w:val="FF0000"/>
          <w:lang w:eastAsia="zh-CN"/>
        </w:rPr>
      </w:pPr>
      <w:bookmarkStart w:id="120" w:name="_Toc462575332"/>
      <w:r w:rsidRPr="00C44D8C">
        <w:rPr>
          <w:rFonts w:eastAsia="Calibri"/>
          <w:lang w:eastAsia="zh-CN"/>
        </w:rPr>
        <w:lastRenderedPageBreak/>
        <w:t>4.3.2. X-ray photoelectron spectroscopy (XPS) analysis</w:t>
      </w:r>
      <w:bookmarkEnd w:id="120"/>
      <w:r w:rsidRPr="00C44D8C">
        <w:rPr>
          <w:rFonts w:eastAsia="Calibri"/>
          <w:lang w:eastAsia="zh-CN"/>
        </w:rPr>
        <w:t xml:space="preserve"> </w:t>
      </w:r>
    </w:p>
    <w:p w14:paraId="33BF1F0F"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XPS analysis was used to analyse the cell surface chemical composition of </w:t>
      </w:r>
      <w:r w:rsidRPr="00C44D8C">
        <w:rPr>
          <w:rFonts w:asciiTheme="minorHAnsi" w:eastAsia="Calibri" w:hAnsiTheme="minorHAnsi" w:cs="Calibri"/>
          <w:i/>
          <w:iCs/>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when grown as a biofilm attached to either PVC or PETG, and a summary of the results are presented in Table 4.1. </w:t>
      </w:r>
    </w:p>
    <w:p w14:paraId="46175A7D" w14:textId="77777777" w:rsidR="00436CD0" w:rsidRPr="00C44D8C" w:rsidRDefault="00436CD0" w:rsidP="00436CD0">
      <w:pPr>
        <w:spacing w:line="360" w:lineRule="auto"/>
        <w:rPr>
          <w:rFonts w:asciiTheme="minorHAnsi" w:eastAsia="Arial" w:hAnsiTheme="minorHAnsi" w:cs="Arial"/>
          <w:b/>
          <w:bCs/>
          <w:color w:val="000000"/>
          <w:sz w:val="22"/>
          <w:szCs w:val="22"/>
          <w:lang w:eastAsia="zh-CN"/>
        </w:rPr>
      </w:pPr>
    </w:p>
    <w:p w14:paraId="08F757AA" w14:textId="77777777" w:rsidR="00436CD0" w:rsidRPr="00C44D8C" w:rsidRDefault="00436CD0" w:rsidP="00436CD0">
      <w:pPr>
        <w:spacing w:line="360" w:lineRule="auto"/>
        <w:rPr>
          <w:rFonts w:asciiTheme="minorHAnsi" w:eastAsia="Calibri" w:hAnsiTheme="minorHAnsi" w:cs="Calibri"/>
          <w:bCs/>
          <w:color w:val="000000"/>
          <w:sz w:val="22"/>
          <w:szCs w:val="22"/>
          <w:lang w:eastAsia="zh-CN"/>
        </w:rPr>
      </w:pPr>
      <w:r w:rsidRPr="00C44D8C">
        <w:rPr>
          <w:rFonts w:asciiTheme="minorHAnsi" w:eastAsia="Arial" w:hAnsiTheme="minorHAnsi" w:cs="Arial"/>
          <w:b/>
          <w:bCs/>
          <w:color w:val="000000"/>
          <w:sz w:val="22"/>
          <w:szCs w:val="22"/>
          <w:lang w:eastAsia="zh-CN"/>
        </w:rPr>
        <w:t>Table 4.1</w:t>
      </w:r>
      <w:r w:rsidRPr="00C44D8C">
        <w:rPr>
          <w:rFonts w:asciiTheme="minorHAnsi" w:eastAsia="Arial" w:hAnsiTheme="minorHAnsi" w:cs="Arial"/>
          <w:color w:val="000000"/>
          <w:sz w:val="22"/>
          <w:szCs w:val="22"/>
          <w:lang w:eastAsia="zh-CN"/>
        </w:rPr>
        <w:t xml:space="preserve"> Quantification of the elemental surface composition of </w:t>
      </w:r>
      <w:r w:rsidRPr="00C44D8C">
        <w:rPr>
          <w:rFonts w:asciiTheme="minorHAnsi" w:eastAsia="Arial" w:hAnsiTheme="minorHAnsi" w:cs="Arial"/>
          <w:i/>
          <w:iCs/>
          <w:color w:val="000000"/>
          <w:sz w:val="22"/>
          <w:szCs w:val="22"/>
          <w:lang w:eastAsia="zh-CN"/>
        </w:rPr>
        <w:t xml:space="preserve">M. barkeri </w:t>
      </w:r>
      <w:r w:rsidRPr="00C44D8C">
        <w:rPr>
          <w:rFonts w:asciiTheme="minorHAnsi" w:eastAsia="Arial" w:hAnsiTheme="minorHAnsi" w:cs="Arial"/>
          <w:color w:val="000000"/>
          <w:sz w:val="22"/>
          <w:szCs w:val="22"/>
          <w:lang w:eastAsia="zh-CN"/>
        </w:rPr>
        <w:t xml:space="preserve">grown as a biofilm attached to either PVC or PETG. </w:t>
      </w:r>
      <w:r w:rsidRPr="00C44D8C">
        <w:rPr>
          <w:rFonts w:asciiTheme="minorHAnsi" w:eastAsia="Calibri" w:hAnsiTheme="minorHAnsi" w:cs="Calibri"/>
          <w:bCs/>
          <w:color w:val="000000"/>
          <w:sz w:val="22"/>
          <w:szCs w:val="22"/>
          <w:lang w:eastAsia="zh-CN"/>
        </w:rPr>
        <w:t xml:space="preserve">Errors represent standard deviation of two independent experiments. </w:t>
      </w:r>
    </w:p>
    <w:tbl>
      <w:tblPr>
        <w:tblW w:w="3948" w:type="pct"/>
        <w:jc w:val="center"/>
        <w:tblBorders>
          <w:top w:val="nil"/>
          <w:left w:val="nil"/>
          <w:bottom w:val="nil"/>
          <w:right w:val="nil"/>
          <w:insideH w:val="nil"/>
          <w:insideV w:val="nil"/>
        </w:tblBorders>
        <w:tblLook w:val="0600" w:firstRow="0" w:lastRow="0" w:firstColumn="0" w:lastColumn="0" w:noHBand="1" w:noVBand="1"/>
      </w:tblPr>
      <w:tblGrid>
        <w:gridCol w:w="1353"/>
        <w:gridCol w:w="1731"/>
        <w:gridCol w:w="1699"/>
        <w:gridCol w:w="1708"/>
      </w:tblGrid>
      <w:tr w:rsidR="00436CD0" w:rsidRPr="00C44D8C" w14:paraId="237877C3" w14:textId="77777777" w:rsidTr="0058312F">
        <w:trPr>
          <w:cantSplit/>
          <w:trHeight w:val="433"/>
          <w:jc w:val="center"/>
        </w:trPr>
        <w:tc>
          <w:tcPr>
            <w:tcW w:w="1042" w:type="pct"/>
            <w:tcBorders>
              <w:top w:val="nil"/>
              <w:left w:val="nil"/>
              <w:bottom w:val="single" w:sz="4" w:space="0" w:color="000000"/>
              <w:right w:val="nil"/>
            </w:tcBorders>
            <w:tcMar>
              <w:top w:w="100" w:type="dxa"/>
              <w:left w:w="100" w:type="dxa"/>
              <w:bottom w:w="100" w:type="dxa"/>
              <w:right w:w="100" w:type="dxa"/>
            </w:tcMar>
          </w:tcPr>
          <w:p w14:paraId="13EAB79A" w14:textId="77777777" w:rsidR="00436CD0" w:rsidRPr="00C44D8C" w:rsidRDefault="00436CD0" w:rsidP="00436CD0">
            <w:pPr>
              <w:widowControl w:val="0"/>
              <w:spacing w:line="360" w:lineRule="auto"/>
              <w:jc w:val="center"/>
              <w:rPr>
                <w:rFonts w:asciiTheme="minorHAnsi" w:eastAsia="Calibri" w:hAnsiTheme="minorHAnsi" w:cs="Calibri"/>
                <w:b/>
                <w:color w:val="000000"/>
                <w:sz w:val="22"/>
                <w:szCs w:val="22"/>
                <w:lang w:eastAsia="zh-CN"/>
              </w:rPr>
            </w:pPr>
          </w:p>
        </w:tc>
        <w:tc>
          <w:tcPr>
            <w:tcW w:w="1333" w:type="pct"/>
            <w:tcBorders>
              <w:top w:val="nil"/>
              <w:left w:val="nil"/>
              <w:bottom w:val="single" w:sz="4" w:space="0" w:color="000000"/>
              <w:right w:val="nil"/>
            </w:tcBorders>
            <w:tcMar>
              <w:top w:w="100" w:type="dxa"/>
              <w:left w:w="100" w:type="dxa"/>
              <w:bottom w:w="100" w:type="dxa"/>
              <w:right w:w="100" w:type="dxa"/>
            </w:tcMar>
          </w:tcPr>
          <w:p w14:paraId="2E92542E" w14:textId="77777777" w:rsidR="00436CD0" w:rsidRPr="00C44D8C" w:rsidRDefault="00436CD0" w:rsidP="00436CD0">
            <w:pPr>
              <w:widowControl w:val="0"/>
              <w:spacing w:line="360" w:lineRule="auto"/>
              <w:jc w:val="center"/>
              <w:rPr>
                <w:rFonts w:asciiTheme="minorHAnsi" w:eastAsia="Calibri" w:hAnsiTheme="minorHAnsi" w:cs="Calibri"/>
                <w:b/>
                <w:color w:val="000000"/>
                <w:sz w:val="22"/>
                <w:szCs w:val="22"/>
                <w:lang w:eastAsia="zh-CN"/>
              </w:rPr>
            </w:pPr>
          </w:p>
        </w:tc>
        <w:tc>
          <w:tcPr>
            <w:tcW w:w="2625" w:type="pct"/>
            <w:gridSpan w:val="2"/>
            <w:tcBorders>
              <w:top w:val="nil"/>
              <w:left w:val="nil"/>
              <w:bottom w:val="single" w:sz="4" w:space="0" w:color="000000"/>
              <w:right w:val="nil"/>
            </w:tcBorders>
          </w:tcPr>
          <w:p w14:paraId="3EB43C42" w14:textId="77777777" w:rsidR="00436CD0" w:rsidRPr="00C44D8C" w:rsidRDefault="00436CD0" w:rsidP="00436CD0">
            <w:pPr>
              <w:widowControl w:val="0"/>
              <w:spacing w:line="360" w:lineRule="auto"/>
              <w:jc w:val="center"/>
              <w:rPr>
                <w:rFonts w:asciiTheme="minorHAnsi" w:eastAsia="Calibri" w:hAnsiTheme="minorHAnsi" w:cs="Calibri"/>
                <w:b/>
                <w:color w:val="000000"/>
                <w:sz w:val="22"/>
                <w:szCs w:val="22"/>
                <w:lang w:eastAsia="zh-CN"/>
              </w:rPr>
            </w:pPr>
            <w:r w:rsidRPr="00C44D8C">
              <w:rPr>
                <w:rFonts w:asciiTheme="minorHAnsi" w:eastAsia="Calibri" w:hAnsiTheme="minorHAnsi" w:cs="Calibri"/>
                <w:b/>
                <w:color w:val="000000"/>
                <w:sz w:val="22"/>
                <w:szCs w:val="22"/>
                <w:lang w:eastAsia="zh-CN"/>
              </w:rPr>
              <w:t>Biofilm</w:t>
            </w:r>
          </w:p>
        </w:tc>
      </w:tr>
      <w:tr w:rsidR="00436CD0" w:rsidRPr="00C44D8C" w14:paraId="09A603DE" w14:textId="77777777" w:rsidTr="0058312F">
        <w:trPr>
          <w:cantSplit/>
          <w:trHeight w:val="1080"/>
          <w:jc w:val="center"/>
        </w:trPr>
        <w:tc>
          <w:tcPr>
            <w:tcW w:w="1042" w:type="pct"/>
            <w:tcBorders>
              <w:top w:val="nil"/>
              <w:left w:val="nil"/>
              <w:bottom w:val="single" w:sz="4" w:space="0" w:color="000000"/>
              <w:right w:val="nil"/>
            </w:tcBorders>
            <w:tcMar>
              <w:top w:w="100" w:type="dxa"/>
              <w:left w:w="100" w:type="dxa"/>
              <w:bottom w:w="100" w:type="dxa"/>
              <w:right w:w="100" w:type="dxa"/>
            </w:tcMar>
          </w:tcPr>
          <w:p w14:paraId="5F9727C3"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b/>
                <w:color w:val="000000"/>
                <w:sz w:val="22"/>
                <w:szCs w:val="22"/>
                <w:lang w:eastAsia="zh-CN"/>
              </w:rPr>
              <w:t>Element</w:t>
            </w:r>
          </w:p>
        </w:tc>
        <w:tc>
          <w:tcPr>
            <w:tcW w:w="1333" w:type="pct"/>
            <w:tcBorders>
              <w:top w:val="nil"/>
              <w:left w:val="nil"/>
              <w:bottom w:val="single" w:sz="4" w:space="0" w:color="000000"/>
              <w:right w:val="nil"/>
            </w:tcBorders>
            <w:tcMar>
              <w:top w:w="100" w:type="dxa"/>
              <w:left w:w="100" w:type="dxa"/>
              <w:bottom w:w="100" w:type="dxa"/>
              <w:right w:w="100" w:type="dxa"/>
            </w:tcMar>
          </w:tcPr>
          <w:p w14:paraId="44DD5F52"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b/>
                <w:color w:val="000000"/>
                <w:sz w:val="22"/>
                <w:szCs w:val="22"/>
                <w:lang w:eastAsia="zh-CN"/>
              </w:rPr>
              <w:t>Assignment</w:t>
            </w:r>
          </w:p>
        </w:tc>
        <w:tc>
          <w:tcPr>
            <w:tcW w:w="1309" w:type="pct"/>
            <w:tcBorders>
              <w:top w:val="nil"/>
              <w:left w:val="nil"/>
              <w:bottom w:val="single" w:sz="4" w:space="0" w:color="000000"/>
              <w:right w:val="nil"/>
            </w:tcBorders>
          </w:tcPr>
          <w:p w14:paraId="7B9EB3D0" w14:textId="77777777" w:rsidR="00436CD0" w:rsidRPr="00C44D8C" w:rsidRDefault="00436CD0" w:rsidP="00436CD0">
            <w:pPr>
              <w:widowControl w:val="0"/>
              <w:spacing w:line="360" w:lineRule="auto"/>
              <w:jc w:val="center"/>
              <w:rPr>
                <w:rFonts w:asciiTheme="minorHAnsi" w:eastAsia="Calibri" w:hAnsiTheme="minorHAnsi" w:cs="Calibri"/>
                <w:b/>
                <w:color w:val="000000"/>
                <w:sz w:val="22"/>
                <w:szCs w:val="22"/>
                <w:lang w:eastAsia="zh-CN"/>
              </w:rPr>
            </w:pPr>
            <w:r w:rsidRPr="00C44D8C">
              <w:rPr>
                <w:rFonts w:asciiTheme="minorHAnsi" w:eastAsia="Calibri" w:hAnsiTheme="minorHAnsi" w:cs="Calibri"/>
                <w:b/>
                <w:color w:val="000000"/>
                <w:sz w:val="22"/>
                <w:szCs w:val="22"/>
                <w:lang w:eastAsia="zh-CN"/>
              </w:rPr>
              <w:t>PVC</w:t>
            </w:r>
          </w:p>
          <w:p w14:paraId="12652967" w14:textId="77777777" w:rsidR="00436CD0" w:rsidRPr="00C44D8C" w:rsidRDefault="00436CD0" w:rsidP="00436CD0">
            <w:pPr>
              <w:widowControl w:val="0"/>
              <w:spacing w:line="360" w:lineRule="auto"/>
              <w:jc w:val="center"/>
              <w:rPr>
                <w:rFonts w:asciiTheme="minorHAnsi" w:eastAsia="Calibri" w:hAnsiTheme="minorHAnsi" w:cs="Calibri"/>
                <w:b/>
                <w:color w:val="000000"/>
                <w:sz w:val="22"/>
                <w:szCs w:val="22"/>
                <w:lang w:eastAsia="zh-CN"/>
              </w:rPr>
            </w:pPr>
            <w:r w:rsidRPr="00C44D8C">
              <w:rPr>
                <w:rFonts w:asciiTheme="minorHAnsi" w:eastAsia="Calibri" w:hAnsiTheme="minorHAnsi" w:cs="Calibri"/>
                <w:b/>
                <w:color w:val="000000"/>
                <w:sz w:val="22"/>
                <w:szCs w:val="22"/>
                <w:lang w:eastAsia="zh-CN"/>
              </w:rPr>
              <w:t>(atomic conc. %)</w:t>
            </w:r>
          </w:p>
        </w:tc>
        <w:tc>
          <w:tcPr>
            <w:tcW w:w="1316" w:type="pct"/>
            <w:tcBorders>
              <w:top w:val="nil"/>
              <w:left w:val="nil"/>
              <w:bottom w:val="single" w:sz="4" w:space="0" w:color="000000"/>
              <w:right w:val="nil"/>
            </w:tcBorders>
          </w:tcPr>
          <w:p w14:paraId="4DF20B31" w14:textId="77777777" w:rsidR="00436CD0" w:rsidRPr="00C44D8C" w:rsidRDefault="00436CD0" w:rsidP="00436CD0">
            <w:pPr>
              <w:widowControl w:val="0"/>
              <w:spacing w:line="360" w:lineRule="auto"/>
              <w:jc w:val="center"/>
              <w:rPr>
                <w:rFonts w:asciiTheme="minorHAnsi" w:eastAsia="Calibri" w:hAnsiTheme="minorHAnsi" w:cs="Calibri"/>
                <w:b/>
                <w:color w:val="000000"/>
                <w:sz w:val="22"/>
                <w:szCs w:val="22"/>
                <w:lang w:eastAsia="zh-CN"/>
              </w:rPr>
            </w:pPr>
            <w:r w:rsidRPr="00C44D8C">
              <w:rPr>
                <w:rFonts w:asciiTheme="minorHAnsi" w:eastAsia="Calibri" w:hAnsiTheme="minorHAnsi" w:cs="Calibri"/>
                <w:b/>
                <w:color w:val="000000"/>
                <w:sz w:val="22"/>
                <w:szCs w:val="22"/>
                <w:lang w:eastAsia="zh-CN"/>
              </w:rPr>
              <w:t>PETG</w:t>
            </w:r>
          </w:p>
          <w:p w14:paraId="59A4282C" w14:textId="77777777" w:rsidR="00436CD0" w:rsidRPr="00C44D8C" w:rsidRDefault="00436CD0" w:rsidP="00436CD0">
            <w:pPr>
              <w:widowControl w:val="0"/>
              <w:spacing w:line="360" w:lineRule="auto"/>
              <w:jc w:val="center"/>
              <w:rPr>
                <w:rFonts w:asciiTheme="minorHAnsi" w:eastAsia="Calibri" w:hAnsiTheme="minorHAnsi" w:cs="Calibri"/>
                <w:b/>
                <w:color w:val="000000"/>
                <w:sz w:val="22"/>
                <w:szCs w:val="22"/>
                <w:lang w:eastAsia="zh-CN"/>
              </w:rPr>
            </w:pPr>
            <w:r w:rsidRPr="00C44D8C">
              <w:rPr>
                <w:rFonts w:asciiTheme="minorHAnsi" w:eastAsia="Calibri" w:hAnsiTheme="minorHAnsi" w:cs="Calibri"/>
                <w:b/>
                <w:color w:val="000000"/>
                <w:sz w:val="22"/>
                <w:szCs w:val="22"/>
                <w:lang w:eastAsia="zh-CN"/>
              </w:rPr>
              <w:t>(atomic conc. %)</w:t>
            </w:r>
          </w:p>
        </w:tc>
      </w:tr>
      <w:tr w:rsidR="00436CD0" w:rsidRPr="00C44D8C" w14:paraId="756C36CE"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40EF13FF"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Total C</w:t>
            </w:r>
          </w:p>
        </w:tc>
        <w:tc>
          <w:tcPr>
            <w:tcW w:w="1333" w:type="pct"/>
            <w:tcBorders>
              <w:top w:val="nil"/>
              <w:left w:val="nil"/>
              <w:bottom w:val="nil"/>
              <w:right w:val="nil"/>
            </w:tcBorders>
            <w:tcMar>
              <w:top w:w="100" w:type="dxa"/>
              <w:left w:w="100" w:type="dxa"/>
              <w:bottom w:w="100" w:type="dxa"/>
              <w:right w:w="100" w:type="dxa"/>
            </w:tcMar>
          </w:tcPr>
          <w:p w14:paraId="2EDEE7E4"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p>
        </w:tc>
        <w:tc>
          <w:tcPr>
            <w:tcW w:w="1309" w:type="pct"/>
            <w:tcBorders>
              <w:top w:val="nil"/>
              <w:left w:val="nil"/>
              <w:bottom w:val="nil"/>
              <w:right w:val="nil"/>
            </w:tcBorders>
          </w:tcPr>
          <w:p w14:paraId="3872EFE5"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64.1 ± 1.4</w:t>
            </w:r>
          </w:p>
        </w:tc>
        <w:tc>
          <w:tcPr>
            <w:tcW w:w="1316" w:type="pct"/>
            <w:tcBorders>
              <w:top w:val="nil"/>
              <w:left w:val="nil"/>
              <w:bottom w:val="nil"/>
              <w:right w:val="nil"/>
            </w:tcBorders>
          </w:tcPr>
          <w:p w14:paraId="2C69E468"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r w:rsidRPr="00C44D8C">
              <w:rPr>
                <w:rFonts w:asciiTheme="minorHAnsi" w:eastAsia="Calibri" w:hAnsiTheme="minorHAnsi" w:cs="Calibri"/>
                <w:color w:val="000000"/>
                <w:sz w:val="22"/>
                <w:szCs w:val="22"/>
                <w:lang w:val="pt-PT" w:eastAsia="zh-CN"/>
              </w:rPr>
              <w:t>64.8 ± 2.4</w:t>
            </w:r>
          </w:p>
        </w:tc>
      </w:tr>
      <w:tr w:rsidR="00436CD0" w:rsidRPr="00C44D8C" w14:paraId="104EF269"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537F728C"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r w:rsidRPr="00C44D8C">
              <w:rPr>
                <w:rFonts w:asciiTheme="minorHAnsi" w:eastAsia="Calibri" w:hAnsiTheme="minorHAnsi" w:cs="Calibri"/>
                <w:color w:val="000000"/>
                <w:sz w:val="22"/>
                <w:szCs w:val="22"/>
                <w:lang w:val="pt-PT" w:eastAsia="zh-CN"/>
              </w:rPr>
              <w:t>Total O</w:t>
            </w:r>
          </w:p>
        </w:tc>
        <w:tc>
          <w:tcPr>
            <w:tcW w:w="1333" w:type="pct"/>
            <w:tcBorders>
              <w:top w:val="nil"/>
              <w:left w:val="nil"/>
              <w:bottom w:val="nil"/>
              <w:right w:val="nil"/>
            </w:tcBorders>
            <w:tcMar>
              <w:top w:w="100" w:type="dxa"/>
              <w:left w:w="100" w:type="dxa"/>
              <w:bottom w:w="100" w:type="dxa"/>
              <w:right w:w="100" w:type="dxa"/>
            </w:tcMar>
          </w:tcPr>
          <w:p w14:paraId="5B5A4C7C"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p>
        </w:tc>
        <w:tc>
          <w:tcPr>
            <w:tcW w:w="1309" w:type="pct"/>
            <w:tcBorders>
              <w:top w:val="nil"/>
              <w:left w:val="nil"/>
              <w:bottom w:val="nil"/>
              <w:right w:val="nil"/>
            </w:tcBorders>
          </w:tcPr>
          <w:p w14:paraId="323512E8"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25.7 ± 1.2</w:t>
            </w:r>
          </w:p>
        </w:tc>
        <w:tc>
          <w:tcPr>
            <w:tcW w:w="1316" w:type="pct"/>
            <w:tcBorders>
              <w:top w:val="nil"/>
              <w:left w:val="nil"/>
              <w:bottom w:val="nil"/>
              <w:right w:val="nil"/>
            </w:tcBorders>
          </w:tcPr>
          <w:p w14:paraId="39230A4D"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r w:rsidRPr="00C44D8C">
              <w:rPr>
                <w:rFonts w:asciiTheme="minorHAnsi" w:eastAsia="Calibri" w:hAnsiTheme="minorHAnsi" w:cs="Calibri"/>
                <w:color w:val="000000"/>
                <w:sz w:val="22"/>
                <w:szCs w:val="22"/>
                <w:lang w:val="pt-PT" w:eastAsia="zh-CN"/>
              </w:rPr>
              <w:t>21.6 ± 3.1</w:t>
            </w:r>
          </w:p>
        </w:tc>
      </w:tr>
      <w:tr w:rsidR="00436CD0" w:rsidRPr="00C44D8C" w14:paraId="02B365CE"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3FB64FBB"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r w:rsidRPr="00C44D8C">
              <w:rPr>
                <w:rFonts w:asciiTheme="minorHAnsi" w:eastAsia="Calibri" w:hAnsiTheme="minorHAnsi" w:cs="Calibri"/>
                <w:color w:val="000000"/>
                <w:sz w:val="22"/>
                <w:szCs w:val="22"/>
                <w:lang w:val="pt-PT" w:eastAsia="zh-CN"/>
              </w:rPr>
              <w:t>Total N</w:t>
            </w:r>
          </w:p>
        </w:tc>
        <w:tc>
          <w:tcPr>
            <w:tcW w:w="1333" w:type="pct"/>
            <w:tcBorders>
              <w:top w:val="nil"/>
              <w:left w:val="nil"/>
              <w:bottom w:val="nil"/>
              <w:right w:val="nil"/>
            </w:tcBorders>
            <w:tcMar>
              <w:top w:w="100" w:type="dxa"/>
              <w:left w:w="100" w:type="dxa"/>
              <w:bottom w:w="100" w:type="dxa"/>
              <w:right w:w="100" w:type="dxa"/>
            </w:tcMar>
          </w:tcPr>
          <w:p w14:paraId="501D8B81"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p>
        </w:tc>
        <w:tc>
          <w:tcPr>
            <w:tcW w:w="1309" w:type="pct"/>
            <w:tcBorders>
              <w:top w:val="nil"/>
              <w:left w:val="nil"/>
              <w:bottom w:val="nil"/>
              <w:right w:val="nil"/>
            </w:tcBorders>
          </w:tcPr>
          <w:p w14:paraId="187DB426"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6.9 ± 0.3</w:t>
            </w:r>
          </w:p>
        </w:tc>
        <w:tc>
          <w:tcPr>
            <w:tcW w:w="1316" w:type="pct"/>
            <w:tcBorders>
              <w:top w:val="nil"/>
              <w:left w:val="nil"/>
              <w:bottom w:val="nil"/>
              <w:right w:val="nil"/>
            </w:tcBorders>
          </w:tcPr>
          <w:p w14:paraId="2974D8F1"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r w:rsidRPr="00C44D8C">
              <w:rPr>
                <w:rFonts w:asciiTheme="minorHAnsi" w:eastAsia="Calibri" w:hAnsiTheme="minorHAnsi" w:cs="Calibri"/>
                <w:color w:val="000000"/>
                <w:sz w:val="22"/>
                <w:szCs w:val="22"/>
                <w:lang w:val="pt-PT" w:eastAsia="zh-CN"/>
              </w:rPr>
              <w:t>7.5 ± 1.8</w:t>
            </w:r>
          </w:p>
        </w:tc>
      </w:tr>
      <w:tr w:rsidR="00436CD0" w:rsidRPr="00C44D8C" w14:paraId="488F0D24"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3755318E"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r w:rsidRPr="00C44D8C">
              <w:rPr>
                <w:rFonts w:asciiTheme="minorHAnsi" w:eastAsia="Calibri" w:hAnsiTheme="minorHAnsi" w:cs="Calibri"/>
                <w:color w:val="000000"/>
                <w:sz w:val="22"/>
                <w:szCs w:val="22"/>
                <w:lang w:val="pt-PT" w:eastAsia="zh-CN"/>
              </w:rPr>
              <w:t>C</w:t>
            </w:r>
            <w:r w:rsidRPr="00C44D8C">
              <w:rPr>
                <w:rFonts w:asciiTheme="minorHAnsi" w:eastAsia="Calibri" w:hAnsiTheme="minorHAnsi" w:cs="Calibri"/>
                <w:color w:val="000000"/>
                <w:sz w:val="22"/>
                <w:szCs w:val="22"/>
                <w:vertAlign w:val="subscript"/>
                <w:lang w:val="pt-PT" w:eastAsia="zh-CN"/>
              </w:rPr>
              <w:t>1s</w:t>
            </w:r>
          </w:p>
        </w:tc>
        <w:tc>
          <w:tcPr>
            <w:tcW w:w="1333" w:type="pct"/>
            <w:tcBorders>
              <w:top w:val="nil"/>
              <w:left w:val="nil"/>
              <w:bottom w:val="nil"/>
              <w:right w:val="nil"/>
            </w:tcBorders>
            <w:tcMar>
              <w:top w:w="100" w:type="dxa"/>
              <w:left w:w="100" w:type="dxa"/>
              <w:bottom w:w="100" w:type="dxa"/>
              <w:right w:w="100" w:type="dxa"/>
            </w:tcMar>
          </w:tcPr>
          <w:p w14:paraId="5A5AE463"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r w:rsidRPr="00C44D8C">
              <w:rPr>
                <w:rFonts w:asciiTheme="minorHAnsi" w:eastAsia="Calibri" w:hAnsiTheme="minorHAnsi" w:cs="Calibri"/>
                <w:color w:val="000000"/>
                <w:sz w:val="22"/>
                <w:szCs w:val="22"/>
                <w:lang w:val="pt-PT" w:eastAsia="zh-CN"/>
              </w:rPr>
              <w:t>C-(C,H)</w:t>
            </w:r>
          </w:p>
        </w:tc>
        <w:tc>
          <w:tcPr>
            <w:tcW w:w="1309" w:type="pct"/>
            <w:tcBorders>
              <w:top w:val="nil"/>
              <w:left w:val="nil"/>
              <w:bottom w:val="nil"/>
              <w:right w:val="nil"/>
            </w:tcBorders>
          </w:tcPr>
          <w:p w14:paraId="6BF8859A"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38.9 ± 3.6</w:t>
            </w:r>
          </w:p>
        </w:tc>
        <w:tc>
          <w:tcPr>
            <w:tcW w:w="1316" w:type="pct"/>
            <w:tcBorders>
              <w:top w:val="nil"/>
              <w:left w:val="nil"/>
              <w:bottom w:val="nil"/>
              <w:right w:val="nil"/>
            </w:tcBorders>
          </w:tcPr>
          <w:p w14:paraId="382A4468"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r w:rsidRPr="00C44D8C">
              <w:rPr>
                <w:rFonts w:asciiTheme="minorHAnsi" w:eastAsia="Calibri" w:hAnsiTheme="minorHAnsi" w:cs="Calibri"/>
                <w:color w:val="000000"/>
                <w:sz w:val="22"/>
                <w:szCs w:val="22"/>
                <w:lang w:val="pt-PT" w:eastAsia="zh-CN"/>
              </w:rPr>
              <w:t>44.8 ± 6.6</w:t>
            </w:r>
          </w:p>
        </w:tc>
      </w:tr>
      <w:tr w:rsidR="00436CD0" w:rsidRPr="00C44D8C" w14:paraId="65444B45"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32F8033C"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val="pt-PT" w:eastAsia="zh-CN"/>
              </w:rPr>
            </w:pPr>
            <w:r w:rsidRPr="00C44D8C">
              <w:rPr>
                <w:rFonts w:asciiTheme="minorHAnsi" w:eastAsia="Calibri" w:hAnsiTheme="minorHAnsi" w:cs="Calibri"/>
                <w:color w:val="000000"/>
                <w:sz w:val="22"/>
                <w:szCs w:val="22"/>
                <w:lang w:val="pt-PT" w:eastAsia="zh-CN"/>
              </w:rPr>
              <w:t>C</w:t>
            </w:r>
            <w:r w:rsidRPr="00C44D8C">
              <w:rPr>
                <w:rFonts w:asciiTheme="minorHAnsi" w:eastAsia="Calibri" w:hAnsiTheme="minorHAnsi" w:cs="Calibri"/>
                <w:color w:val="000000"/>
                <w:sz w:val="22"/>
                <w:szCs w:val="22"/>
                <w:vertAlign w:val="subscript"/>
                <w:lang w:val="pt-PT" w:eastAsia="zh-CN"/>
              </w:rPr>
              <w:t>1s</w:t>
            </w:r>
          </w:p>
        </w:tc>
        <w:tc>
          <w:tcPr>
            <w:tcW w:w="1333" w:type="pct"/>
            <w:tcBorders>
              <w:top w:val="nil"/>
              <w:left w:val="nil"/>
              <w:bottom w:val="nil"/>
              <w:right w:val="nil"/>
            </w:tcBorders>
            <w:tcMar>
              <w:top w:w="100" w:type="dxa"/>
              <w:left w:w="100" w:type="dxa"/>
              <w:bottom w:w="100" w:type="dxa"/>
              <w:right w:w="100" w:type="dxa"/>
            </w:tcMar>
          </w:tcPr>
          <w:p w14:paraId="6FA0D083"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C-(O,N)</w:t>
            </w:r>
          </w:p>
        </w:tc>
        <w:tc>
          <w:tcPr>
            <w:tcW w:w="1309" w:type="pct"/>
            <w:tcBorders>
              <w:top w:val="nil"/>
              <w:left w:val="nil"/>
              <w:bottom w:val="nil"/>
              <w:right w:val="nil"/>
            </w:tcBorders>
          </w:tcPr>
          <w:p w14:paraId="076C28E1"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37.9 ± 2.2</w:t>
            </w:r>
          </w:p>
        </w:tc>
        <w:tc>
          <w:tcPr>
            <w:tcW w:w="1316" w:type="pct"/>
            <w:tcBorders>
              <w:top w:val="nil"/>
              <w:left w:val="nil"/>
              <w:bottom w:val="nil"/>
              <w:right w:val="nil"/>
            </w:tcBorders>
          </w:tcPr>
          <w:p w14:paraId="5B68F9CE"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val="pt-PT" w:eastAsia="zh-CN"/>
              </w:rPr>
              <w:t>3</w:t>
            </w:r>
            <w:r w:rsidRPr="00C44D8C">
              <w:rPr>
                <w:rFonts w:asciiTheme="minorHAnsi" w:eastAsia="Calibri" w:hAnsiTheme="minorHAnsi" w:cs="Calibri"/>
                <w:color w:val="000000"/>
                <w:sz w:val="22"/>
                <w:szCs w:val="22"/>
                <w:lang w:eastAsia="zh-CN"/>
              </w:rPr>
              <w:t>4.3 ± 4.4</w:t>
            </w:r>
          </w:p>
        </w:tc>
      </w:tr>
      <w:tr w:rsidR="00436CD0" w:rsidRPr="00C44D8C" w14:paraId="5D64865B"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08088471"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C</w:t>
            </w:r>
            <w:r w:rsidRPr="00C44D8C">
              <w:rPr>
                <w:rFonts w:asciiTheme="minorHAnsi" w:eastAsia="Calibri" w:hAnsiTheme="minorHAnsi" w:cs="Calibri"/>
                <w:color w:val="000000"/>
                <w:sz w:val="22"/>
                <w:szCs w:val="22"/>
                <w:vertAlign w:val="subscript"/>
                <w:lang w:eastAsia="zh-CN"/>
              </w:rPr>
              <w:t>1s</w:t>
            </w:r>
          </w:p>
        </w:tc>
        <w:tc>
          <w:tcPr>
            <w:tcW w:w="1333" w:type="pct"/>
            <w:tcBorders>
              <w:top w:val="nil"/>
              <w:left w:val="nil"/>
              <w:bottom w:val="nil"/>
              <w:right w:val="nil"/>
            </w:tcBorders>
            <w:tcMar>
              <w:top w:w="100" w:type="dxa"/>
              <w:left w:w="100" w:type="dxa"/>
              <w:bottom w:w="100" w:type="dxa"/>
              <w:right w:w="100" w:type="dxa"/>
            </w:tcMar>
          </w:tcPr>
          <w:p w14:paraId="49CD8584"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C=O, O-C-O</w:t>
            </w:r>
          </w:p>
        </w:tc>
        <w:tc>
          <w:tcPr>
            <w:tcW w:w="1309" w:type="pct"/>
            <w:tcBorders>
              <w:top w:val="nil"/>
              <w:left w:val="nil"/>
              <w:bottom w:val="nil"/>
              <w:right w:val="nil"/>
            </w:tcBorders>
          </w:tcPr>
          <w:p w14:paraId="6C880812"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18.9 ± 1.0</w:t>
            </w:r>
          </w:p>
        </w:tc>
        <w:tc>
          <w:tcPr>
            <w:tcW w:w="1316" w:type="pct"/>
            <w:tcBorders>
              <w:top w:val="nil"/>
              <w:left w:val="nil"/>
              <w:bottom w:val="nil"/>
              <w:right w:val="nil"/>
            </w:tcBorders>
          </w:tcPr>
          <w:p w14:paraId="39AA82B1"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20.9 ± 2.5</w:t>
            </w:r>
          </w:p>
        </w:tc>
      </w:tr>
      <w:tr w:rsidR="00436CD0" w:rsidRPr="00C44D8C" w14:paraId="61FD62CB"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74834AE4"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C</w:t>
            </w:r>
            <w:r w:rsidRPr="00C44D8C">
              <w:rPr>
                <w:rFonts w:asciiTheme="minorHAnsi" w:eastAsia="Calibri" w:hAnsiTheme="minorHAnsi" w:cs="Calibri"/>
                <w:color w:val="000000"/>
                <w:sz w:val="22"/>
                <w:szCs w:val="22"/>
                <w:vertAlign w:val="subscript"/>
                <w:lang w:eastAsia="zh-CN"/>
              </w:rPr>
              <w:t>1s</w:t>
            </w:r>
          </w:p>
        </w:tc>
        <w:tc>
          <w:tcPr>
            <w:tcW w:w="1333" w:type="pct"/>
            <w:tcBorders>
              <w:top w:val="nil"/>
              <w:left w:val="nil"/>
              <w:bottom w:val="nil"/>
              <w:right w:val="nil"/>
            </w:tcBorders>
            <w:tcMar>
              <w:top w:w="100" w:type="dxa"/>
              <w:left w:w="100" w:type="dxa"/>
              <w:bottom w:w="100" w:type="dxa"/>
              <w:right w:w="100" w:type="dxa"/>
            </w:tcMar>
          </w:tcPr>
          <w:p w14:paraId="6BDCF401"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COOR</w:t>
            </w:r>
          </w:p>
        </w:tc>
        <w:tc>
          <w:tcPr>
            <w:tcW w:w="1309" w:type="pct"/>
            <w:tcBorders>
              <w:top w:val="nil"/>
              <w:left w:val="nil"/>
              <w:bottom w:val="nil"/>
              <w:right w:val="nil"/>
            </w:tcBorders>
          </w:tcPr>
          <w:p w14:paraId="1689A8DA"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4.2 ± 0.5</w:t>
            </w:r>
          </w:p>
        </w:tc>
        <w:tc>
          <w:tcPr>
            <w:tcW w:w="1316" w:type="pct"/>
            <w:tcBorders>
              <w:top w:val="nil"/>
              <w:left w:val="nil"/>
              <w:bottom w:val="nil"/>
              <w:right w:val="nil"/>
            </w:tcBorders>
          </w:tcPr>
          <w:p w14:paraId="3A1F689F"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7.6 ± 1.8</w:t>
            </w:r>
          </w:p>
        </w:tc>
      </w:tr>
      <w:tr w:rsidR="00436CD0" w:rsidRPr="00C44D8C" w14:paraId="43C7530F"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50C3E714"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O</w:t>
            </w:r>
            <w:r w:rsidRPr="00C44D8C">
              <w:rPr>
                <w:rFonts w:asciiTheme="minorHAnsi" w:eastAsia="Calibri" w:hAnsiTheme="minorHAnsi" w:cs="Calibri"/>
                <w:color w:val="000000"/>
                <w:sz w:val="22"/>
                <w:szCs w:val="22"/>
                <w:vertAlign w:val="subscript"/>
                <w:lang w:eastAsia="zh-CN"/>
              </w:rPr>
              <w:t>1s</w:t>
            </w:r>
          </w:p>
        </w:tc>
        <w:tc>
          <w:tcPr>
            <w:tcW w:w="1333" w:type="pct"/>
            <w:tcBorders>
              <w:top w:val="nil"/>
              <w:left w:val="nil"/>
              <w:bottom w:val="nil"/>
              <w:right w:val="nil"/>
            </w:tcBorders>
            <w:tcMar>
              <w:top w:w="100" w:type="dxa"/>
              <w:left w:w="100" w:type="dxa"/>
              <w:bottom w:w="100" w:type="dxa"/>
              <w:right w:w="100" w:type="dxa"/>
            </w:tcMar>
          </w:tcPr>
          <w:p w14:paraId="0684C23C"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C=O</w:t>
            </w:r>
          </w:p>
        </w:tc>
        <w:tc>
          <w:tcPr>
            <w:tcW w:w="1309" w:type="pct"/>
            <w:tcBorders>
              <w:top w:val="nil"/>
              <w:left w:val="nil"/>
              <w:bottom w:val="nil"/>
              <w:right w:val="nil"/>
            </w:tcBorders>
          </w:tcPr>
          <w:p w14:paraId="2E1C34B7"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40.4 ± 5.9</w:t>
            </w:r>
          </w:p>
        </w:tc>
        <w:tc>
          <w:tcPr>
            <w:tcW w:w="1316" w:type="pct"/>
            <w:tcBorders>
              <w:top w:val="nil"/>
              <w:left w:val="nil"/>
              <w:bottom w:val="nil"/>
              <w:right w:val="nil"/>
            </w:tcBorders>
          </w:tcPr>
          <w:p w14:paraId="0B1F1DCF"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51.05 ± 10.28</w:t>
            </w:r>
          </w:p>
        </w:tc>
      </w:tr>
      <w:tr w:rsidR="00436CD0" w:rsidRPr="00C44D8C" w14:paraId="1E517076"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50CA3D84"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O</w:t>
            </w:r>
            <w:r w:rsidRPr="00C44D8C">
              <w:rPr>
                <w:rFonts w:asciiTheme="minorHAnsi" w:eastAsia="Calibri" w:hAnsiTheme="minorHAnsi" w:cs="Calibri"/>
                <w:color w:val="000000"/>
                <w:sz w:val="22"/>
                <w:szCs w:val="22"/>
                <w:vertAlign w:val="subscript"/>
                <w:lang w:eastAsia="zh-CN"/>
              </w:rPr>
              <w:t>1s</w:t>
            </w:r>
          </w:p>
        </w:tc>
        <w:tc>
          <w:tcPr>
            <w:tcW w:w="1333" w:type="pct"/>
            <w:tcBorders>
              <w:top w:val="nil"/>
              <w:left w:val="nil"/>
              <w:bottom w:val="nil"/>
              <w:right w:val="nil"/>
            </w:tcBorders>
            <w:tcMar>
              <w:top w:w="100" w:type="dxa"/>
              <w:left w:w="100" w:type="dxa"/>
              <w:bottom w:w="100" w:type="dxa"/>
              <w:right w:w="100" w:type="dxa"/>
            </w:tcMar>
          </w:tcPr>
          <w:p w14:paraId="79A6CD56"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C-OH, C-O-C</w:t>
            </w:r>
          </w:p>
        </w:tc>
        <w:tc>
          <w:tcPr>
            <w:tcW w:w="1309" w:type="pct"/>
            <w:tcBorders>
              <w:top w:val="nil"/>
              <w:left w:val="nil"/>
              <w:bottom w:val="nil"/>
              <w:right w:val="nil"/>
            </w:tcBorders>
          </w:tcPr>
          <w:p w14:paraId="0F205B06"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66.3 ± 11.2</w:t>
            </w:r>
          </w:p>
        </w:tc>
        <w:tc>
          <w:tcPr>
            <w:tcW w:w="1316" w:type="pct"/>
            <w:tcBorders>
              <w:top w:val="nil"/>
              <w:left w:val="nil"/>
              <w:bottom w:val="nil"/>
              <w:right w:val="nil"/>
            </w:tcBorders>
          </w:tcPr>
          <w:p w14:paraId="6750B58B"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48.95 ± 10.28</w:t>
            </w:r>
          </w:p>
        </w:tc>
      </w:tr>
      <w:tr w:rsidR="00436CD0" w:rsidRPr="00C44D8C" w14:paraId="7CF7FB16"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355425FA"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O/C</w:t>
            </w:r>
          </w:p>
        </w:tc>
        <w:tc>
          <w:tcPr>
            <w:tcW w:w="1333" w:type="pct"/>
            <w:tcBorders>
              <w:top w:val="nil"/>
              <w:left w:val="nil"/>
              <w:bottom w:val="nil"/>
              <w:right w:val="nil"/>
            </w:tcBorders>
            <w:tcMar>
              <w:top w:w="100" w:type="dxa"/>
              <w:left w:w="100" w:type="dxa"/>
              <w:bottom w:w="100" w:type="dxa"/>
              <w:right w:w="100" w:type="dxa"/>
            </w:tcMar>
          </w:tcPr>
          <w:p w14:paraId="7841A9C1"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p>
        </w:tc>
        <w:tc>
          <w:tcPr>
            <w:tcW w:w="1309" w:type="pct"/>
            <w:tcBorders>
              <w:top w:val="nil"/>
              <w:left w:val="nil"/>
              <w:bottom w:val="nil"/>
              <w:right w:val="nil"/>
            </w:tcBorders>
          </w:tcPr>
          <w:p w14:paraId="0A1A4B53"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40.0</w:t>
            </w:r>
          </w:p>
        </w:tc>
        <w:tc>
          <w:tcPr>
            <w:tcW w:w="1316" w:type="pct"/>
            <w:tcBorders>
              <w:top w:val="nil"/>
              <w:left w:val="nil"/>
              <w:bottom w:val="nil"/>
              <w:right w:val="nil"/>
            </w:tcBorders>
          </w:tcPr>
          <w:p w14:paraId="2DC86C85"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33.3</w:t>
            </w:r>
          </w:p>
        </w:tc>
      </w:tr>
      <w:tr w:rsidR="00436CD0" w:rsidRPr="00C44D8C" w14:paraId="782BDE8E" w14:textId="77777777" w:rsidTr="0058312F">
        <w:trPr>
          <w:cantSplit/>
          <w:jc w:val="center"/>
        </w:trPr>
        <w:tc>
          <w:tcPr>
            <w:tcW w:w="1042" w:type="pct"/>
            <w:tcBorders>
              <w:top w:val="nil"/>
              <w:left w:val="nil"/>
              <w:bottom w:val="nil"/>
              <w:right w:val="nil"/>
            </w:tcBorders>
            <w:tcMar>
              <w:top w:w="100" w:type="dxa"/>
              <w:left w:w="100" w:type="dxa"/>
              <w:bottom w:w="100" w:type="dxa"/>
              <w:right w:w="100" w:type="dxa"/>
            </w:tcMar>
          </w:tcPr>
          <w:p w14:paraId="506873DA"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N/C</w:t>
            </w:r>
          </w:p>
        </w:tc>
        <w:tc>
          <w:tcPr>
            <w:tcW w:w="1333" w:type="pct"/>
            <w:tcBorders>
              <w:top w:val="nil"/>
              <w:left w:val="nil"/>
              <w:bottom w:val="nil"/>
              <w:right w:val="nil"/>
            </w:tcBorders>
            <w:tcMar>
              <w:top w:w="100" w:type="dxa"/>
              <w:left w:w="100" w:type="dxa"/>
              <w:bottom w:w="100" w:type="dxa"/>
              <w:right w:w="100" w:type="dxa"/>
            </w:tcMar>
          </w:tcPr>
          <w:p w14:paraId="52314B95"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p>
        </w:tc>
        <w:tc>
          <w:tcPr>
            <w:tcW w:w="1309" w:type="pct"/>
            <w:tcBorders>
              <w:top w:val="nil"/>
              <w:left w:val="nil"/>
              <w:bottom w:val="nil"/>
              <w:right w:val="nil"/>
            </w:tcBorders>
          </w:tcPr>
          <w:p w14:paraId="482D87B8"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10.8</w:t>
            </w:r>
          </w:p>
        </w:tc>
        <w:tc>
          <w:tcPr>
            <w:tcW w:w="1316" w:type="pct"/>
            <w:tcBorders>
              <w:top w:val="nil"/>
              <w:left w:val="nil"/>
              <w:bottom w:val="nil"/>
              <w:right w:val="nil"/>
            </w:tcBorders>
          </w:tcPr>
          <w:p w14:paraId="15BC6999" w14:textId="77777777" w:rsidR="00436CD0" w:rsidRPr="00C44D8C" w:rsidRDefault="00436CD0" w:rsidP="00436CD0">
            <w:pPr>
              <w:widowControl w:val="0"/>
              <w:spacing w:line="360" w:lineRule="auto"/>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11.5</w:t>
            </w:r>
          </w:p>
        </w:tc>
      </w:tr>
    </w:tbl>
    <w:p w14:paraId="4605F4D5" w14:textId="77777777" w:rsidR="00436CD0" w:rsidRPr="00C44D8C" w:rsidRDefault="00436CD0" w:rsidP="00436CD0">
      <w:pPr>
        <w:spacing w:line="360" w:lineRule="auto"/>
        <w:rPr>
          <w:rFonts w:asciiTheme="minorHAnsi" w:eastAsia="Arial" w:hAnsiTheme="minorHAnsi" w:cs="Arial"/>
          <w:color w:val="000000"/>
          <w:sz w:val="22"/>
          <w:szCs w:val="22"/>
          <w:lang w:eastAsia="zh-CN"/>
        </w:rPr>
      </w:pPr>
    </w:p>
    <w:p w14:paraId="6FA7F0C9" w14:textId="18C9E997" w:rsidR="0058312F" w:rsidRDefault="00436CD0" w:rsidP="00114AA3">
      <w:pPr>
        <w:spacing w:line="360" w:lineRule="auto"/>
        <w:ind w:firstLine="720"/>
        <w:rPr>
          <w:rFonts w:asciiTheme="minorHAnsi" w:eastAsia="Calibri" w:hAnsiTheme="minorHAnsi" w:cs="Calibri"/>
          <w:color w:val="000000"/>
          <w:sz w:val="22"/>
          <w:szCs w:val="22"/>
          <w:lang w:eastAsia="zh-CN"/>
        </w:rPr>
        <w:sectPr w:rsidR="0058312F"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zh-CN"/>
        </w:rPr>
        <w:t>A wide survey scan revealed the dominance of carbon (C), nitrogen (N) and oxygen (O) on the cell surface of each experimental condition at a 2-5 nm penetration depth. The amount of C, N and O on the cell surface of each biofil</w:t>
      </w:r>
      <w:r w:rsidR="00DB56D6">
        <w:rPr>
          <w:rFonts w:asciiTheme="minorHAnsi" w:eastAsia="Calibri" w:hAnsiTheme="minorHAnsi" w:cs="Calibri"/>
          <w:color w:val="000000"/>
          <w:sz w:val="22"/>
          <w:szCs w:val="22"/>
          <w:lang w:eastAsia="zh-CN"/>
        </w:rPr>
        <w:t>m condition was quantified as a</w:t>
      </w:r>
    </w:p>
    <w:p w14:paraId="6D8E63F8" w14:textId="6BE82E55" w:rsidR="00436CD0" w:rsidRPr="00C44D8C" w:rsidRDefault="00436CD0" w:rsidP="0058312F">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lastRenderedPageBreak/>
        <w:t xml:space="preserve">function of N/C and O/C atomic concentration ratios, to identify the proportion of carbon linked to nitrogen or oxygen atoms, respectively (Table 4.1). Each biofilm condition had an abundance of O/C linkages on the cell surface, suggesting the presence of polysaccharide moieties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"Mei", "given" : "H.C.", "non-dropping-particle" : "van der", "parse-names" : false, "suffix" : "" }, { "dropping-particle" : "", "family" : "Vries", "given" : "J.", "non-dropping-particle" : "de", "parse-names" : false, "suffix" : "" }, { "dropping-particle" : "", "family" : "Busscher", "given" : "H.J.", "non-dropping-particle" : "", "parse-names" : false, "suffix" : "" } ], "container-title" : "Surface Science Reports", "id" : "ITEM-1", "issued" : { "date-parts" : [ [ "2000" ] ] }, "page" : "1-24", "title" : "X-ray photoelectron spectroscopy for the study of microbial cell surfaces", "type" : "article-journal", "volume" : "39" }, "uris" : [ "http://www.mendeley.com/documents/?uuid=e5ad0b72-4ff5-3aa3-82bb-5bb5ab34718f" ] }, { "id" : "ITEM-2",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"ITEM-2",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"mendeley" : { "formattedCitation" : "[89,109]", "plainTextFormattedCitation" : "[89,109]", "previouslyFormattedCitation" : "[89,109]"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[89,109]</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However, PETG-biofilm cells had significantly lower concentrations of oxygen atoms on their cell surface compared to the PVC-biofilm ce</w:t>
      </w:r>
      <w:r w:rsidR="00DB56D6">
        <w:rPr>
          <w:rFonts w:asciiTheme="minorHAnsi" w:eastAsia="Calibri" w:hAnsiTheme="minorHAnsi" w:cs="Calibri"/>
          <w:color w:val="000000"/>
          <w:sz w:val="22"/>
          <w:szCs w:val="22"/>
          <w:lang w:eastAsia="zh-CN"/>
        </w:rPr>
        <w:t xml:space="preserve">lls (p &lt; 0.05, unpaired t-test), suggesting lower levels of cell surface </w:t>
      </w:r>
      <w:r w:rsidR="00DB56D6" w:rsidRPr="00C44D8C">
        <w:rPr>
          <w:rFonts w:asciiTheme="minorHAnsi" w:eastAsia="Calibri" w:hAnsiTheme="minorHAnsi" w:cs="Calibri"/>
          <w:color w:val="000000"/>
          <w:sz w:val="22"/>
          <w:szCs w:val="22"/>
          <w:lang w:eastAsia="zh-CN"/>
        </w:rPr>
        <w:t>polysaccharide moieties</w:t>
      </w:r>
      <w:r w:rsidR="00DB56D6">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 </w:t>
      </w:r>
    </w:p>
    <w:p w14:paraId="0A9E2412" w14:textId="691DD9BC"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A comparison of the atomic concentration ratios of oxygen doubly bonded to carbon (O=C/C), and carbon doubly bonded to oxygen (C=O/C) as a function of N/C of both biofilm samples showed an abundance of C=O and O=C functional groups with respect to amides (N/C). These suggest an excess of carbonyl groups (C=O) on the cell surface that may arise from polysaccharide moieties, as a 1:1 ratio is not observed between these two parameters to signify a proteinaceous surface</w:t>
      </w:r>
      <w:r w:rsidR="001D078B">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"Rouxhet", "given" : "P G", "non-dropping-particle" : "", "parse-names" : false, "suffix" : "" }, { "dropping-particle" : "", "family" : "Mozes", "given" : "N", "non-dropping-particle" : "", "parse-names" : false, "suffix" : "" }, { "dropping-particle" : "", "family" : "Dengis", "given" : "P B", "non-dropping-particle" : "", "parse-names" : false, "suffix" : "" }, { "dropping-particle" : "", "family" : "Dufrene", "given" : "Y F", "non-dropping-particle" : "", "parse-names" : false, "suffix" : "" }, { "dropping-particle" : "", "family" : "Gerin", "given" : "P A", "non-dropping-particle" : "", "parse-names" : false, "suffix" : "" }, { "dropping-particle" : "", "family" : "Genet", "given" : "M J", "non-dropping-particle" : "", "parse-names" : false, "suffix" : "" } ], "container-title" : "Colloids and Surfaces B: Biointerfaces", "id" : "ITEM-1", "issue" : "93", "issued" : { "date-parts" : [ [ "1994" ] ] }, "page" : "347-369", "title" : "Application of X-ray photoelectron spectroscopy to microorganisms", "type" : "article-journal", "volume" : "2" }, "uris" : [ "http://www.mendeley.com/documents/?uuid=c3b92baf-a0cb-4384-9a83-9b93e658e6f9" ] } ], "mendeley" : { "formattedCitation" : "[111]", "plainTextFormattedCitation" : "[111]", "previouslyFormattedCitation" : "[111]"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[111]</w:t>
      </w:r>
      <w:r w:rsidR="001D078B">
        <w:rPr>
          <w:rFonts w:asciiTheme="minorHAnsi" w:eastAsia="Calibri" w:hAnsiTheme="minorHAnsi" w:cs="Calibri"/>
          <w:color w:val="000000"/>
          <w:sz w:val="22"/>
          <w:szCs w:val="22"/>
          <w:lang w:eastAsia="zh-CN"/>
        </w:rPr>
        <w:fldChar w:fldCharType="end"/>
      </w:r>
      <w:r w:rsidR="001D078B">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lang w:eastAsia="zh-CN"/>
        </w:rPr>
        <w:t xml:space="preserve">    </w:t>
      </w:r>
    </w:p>
    <w:p w14:paraId="6FDA8D7E" w14:textId="2C573BCF"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The N/C values provide an estimate of the level of protein moieties on the cell</w:t>
      </w:r>
      <w:r w:rsidR="001D3059">
        <w:rPr>
          <w:rFonts w:asciiTheme="minorHAnsi" w:eastAsia="Calibri" w:hAnsiTheme="minorHAnsi" w:cs="Calibri"/>
          <w:color w:val="000000"/>
          <w:sz w:val="22"/>
          <w:szCs w:val="22"/>
          <w:lang w:eastAsia="zh-CN"/>
        </w:rPr>
        <w:t xml:space="preserve"> surface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"Mei", "given" : "H.C.", "non-dropping-particle" : "van der", "parse-names" : false, "suffix" : "" }, { "dropping-particle" : "", "family" : "Vries", "given" : "J.", "non-dropping-particle" : "de", "parse-names" : false, "suffix" : "" }, { "dropping-particle" : "", "family" : "Busscher", "given" : "H.J.", "non-dropping-particle" : "", "parse-names" : false, "suffix" : "" } ], "container-title" : "Surface Science Reports", "id" : "ITEM-1", "issued" : { "date-parts" : [ [ "2000" ] ] }, "page" : "1-24", "title" : "X-ray photoelectron spectroscopy for the study of microbial cell surfaces", "type" : "article-journal", "volume" : "39" }, "uris" : [ "http://www.mendeley.com/documents/?uuid=e5ad0b72-4ff5-3aa3-82bb-5bb5ab34718f" ] }, { "id" : "ITEM-2", "itemData" : { "DOI" : "10.1016/j.resmic.2005.01.007", "ISSN" : "09232508", "PMID" : "15862449", "abstract" : "Staphylococcus epidermidis is now well established as a major nosocomial pathogen associated with infections of indwelling medical devices. The major virulence factor of these organisms is their ability to adhere to devices and form biofilms. However, it has not been established that adherence and biofilm formation are closely linked phenotypes for clinical isolates. In this study, the initial adhesion to different materials (acrylic and glass) of 9 clinical isolates of S. epidermidis, along with biofilm-positive and biofilm-negative control strains, was assayed using physico-chemical interactions to analyze the basis for bacterial adherence to the substratum. X-ray photo electron spectroscopy (XPS) analysis of the cell surface elemental composition was also performed in an attempt to find a relationship between chemical composition and adhesion capabilities. Biofilm formation on the two surfaces was evaluated by dry weight measurements. Human erythrocytes were used to evaluate the ability of S. epidermidis strains to cause hemagglutination, an indicator of the production of a poly-N-acetyl glucosamine cell surface polysaccharide also involved in biofilm formation. The clinical isolates exhibited different cell wall physico-chemical properties, resulting in differing abilities to adhere to surfaces. Adhesion to hydrophobic substrata for all strains occurred to a greater extent than that to hydrophilic surfaces. Bacterial cell hydrophobicity seemed to have little or no influence on adhesion. X-ray photoelectron spectroscopy analysis showed a high ratio of oxygen/carbon for all strains, which is a common characteristic of S. epidermidis species. No relevant relationship was found between XPS data and adhesion values. All strains forming biofilms were able to agglutinate erythrocytes. However, no direct relationship was found between the amount of biofilm formed and the initial adhesion extent. These results indicate that high levels of initial adherence do not necessarily lead to thick biofilm formation. These two aspects of the pathogenesis of medical device related-infection may need to be evaluated independently to ascertain the contribution of each to the virulence of S. epidermidis causing device-related infections. \u00a9 2005 Elsevier SAS. All rights reserved.", "author" : [ { "dropping-particle" : "", "family" : "Cerca", "given" : "Nuno", "non-dropping-particle" : "", "parse-names" : false, "suffix" : "" }, { "dropping-particle" : "", "family" : "Pier", "given" : "Gerald B.", "non-dropping-particle" : "", "parse-names" : false, "suffix" : "" }, { "dropping-particle" : "", "family" : "Vilanova", "given" : "Manuel", "non-dropping-particle" : "", "parse-names" : false, "suffix" : "" }, { "dropping-particle" : "", "family" : "Oliveira", "given" : "Ros\u00e1rio", "non-dropping-particle" : "", "parse-names" : false, "suffix" : "" }, { "dropping-particle" : "", "family" : "Azeredo", "given" : "Joana", "non-dropping-particle" : "", "parse-names" : false, "suffix" : "" } ], "container-title" : "Research in Microbiology", "id" : "ITEM-2", "issued" : { "date-parts" : [ [ "2005" ] ] }, "page" : "506-514", "title" : "Quantitative analysis of adhesion and biofilm formation on hydrophilic and hydrophobic surfaces of clinical isolates of Staphylococcus epidermidis", "type" : "article-journal", "volume" : "156" }, "uris" : [ "http://www.mendeley.com/documents/?uuid=2d999e23-a8b3-4077-a134-f6083bfd28ff" ] } ], "mendeley" : { "formattedCitation" : "[101,109]", "plainTextFormattedCitation" : "[101,109]", "previouslyFormattedCitation" : "[101,109]"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[101,109]</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In this study, there were no significant differences in the N/C values between the two biofilm communities (p &gt; 0.05, unpaired t-test), suggesting that the abundance of protein moieties on the cell surface of biofilms attached to both PVC and PETG </w:t>
      </w:r>
      <w:r w:rsidR="001D3059">
        <w:rPr>
          <w:rFonts w:asciiTheme="minorHAnsi" w:eastAsia="Calibri" w:hAnsiTheme="minorHAnsi" w:cs="Calibri"/>
          <w:color w:val="000000"/>
          <w:sz w:val="22"/>
          <w:szCs w:val="22"/>
          <w:lang w:eastAsia="zh-CN"/>
        </w:rPr>
        <w:t>were similar</w:t>
      </w:r>
      <w:r w:rsidRPr="00C44D8C">
        <w:rPr>
          <w:rFonts w:asciiTheme="minorHAnsi" w:eastAsia="Calibri" w:hAnsiTheme="minorHAnsi" w:cs="Calibri"/>
          <w:color w:val="000000"/>
          <w:sz w:val="22"/>
          <w:szCs w:val="22"/>
          <w:lang w:eastAsia="zh-CN"/>
        </w:rPr>
        <w:t xml:space="preserve">. </w:t>
      </w:r>
    </w:p>
    <w:p w14:paraId="2E731B80" w14:textId="44138BA8"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 xml:space="preserve">The molecular composition of the cell surface could also be calculated by further analysing the XPS spectra. </w:t>
      </w:r>
      <w:r w:rsidRPr="001D078B">
        <w:rPr>
          <w:rFonts w:asciiTheme="minorHAnsi" w:eastAsia="Calibri" w:hAnsiTheme="minorHAnsi" w:cs="Calibri"/>
          <w:color w:val="000000"/>
          <w:sz w:val="22"/>
          <w:szCs w:val="22"/>
          <w:lang w:eastAsia="zh-CN"/>
        </w:rPr>
        <w:t xml:space="preserve">Rouxhet </w:t>
      </w:r>
      <w:r w:rsidRPr="001D078B">
        <w:rPr>
          <w:rFonts w:asciiTheme="minorHAnsi" w:eastAsia="Calibri" w:hAnsiTheme="minorHAnsi" w:cs="Calibri"/>
          <w:i/>
          <w:color w:val="000000"/>
          <w:sz w:val="22"/>
          <w:szCs w:val="22"/>
          <w:lang w:eastAsia="zh-CN"/>
        </w:rPr>
        <w:t xml:space="preserve">et al. </w:t>
      </w:r>
      <w:r w:rsidRPr="001D078B">
        <w:rPr>
          <w:rFonts w:asciiTheme="minorHAnsi" w:eastAsia="Calibri" w:hAnsiTheme="minorHAnsi" w:cs="Calibri"/>
          <w:color w:val="000000"/>
          <w:sz w:val="22"/>
          <w:szCs w:val="22"/>
          <w:lang w:eastAsia="zh-CN"/>
        </w:rPr>
        <w:t>(1994)</w:t>
      </w:r>
      <w:r w:rsidRPr="00C44D8C">
        <w:rPr>
          <w:rFonts w:asciiTheme="minorHAnsi" w:eastAsia="Calibri" w:hAnsiTheme="minorHAnsi" w:cs="Calibri"/>
          <w:color w:val="000000"/>
          <w:sz w:val="22"/>
          <w:szCs w:val="22"/>
          <w:lang w:eastAsia="zh-CN"/>
        </w:rPr>
        <w:t xml:space="preserve"> developed a simple approach to calculate the molecular composition of a cell surface based on the assumption that biological cell surfaces consisted of three model components that only changed in a narrow range: polysaccharides, proteins and hydrocarbon-like compounds</w:t>
      </w:r>
      <w:r w:rsidR="001D078B">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"Rouxhet", "given" : "P G", "non-dropping-particle" : "", "parse-names" : false, "suffix" : "" }, { "dropping-particle" : "", "family" : "Mozes", "given" : "N", "non-dropping-particle" : "", "parse-names" : false, "suffix" : "" }, { "dropping-particle" : "", "family" : "Dengis", "given" : "P B", "non-dropping-particle" : "", "parse-names" : false, "suffix" : "" }, { "dropping-particle" : "", "family" : "Dufrene", "given" : "Y F", "non-dropping-particle" : "", "parse-names" : false, "suffix" : "" }, { "dropping-particle" : "", "family" : "Gerin", "given" : "P A", "non-dropping-particle" : "", "parse-names" : false, "suffix" : "" }, { "dropping-particle" : "", "family" : "Genet", "given" : "M J", "non-dropping-particle" : "", "parse-names" : false, "suffix" : "" } ], "container-title" : "Colloids and Surfaces B: Biointerfaces", "id" : "ITEM-1", "issue" : "93", "issued" : { "date-parts" : [ [ "1994" ] ] }, "page" : "347-369", "title" : "Application of X-ray photoelectron spectroscopy to microorganisms", "type" : "article-journal", "volume" : "2" }, "uris" : [ "http://www.mendeley.com/documents/?uuid=c3b92baf-a0cb-4384-9a83-9b93e658e6f9" ] } ], "mendeley" : { "formattedCitation" : "[111]", "plainTextFormattedCitation" : "[111]", "previouslyFormattedCitation" : "[111]"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[111]</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These basic cell surface macromolecules can be quantitatively determined from the measured atomic concentrations of carbon, nitrogen and oxygen</w:t>
      </w:r>
      <w:r w:rsidR="001D078B">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"ITEM-1",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"mendeley" : { "formattedCitation" : "[102]", "plainTextFormattedCitation" : "[102]", "previouslyFormattedCitation" : "[102]"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[102]</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p>
    <w:p w14:paraId="04980702" w14:textId="4E2DB9E5" w:rsidR="0058312F" w:rsidRDefault="00436CD0" w:rsidP="00436CD0">
      <w:pPr>
        <w:spacing w:line="360" w:lineRule="auto"/>
        <w:ind w:firstLine="720"/>
        <w:rPr>
          <w:rFonts w:asciiTheme="minorHAnsi" w:eastAsia="Calibri" w:hAnsiTheme="minorHAnsi" w:cs="Calibri"/>
          <w:color w:val="000000"/>
          <w:sz w:val="22"/>
          <w:szCs w:val="22"/>
          <w:lang w:eastAsia="zh-CN"/>
        </w:rPr>
        <w:sectPr w:rsidR="0058312F"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zh-CN"/>
        </w:rPr>
        <w:t>This approach is based on comparing the measured atomic concentration ratios of O/C and N/C of samples to the known ratios of model compounds for polysaccharides, hydrocarbon-like compounds and proteins. These model compounds consist of glucan to model polysaccharides (O/C = 0.833, N/C = 0.000, carbon atomic concentration = 37.0 mmol/g), (CH</w:t>
      </w:r>
      <w:r w:rsidRPr="00C44D8C">
        <w:rPr>
          <w:rFonts w:asciiTheme="minorHAnsi" w:eastAsia="Calibri" w:hAnsiTheme="minorHAnsi" w:cs="Calibri"/>
          <w:color w:val="000000"/>
          <w:sz w:val="22"/>
          <w:szCs w:val="22"/>
          <w:vertAlign w:val="subscript"/>
          <w:lang w:eastAsia="zh-CN"/>
        </w:rPr>
        <w:t>2</w:t>
      </w:r>
      <w:r w:rsidRPr="00C44D8C">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vertAlign w:val="subscript"/>
          <w:lang w:eastAsia="zh-CN"/>
        </w:rPr>
        <w:t xml:space="preserve">n </w:t>
      </w:r>
      <w:r w:rsidRPr="00C44D8C">
        <w:rPr>
          <w:rFonts w:asciiTheme="minorHAnsi" w:eastAsia="Calibri" w:hAnsiTheme="minorHAnsi" w:cs="Calibri"/>
          <w:color w:val="000000"/>
          <w:sz w:val="22"/>
          <w:szCs w:val="22"/>
          <w:lang w:eastAsia="zh-CN"/>
        </w:rPr>
        <w:t xml:space="preserve">for hydrocarbon-like compounds (O/C = 0.000, N/C = 0.000, C-(CH)/C = 1.00, carbon atomic concentration = 71.4 mmol/g), and the amino acid composition of the major outer membrane of </w:t>
      </w:r>
      <w:r w:rsidRPr="00C44D8C">
        <w:rPr>
          <w:rFonts w:asciiTheme="minorHAnsi" w:eastAsia="Calibri" w:hAnsiTheme="minorHAnsi" w:cs="Calibri"/>
          <w:i/>
          <w:color w:val="000000"/>
          <w:sz w:val="22"/>
          <w:szCs w:val="22"/>
          <w:lang w:eastAsia="zh-CN"/>
        </w:rPr>
        <w:t xml:space="preserve">Pseudomonas fluorescens </w:t>
      </w:r>
      <w:r w:rsidRPr="00C44D8C">
        <w:rPr>
          <w:rFonts w:asciiTheme="minorHAnsi" w:eastAsia="Calibri" w:hAnsiTheme="minorHAnsi" w:cs="Calibri"/>
          <w:color w:val="000000"/>
          <w:sz w:val="22"/>
          <w:szCs w:val="22"/>
          <w:lang w:eastAsia="zh-CN"/>
        </w:rPr>
        <w:t>for proteins (O/C = 0.325, N/C = 0.279, carbon atomic concentration = 43.5 mmol/g)</w:t>
      </w:r>
      <w:r w:rsidRPr="00C44D8C">
        <w:rPr>
          <w:rFonts w:asciiTheme="minorHAnsi" w:eastAsia="Calibri" w:hAnsiTheme="minorHAnsi" w:cs="Calibri"/>
          <w:i/>
          <w:color w:val="000000"/>
          <w:sz w:val="22"/>
          <w:szCs w:val="22"/>
          <w:lang w:eastAsia="zh-CN"/>
        </w:rPr>
        <w:t xml:space="preserve"> </w:t>
      </w:r>
      <w:r w:rsidR="001D078B">
        <w:rPr>
          <w:rFonts w:asciiTheme="minorHAnsi" w:eastAsia="Calibri" w:hAnsiTheme="minorHAnsi" w:cs="Calibri"/>
          <w:i/>
          <w:color w:val="000000"/>
          <w:sz w:val="22"/>
          <w:szCs w:val="22"/>
          <w:lang w:eastAsia="zh-CN"/>
        </w:rPr>
        <w:fldChar w:fldCharType="begin" w:fldLock="1"/>
      </w:r>
      <w:r w:rsidR="00AB0CFE">
        <w:rPr>
          <w:rFonts w:asciiTheme="minorHAnsi" w:eastAsia="Calibri" w:hAnsiTheme="minorHAnsi" w:cs="Calibri"/>
          <w:i/>
          <w:color w:val="000000"/>
          <w:sz w:val="22"/>
          <w:szCs w:val="22"/>
          <w:lang w:eastAsia="zh-CN"/>
        </w:rPr>
        <w:instrText>ADDIN CSL_CITATION { "citationItems" : [ { "id" : "ITEM-1", "itemData" : { "author" : [ { "dropping-particle" : "", "family" : "Rouxhet", "given" : "P G", "non-dropping-particle" : "", "parse-names" : false, "suffix" : "" }, { "dropping-particle" : "", "family" : "Mozes", "given" : "N", "non-dropping-particle" : "", "parse-names" : false, "suffix" : "" }, { "dropping-particle" : "", "family" : "Dengis", "given" : "P B", "non-dropping-particle" : "", "parse-names" : false, "suffix" : "" }, { "dropping-particle" : "", "family" : "Dufrene", "given" : "Y F", "non-dropping-particle" : "", "parse-names" : false, "suffix" : "" }, { "dropping-particle" : "", "family" : "Gerin", "given" : "P A", "non-dropping-particle" : "", "parse-names" : false, "suffix" : "" }, { "dropping-particle" : "", "family" : "Genet", "given" : "M J", "non-dropping-particle" : "", "parse-names" : false, "suffix" : "" } ], "container-title" : "Colloids and Surfaces B: Biointerfaces", "id" : "ITEM-1", "issue" : "93", "issued" : { "date-parts" : [ [ "1994" ] ] }, "page" : "347-369", "title" : "Application of X-ray photoelectron spectroscopy to microorganisms", "type" : "article-journal", "volume" : "2" }, "uris" : [ "http://www.mendeley.com/documents/?uuid=c3b92baf-a0cb-4384-9a83-9b93e658e6f9" ] } ], "mendeley" : { "formattedCitation" : "[111]", "plainTextFormattedCitation" : "[111]", "previouslyFormattedCitation" : "[111]" }, "properties" : { "noteIndex" : 0 }, "schema" : "https://github.com/citation-style-language/schema/raw/master/csl-citation.json" }</w:instrText>
      </w:r>
      <w:r w:rsidR="001D078B">
        <w:rPr>
          <w:rFonts w:asciiTheme="minorHAnsi" w:eastAsia="Calibri" w:hAnsiTheme="minorHAnsi" w:cs="Calibri"/>
          <w: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[111]</w:t>
      </w:r>
      <w:r w:rsidR="001D078B">
        <w:rPr>
          <w:rFonts w:asciiTheme="minorHAnsi" w:eastAsia="Calibri" w:hAnsiTheme="minorHAnsi" w:cs="Calibri"/>
          <w: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p>
    <w:p w14:paraId="4F97F223" w14:textId="3CF05519" w:rsidR="00436CD0"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lastRenderedPageBreak/>
        <w:t xml:space="preserve">Therefore, three equations can be solved to give the proportions of carbon linked to each molecular cell surface component </w:t>
      </w:r>
      <w:r w:rsidR="001D078B">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"Rouxhet", "given" : "P G", "non-dropping-particle" : "", "parse-names" : false, "suffix" : "" }, { "dropping-particle" : "", "family" : "Mozes", "given" : "N", "non-dropping-particle" : "", "parse-names" : false, "suffix" : "" }, { "dropping-particle" : "", "family" : "Dengis", "given" : "P B", "non-dropping-particle" : "", "parse-names" : false, "suffix" : "" }, { "dropping-particle" : "", "family" : "Dufrene", "given" : "Y F", "non-dropping-particle" : "", "parse-names" : false, "suffix" : "" }, { "dropping-particle" : "", "family" : "Gerin", "given" : "P A", "non-dropping-particle" : "", "parse-names" : false, "suffix" : "" }, { "dropping-particle" : "", "family" : "Genet", "given" : "M J", "non-dropping-particle" : "", "parse-names" : false, "suffix" : "" } ], "container-title" : "Colloids and Surfaces B: Biointerfaces", "id" : "ITEM-1", "issue" : "93", "issued" : { "date-parts" : [ [ "1994" ] ] }, "page" : "347-369", "title" : "Application of X-ray photoelectron spectroscopy to microorganisms", "type" : "article-journal", "volume" : "2" }, "uris" : [ "http://www.mendeley.com/documents/?uuid=c3b92baf-a0cb-4384-9a83-9b93e658e6f9" ] }, { "id" : "ITEM-2", "itemData" : { "DOI" : "10.1021/la702284b", "ISBN" : "0743-7463 (Print)", "ISSN" : "07437463", "PMID" : "18302422", "abstract" : "Aquabacterium commune, a predominant member of European drinking water biofilms, was chosen as a model bacterium to study the role of functional groups on the cell surface that control the changes in the chemical cell surface properties in aqueous electrolyte solutions at different pH values. Cell surface properties of A. commune were examined by potentiometric titrations, modeling, X-ray photoelectron spectroscopy (XPS), and Fourier transform infrared (FTIR) spectroscopy. By combining FTIR data at different pH values and potentiometric titration data with thermodynamic model optimization, the presence, concentration, and changes of organic functional groups on the cell surface (e.g., carboxyl, phosphoryl, and amine groups) were inferred. The pH of zero proton charge, pH(zpc) = 3.7, found from titrations of A. commune at different electrolyte concentrations and resulting from equilibrium speciation calculations suggests that the net surface charge is negative at drinking water pH in the absence of other charge determining ions. In situ FTIR was used to describe and monitor chemical interactions between bacteria and liquid solutions at different pH in real time. XPS analysis was performed to quantify the elemental surface composition, to assess the local chemical environment of carbon and oxygen at the cell wall, and to calculate the overall concentrations of polysaccharides, peptides, and hydrocarbon compounds of the cell surface. Thermodynamic parameters for proton adsorption are compared with parameters for other gram-negative bacteria. This work shows how the combination of potentiometric titrations, modeling, XPS, and FTIR spectroscopy allows a more comprehensive characterization of bacterial cell surfaces and cell wall reactivity as the initial step to understand the fundamental mechanisms involved in bacterial adhesion to solid surfaces and transport in aqueous systems.", "author" : [ { "dropping-particle" : "", "family" : "Ojeda", "given" : "Jesus J.", "non-dropping-particle" : "", "parse-names" : false, "suffix" : "" }, { "dropping-particle" : "", "family" : "Romero-Gonzalez", "given" : "Maria E.", "non-dropping-particle" : "", "parse-names" : false, "suffix" : "" }, { "dropping-particle" : "", "family" : "Bachmann", "given" : "Robert T.", "non-dropping-particle" : "", "parse-names" : false, "suffix" : "" }, { "dropping-particle" : "", "family" : "Edyvean", "given" : "Robert G J", "non-dropping-particle" : "", "parse-names" : false, "suffix" : "" }, { "dropping-particle" : "", "family" : "Banwart", "given" : "Steven A.", "non-dropping-particle" : "", "parse-names" : false, "suffix" : "" } ], "container-title" : "Langmuir", "id" : "ITEM-2", "issue" : "8", "issued" : { "date-parts" : [ [ "2008" ] ] }, "page" : "4032-4040", "title" : "Characterization of the cell surface and cell wall chemistry of drinking water bacteria by combining XPS, FTIR spectroscopy, modeling, and potentiometric titrations", "type" : "article-journal", "volume" : "24" }, "uris" : [ "http://www.mendeley.com/documents/?uuid=75035352-d731-4d94-9285-598137a2fc5e" ] } ], "mendeley" : { "formattedCitation" : "[102,111]", "plainTextFormattedCitation" : "[102,111]", "previouslyFormattedCitation" : "[102,111]"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[102,111]</w:t>
      </w:r>
      <w:r w:rsidR="001D078B">
        <w:rPr>
          <w:rFonts w:asciiTheme="minorHAnsi" w:eastAsia="Calibri" w:hAnsiTheme="minorHAnsi" w:cs="Calibri"/>
          <w:color w:val="000000"/>
          <w:sz w:val="22"/>
          <w:szCs w:val="22"/>
          <w:lang w:eastAsia="zh-CN"/>
        </w:rPr>
        <w:fldChar w:fldCharType="end"/>
      </w:r>
      <w:r w:rsidR="001D078B">
        <w:rPr>
          <w:rFonts w:asciiTheme="minorHAnsi" w:eastAsia="Calibri" w:hAnsiTheme="minorHAnsi" w:cs="Calibri"/>
          <w:color w:val="000000"/>
          <w:sz w:val="22"/>
          <w:szCs w:val="22"/>
          <w:lang w:eastAsia="zh-CN"/>
        </w:rPr>
        <w:t>:</w:t>
      </w:r>
    </w:p>
    <w:p w14:paraId="29B9AE1B" w14:textId="77777777" w:rsidR="001D078B" w:rsidRPr="00C44D8C" w:rsidRDefault="001D078B" w:rsidP="00436CD0">
      <w:pPr>
        <w:spacing w:line="360" w:lineRule="auto"/>
        <w:ind w:firstLine="720"/>
        <w:rPr>
          <w:rFonts w:asciiTheme="minorHAnsi" w:eastAsia="Arial" w:hAnsiTheme="minorHAnsi" w:cs="Arial"/>
          <w:color w:val="000000"/>
          <w:sz w:val="22"/>
          <w:szCs w:val="22"/>
          <w:lang w:eastAsia="zh-CN"/>
        </w:rPr>
      </w:pPr>
    </w:p>
    <w:p w14:paraId="133117B0" w14:textId="77777777" w:rsidR="00436CD0" w:rsidRPr="00C44D8C" w:rsidRDefault="00436CD0" w:rsidP="00436CD0">
      <w:pPr>
        <w:spacing w:line="360" w:lineRule="auto"/>
        <w:ind w:firstLine="720"/>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O/C = 0.325 (C</w:t>
      </w:r>
      <w:r w:rsidRPr="00C44D8C">
        <w:rPr>
          <w:rFonts w:asciiTheme="minorHAnsi" w:eastAsia="Calibri" w:hAnsiTheme="minorHAnsi" w:cs="Calibri"/>
          <w:color w:val="000000"/>
          <w:sz w:val="22"/>
          <w:szCs w:val="22"/>
          <w:vertAlign w:val="subscript"/>
          <w:lang w:eastAsia="zh-CN"/>
        </w:rPr>
        <w:t>PEP</w:t>
      </w:r>
      <w:r w:rsidRPr="00C44D8C">
        <w:rPr>
          <w:rFonts w:asciiTheme="minorHAnsi" w:eastAsia="Calibri" w:hAnsiTheme="minorHAnsi" w:cs="Calibri"/>
          <w:color w:val="000000"/>
          <w:sz w:val="22"/>
          <w:szCs w:val="22"/>
          <w:lang w:eastAsia="zh-CN"/>
        </w:rPr>
        <w:t>/C) + 0.833 (C</w:t>
      </w:r>
      <w:r w:rsidRPr="00C44D8C">
        <w:rPr>
          <w:rFonts w:asciiTheme="minorHAnsi" w:eastAsia="Calibri" w:hAnsiTheme="minorHAnsi" w:cs="Calibri"/>
          <w:color w:val="000000"/>
          <w:sz w:val="22"/>
          <w:szCs w:val="22"/>
          <w:vertAlign w:val="subscript"/>
          <w:lang w:eastAsia="zh-CN"/>
        </w:rPr>
        <w:t>PS</w:t>
      </w:r>
      <w:r w:rsidRPr="00C44D8C">
        <w:rPr>
          <w:rFonts w:asciiTheme="minorHAnsi" w:eastAsia="Calibri" w:hAnsiTheme="minorHAnsi" w:cs="Calibri"/>
          <w:color w:val="000000"/>
          <w:sz w:val="22"/>
          <w:szCs w:val="22"/>
          <w:lang w:eastAsia="zh-CN"/>
        </w:rPr>
        <w:t>/C)</w:t>
      </w:r>
      <w:r w:rsidRPr="00C44D8C">
        <w:rPr>
          <w:rFonts w:asciiTheme="minorHAnsi" w:eastAsia="Calibri" w:hAnsiTheme="minorHAnsi" w:cs="Calibri"/>
          <w:color w:val="000000"/>
          <w:sz w:val="22"/>
          <w:szCs w:val="22"/>
          <w:lang w:eastAsia="zh-CN"/>
        </w:rPr>
        <w:tab/>
      </w:r>
      <w:r w:rsidRPr="00C44D8C">
        <w:rPr>
          <w:rFonts w:asciiTheme="minorHAnsi" w:eastAsia="Calibri" w:hAnsiTheme="minorHAnsi" w:cs="Calibri"/>
          <w:color w:val="000000"/>
          <w:sz w:val="22"/>
          <w:szCs w:val="22"/>
          <w:lang w:eastAsia="zh-CN"/>
        </w:rPr>
        <w:tab/>
        <w:t>(Equation 1)</w:t>
      </w:r>
    </w:p>
    <w:p w14:paraId="5D666EC9" w14:textId="77777777" w:rsidR="00436CD0" w:rsidRPr="00C44D8C" w:rsidRDefault="00436CD0" w:rsidP="00436CD0">
      <w:pPr>
        <w:spacing w:line="360" w:lineRule="auto"/>
        <w:ind w:firstLine="720"/>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N/C = 0.279 (C</w:t>
      </w:r>
      <w:r w:rsidRPr="00C44D8C">
        <w:rPr>
          <w:rFonts w:asciiTheme="minorHAnsi" w:eastAsia="Calibri" w:hAnsiTheme="minorHAnsi" w:cs="Calibri"/>
          <w:color w:val="000000"/>
          <w:sz w:val="22"/>
          <w:szCs w:val="22"/>
          <w:vertAlign w:val="subscript"/>
          <w:lang w:eastAsia="zh-CN"/>
        </w:rPr>
        <w:t>PEP</w:t>
      </w:r>
      <w:r w:rsidRPr="00C44D8C">
        <w:rPr>
          <w:rFonts w:asciiTheme="minorHAnsi" w:eastAsia="Calibri" w:hAnsiTheme="minorHAnsi" w:cs="Calibri"/>
          <w:color w:val="000000"/>
          <w:sz w:val="22"/>
          <w:szCs w:val="22"/>
          <w:lang w:eastAsia="zh-CN"/>
        </w:rPr>
        <w:t>/C)</w:t>
      </w:r>
      <w:r w:rsidRPr="00C44D8C">
        <w:rPr>
          <w:rFonts w:asciiTheme="minorHAnsi" w:eastAsia="Calibri" w:hAnsiTheme="minorHAnsi" w:cs="Calibri"/>
          <w:color w:val="000000"/>
          <w:sz w:val="22"/>
          <w:szCs w:val="22"/>
          <w:lang w:eastAsia="zh-CN"/>
        </w:rPr>
        <w:tab/>
      </w:r>
      <w:r w:rsidRPr="00C44D8C">
        <w:rPr>
          <w:rFonts w:asciiTheme="minorHAnsi" w:eastAsia="Calibri" w:hAnsiTheme="minorHAnsi" w:cs="Calibri"/>
          <w:color w:val="000000"/>
          <w:sz w:val="22"/>
          <w:szCs w:val="22"/>
          <w:lang w:eastAsia="zh-CN"/>
        </w:rPr>
        <w:tab/>
      </w:r>
      <w:r w:rsidRPr="00C44D8C">
        <w:rPr>
          <w:rFonts w:asciiTheme="minorHAnsi" w:eastAsia="Calibri" w:hAnsiTheme="minorHAnsi" w:cs="Calibri"/>
          <w:color w:val="000000"/>
          <w:sz w:val="22"/>
          <w:szCs w:val="22"/>
          <w:lang w:eastAsia="zh-CN"/>
        </w:rPr>
        <w:tab/>
      </w:r>
      <w:r w:rsidRPr="00C44D8C">
        <w:rPr>
          <w:rFonts w:asciiTheme="minorHAnsi" w:eastAsia="Calibri" w:hAnsiTheme="minorHAnsi" w:cs="Calibri"/>
          <w:color w:val="000000"/>
          <w:sz w:val="22"/>
          <w:szCs w:val="22"/>
          <w:lang w:eastAsia="zh-CN"/>
        </w:rPr>
        <w:tab/>
        <w:t>(Equation 2)</w:t>
      </w:r>
    </w:p>
    <w:p w14:paraId="3DB50989" w14:textId="77777777" w:rsidR="00436CD0" w:rsidRPr="00C44D8C" w:rsidRDefault="00436CD0" w:rsidP="00436CD0">
      <w:pPr>
        <w:spacing w:line="360" w:lineRule="auto"/>
        <w:ind w:firstLine="720"/>
        <w:jc w:val="center"/>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1 = (C</w:t>
      </w:r>
      <w:r w:rsidRPr="00C44D8C">
        <w:rPr>
          <w:rFonts w:asciiTheme="minorHAnsi" w:eastAsia="Calibri" w:hAnsiTheme="minorHAnsi" w:cs="Calibri"/>
          <w:color w:val="000000"/>
          <w:sz w:val="22"/>
          <w:szCs w:val="22"/>
          <w:vertAlign w:val="subscript"/>
          <w:lang w:eastAsia="zh-CN"/>
        </w:rPr>
        <w:t>PEP</w:t>
      </w:r>
      <w:r w:rsidRPr="00C44D8C">
        <w:rPr>
          <w:rFonts w:asciiTheme="minorHAnsi" w:eastAsia="Calibri" w:hAnsiTheme="minorHAnsi" w:cs="Calibri"/>
          <w:color w:val="000000"/>
          <w:sz w:val="22"/>
          <w:szCs w:val="22"/>
          <w:lang w:eastAsia="zh-CN"/>
        </w:rPr>
        <w:t>/C) + (C</w:t>
      </w:r>
      <w:r w:rsidRPr="00C44D8C">
        <w:rPr>
          <w:rFonts w:asciiTheme="minorHAnsi" w:eastAsia="Calibri" w:hAnsiTheme="minorHAnsi" w:cs="Calibri"/>
          <w:color w:val="000000"/>
          <w:sz w:val="22"/>
          <w:szCs w:val="22"/>
          <w:vertAlign w:val="subscript"/>
          <w:lang w:eastAsia="zh-CN"/>
        </w:rPr>
        <w:t>PS</w:t>
      </w:r>
      <w:r w:rsidRPr="00C44D8C">
        <w:rPr>
          <w:rFonts w:asciiTheme="minorHAnsi" w:eastAsia="Calibri" w:hAnsiTheme="minorHAnsi" w:cs="Calibri"/>
          <w:color w:val="000000"/>
          <w:sz w:val="22"/>
          <w:szCs w:val="22"/>
          <w:lang w:eastAsia="zh-CN"/>
        </w:rPr>
        <w:t>/C) + (C</w:t>
      </w:r>
      <w:r w:rsidRPr="00C44D8C">
        <w:rPr>
          <w:rFonts w:asciiTheme="minorHAnsi" w:eastAsia="Calibri" w:hAnsiTheme="minorHAnsi" w:cs="Calibri"/>
          <w:color w:val="000000"/>
          <w:sz w:val="22"/>
          <w:szCs w:val="22"/>
          <w:vertAlign w:val="subscript"/>
          <w:lang w:eastAsia="zh-CN"/>
        </w:rPr>
        <w:t>HC</w:t>
      </w:r>
      <w:r w:rsidRPr="00C44D8C">
        <w:rPr>
          <w:rFonts w:asciiTheme="minorHAnsi" w:eastAsia="Calibri" w:hAnsiTheme="minorHAnsi" w:cs="Calibri"/>
          <w:color w:val="000000"/>
          <w:sz w:val="22"/>
          <w:szCs w:val="22"/>
          <w:lang w:eastAsia="zh-CN"/>
        </w:rPr>
        <w:t>/C)</w:t>
      </w:r>
      <w:r w:rsidRPr="00C44D8C">
        <w:rPr>
          <w:rFonts w:asciiTheme="minorHAnsi" w:eastAsia="Calibri" w:hAnsiTheme="minorHAnsi" w:cs="Calibri"/>
          <w:color w:val="000000"/>
          <w:sz w:val="22"/>
          <w:szCs w:val="22"/>
          <w:lang w:eastAsia="zh-CN"/>
        </w:rPr>
        <w:tab/>
      </w:r>
      <w:r w:rsidRPr="00C44D8C">
        <w:rPr>
          <w:rFonts w:asciiTheme="minorHAnsi" w:eastAsia="Calibri" w:hAnsiTheme="minorHAnsi" w:cs="Calibri"/>
          <w:color w:val="000000"/>
          <w:sz w:val="22"/>
          <w:szCs w:val="22"/>
          <w:lang w:eastAsia="zh-CN"/>
        </w:rPr>
        <w:tab/>
      </w:r>
      <w:r w:rsidRPr="00C44D8C">
        <w:rPr>
          <w:rFonts w:asciiTheme="minorHAnsi" w:eastAsia="Calibri" w:hAnsiTheme="minorHAnsi" w:cs="Calibri"/>
          <w:color w:val="000000"/>
          <w:sz w:val="22"/>
          <w:szCs w:val="22"/>
          <w:lang w:eastAsia="zh-CN"/>
        </w:rPr>
        <w:tab/>
        <w:t>(Equation 3)</w:t>
      </w:r>
    </w:p>
    <w:p w14:paraId="653B918D" w14:textId="77777777" w:rsidR="00436CD0" w:rsidRPr="00C44D8C" w:rsidRDefault="00436CD0" w:rsidP="00436CD0">
      <w:pPr>
        <w:spacing w:line="360" w:lineRule="auto"/>
        <w:ind w:firstLine="720"/>
        <w:rPr>
          <w:rFonts w:asciiTheme="minorHAnsi" w:eastAsia="Arial" w:hAnsiTheme="minorHAnsi" w:cs="Arial"/>
          <w:color w:val="000000"/>
          <w:sz w:val="22"/>
          <w:szCs w:val="22"/>
          <w:lang w:eastAsia="zh-CN"/>
        </w:rPr>
      </w:pPr>
    </w:p>
    <w:p w14:paraId="394BC4AF" w14:textId="77777777" w:rsidR="00436CD0" w:rsidRPr="00C44D8C" w:rsidRDefault="00436CD0" w:rsidP="00436CD0">
      <w:pPr>
        <w:spacing w:line="360" w:lineRule="auto"/>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where O/C and N/C are the measured atomic concentration ratios of oxygen and nitrogen, with respect to carbon in the experimental sample; C</w:t>
      </w:r>
      <w:r w:rsidRPr="00C44D8C">
        <w:rPr>
          <w:rFonts w:asciiTheme="minorHAnsi" w:eastAsia="Calibri" w:hAnsiTheme="minorHAnsi" w:cs="Calibri"/>
          <w:color w:val="000000"/>
          <w:sz w:val="22"/>
          <w:szCs w:val="22"/>
          <w:vertAlign w:val="subscript"/>
          <w:lang w:eastAsia="zh-CN"/>
        </w:rPr>
        <w:t>PEP</w:t>
      </w:r>
      <w:r w:rsidRPr="00C44D8C">
        <w:rPr>
          <w:rFonts w:asciiTheme="minorHAnsi" w:eastAsia="Calibri" w:hAnsiTheme="minorHAnsi" w:cs="Calibri"/>
          <w:color w:val="000000"/>
          <w:sz w:val="22"/>
          <w:szCs w:val="22"/>
          <w:lang w:eastAsia="zh-CN"/>
        </w:rPr>
        <w:t>, C</w:t>
      </w:r>
      <w:r w:rsidRPr="00C44D8C">
        <w:rPr>
          <w:rFonts w:asciiTheme="minorHAnsi" w:eastAsia="Calibri" w:hAnsiTheme="minorHAnsi" w:cs="Calibri"/>
          <w:color w:val="000000"/>
          <w:sz w:val="22"/>
          <w:szCs w:val="22"/>
          <w:vertAlign w:val="subscript"/>
          <w:lang w:eastAsia="zh-CN"/>
        </w:rPr>
        <w:t>PS</w:t>
      </w:r>
      <w:r w:rsidRPr="00C44D8C">
        <w:rPr>
          <w:rFonts w:asciiTheme="minorHAnsi" w:eastAsia="Calibri" w:hAnsiTheme="minorHAnsi" w:cs="Calibri"/>
          <w:color w:val="000000"/>
          <w:sz w:val="22"/>
          <w:szCs w:val="22"/>
          <w:lang w:eastAsia="zh-CN"/>
        </w:rPr>
        <w:t>, and C</w:t>
      </w:r>
      <w:r w:rsidRPr="00C44D8C">
        <w:rPr>
          <w:rFonts w:asciiTheme="minorHAnsi" w:eastAsia="Calibri" w:hAnsiTheme="minorHAnsi" w:cs="Calibri"/>
          <w:color w:val="000000"/>
          <w:sz w:val="22"/>
          <w:szCs w:val="22"/>
          <w:vertAlign w:val="subscript"/>
          <w:lang w:eastAsia="zh-CN"/>
        </w:rPr>
        <w:t>HC</w:t>
      </w:r>
      <w:r w:rsidRPr="00C44D8C">
        <w:rPr>
          <w:rFonts w:asciiTheme="minorHAnsi" w:eastAsia="Calibri" w:hAnsiTheme="minorHAnsi" w:cs="Calibri"/>
          <w:color w:val="000000"/>
          <w:sz w:val="22"/>
          <w:szCs w:val="22"/>
          <w:lang w:eastAsia="zh-CN"/>
        </w:rPr>
        <w:t xml:space="preserve"> are the atomic concentrations of carbon present in proteins, polysaccharides, and hydrocarbon-like products.</w:t>
      </w:r>
    </w:p>
    <w:p w14:paraId="6C205DB2" w14:textId="7B2FB0CA" w:rsidR="001D3059" w:rsidRPr="00C44D8C" w:rsidRDefault="00436CD0" w:rsidP="001D3059">
      <w:pPr>
        <w:spacing w:line="360" w:lineRule="auto"/>
        <w:ind w:firstLine="720"/>
        <w:rPr>
          <w:rFonts w:asciiTheme="minorHAnsi" w:eastAsia="Arial" w:hAnsiTheme="minorHAnsi" w:cs="Arial"/>
          <w:color w:val="000000"/>
          <w:sz w:val="22"/>
          <w:szCs w:val="22"/>
          <w:lang w:eastAsia="zh-CN"/>
        </w:rPr>
      </w:pPr>
      <w:r w:rsidRPr="00C44D8C">
        <w:rPr>
          <w:rFonts w:asciiTheme="minorHAnsi" w:eastAsia="Calibri" w:hAnsiTheme="minorHAnsi" w:cs="Calibri"/>
          <w:color w:val="000000"/>
          <w:sz w:val="22"/>
          <w:szCs w:val="22"/>
          <w:lang w:eastAsia="zh-CN"/>
        </w:rPr>
        <w:t>There were no significant differences in the surface-associated concentrations of proteins or hydrocarbon-like</w:t>
      </w:r>
      <w:r w:rsidR="001D3059">
        <w:rPr>
          <w:rFonts w:asciiTheme="minorHAnsi" w:eastAsia="Calibri" w:hAnsiTheme="minorHAnsi" w:cs="Calibri"/>
          <w:color w:val="000000"/>
          <w:sz w:val="22"/>
          <w:szCs w:val="22"/>
          <w:lang w:eastAsia="zh-CN"/>
        </w:rPr>
        <w:t xml:space="preserve"> compounds between PVC and PETG-</w:t>
      </w:r>
      <w:r w:rsidRPr="00C44D8C">
        <w:rPr>
          <w:rFonts w:asciiTheme="minorHAnsi" w:eastAsia="Calibri" w:hAnsiTheme="minorHAnsi" w:cs="Calibri"/>
          <w:color w:val="000000"/>
          <w:sz w:val="22"/>
          <w:szCs w:val="22"/>
          <w:lang w:eastAsia="zh-CN"/>
        </w:rPr>
        <w:t xml:space="preserve">biofilm samples (p &gt; 0.05, </w:t>
      </w:r>
      <w:bookmarkStart w:id="121" w:name="OLE_LINK2"/>
      <w:r w:rsidRPr="00C44D8C">
        <w:rPr>
          <w:rFonts w:asciiTheme="minorHAnsi" w:eastAsia="Calibri" w:hAnsiTheme="minorHAnsi" w:cs="Calibri"/>
          <w:color w:val="000000"/>
          <w:sz w:val="22"/>
          <w:szCs w:val="22"/>
          <w:lang w:eastAsia="zh-CN"/>
        </w:rPr>
        <w:t>unpaired t-test</w:t>
      </w:r>
      <w:bookmarkEnd w:id="121"/>
      <w:r w:rsidRPr="00C44D8C">
        <w:rPr>
          <w:rFonts w:asciiTheme="minorHAnsi" w:eastAsia="Calibri" w:hAnsiTheme="minorHAnsi" w:cs="Calibri"/>
          <w:color w:val="000000"/>
          <w:sz w:val="22"/>
          <w:szCs w:val="22"/>
          <w:lang w:eastAsia="zh-CN"/>
        </w:rPr>
        <w:t>) (Fig. 4.4).</w:t>
      </w:r>
      <w:r w:rsidRPr="00C44D8C">
        <w:rPr>
          <w:rFonts w:asciiTheme="minorHAnsi" w:eastAsia="Arial" w:hAnsiTheme="minorHAnsi" w:cs="Arial"/>
          <w:color w:val="000000"/>
          <w:sz w:val="22"/>
          <w:szCs w:val="22"/>
          <w:lang w:eastAsia="zh-CN"/>
        </w:rPr>
        <w:t xml:space="preserve"> </w:t>
      </w:r>
      <w:r w:rsidRPr="00C44D8C">
        <w:rPr>
          <w:rFonts w:asciiTheme="minorHAnsi" w:eastAsia="Calibri" w:hAnsiTheme="minorHAnsi" w:cs="Calibri"/>
          <w:color w:val="000000"/>
          <w:sz w:val="22"/>
          <w:szCs w:val="22"/>
          <w:lang w:eastAsia="zh-CN"/>
        </w:rPr>
        <w:t>However, the PVC-biofilm cells possessed a significantly higher amount of polysaccharides on the cell surface compared to PETG-biofilm cells (p &lt; 0.05, unpaired t-test)</w:t>
      </w:r>
      <w:r w:rsidR="001D3059">
        <w:rPr>
          <w:rFonts w:asciiTheme="minorHAnsi" w:eastAsia="Arial" w:hAnsiTheme="minorHAnsi" w:cs="Arial"/>
          <w:color w:val="000000"/>
          <w:sz w:val="22"/>
          <w:szCs w:val="22"/>
          <w:lang w:eastAsia="zh-CN"/>
        </w:rPr>
        <w:t xml:space="preserve">, </w:t>
      </w:r>
      <w:r w:rsidR="001D3059" w:rsidRPr="00C44D8C">
        <w:rPr>
          <w:rFonts w:asciiTheme="minorHAnsi" w:eastAsia="Calibri" w:hAnsiTheme="minorHAnsi" w:cs="Calibri"/>
          <w:color w:val="000000"/>
          <w:sz w:val="22"/>
          <w:szCs w:val="22"/>
          <w:highlight w:val="white"/>
          <w:lang w:eastAsia="zh-CN"/>
        </w:rPr>
        <w:t>as evidenced by a larger weight fraction of polysaccharides in the biofilm (0.33±0.03) compared to PETG</w:t>
      </w:r>
      <w:r w:rsidR="001D3059">
        <w:rPr>
          <w:rFonts w:asciiTheme="minorHAnsi" w:eastAsia="Calibri" w:hAnsiTheme="minorHAnsi" w:cs="Calibri"/>
          <w:color w:val="000000"/>
          <w:sz w:val="22"/>
          <w:szCs w:val="22"/>
          <w:highlight w:val="white"/>
          <w:lang w:eastAsia="zh-CN"/>
        </w:rPr>
        <w:t>-biofilms</w:t>
      </w:r>
      <w:r w:rsidR="001D3059" w:rsidRPr="00C44D8C">
        <w:rPr>
          <w:rFonts w:asciiTheme="minorHAnsi" w:eastAsia="Calibri" w:hAnsiTheme="minorHAnsi" w:cs="Calibri"/>
          <w:color w:val="000000"/>
          <w:sz w:val="22"/>
          <w:szCs w:val="22"/>
          <w:highlight w:val="white"/>
          <w:lang w:eastAsia="zh-CN"/>
        </w:rPr>
        <w:t xml:space="preserve"> (0.25±0.04)</w:t>
      </w:r>
      <w:r w:rsidR="001D3059">
        <w:rPr>
          <w:rFonts w:asciiTheme="minorHAnsi" w:eastAsia="Calibri" w:hAnsiTheme="minorHAnsi" w:cs="Calibri"/>
          <w:color w:val="000000"/>
          <w:sz w:val="22"/>
          <w:szCs w:val="22"/>
          <w:lang w:eastAsia="zh-CN"/>
        </w:rPr>
        <w:t>.</w:t>
      </w:r>
    </w:p>
    <w:p w14:paraId="6E5153AB" w14:textId="77777777" w:rsidR="005C5F28" w:rsidRPr="00C44D8C" w:rsidRDefault="005C5F28" w:rsidP="005C5F28">
      <w:pPr>
        <w:spacing w:line="360" w:lineRule="auto"/>
        <w:ind w:firstLine="720"/>
        <w:rPr>
          <w:rFonts w:asciiTheme="minorHAnsi" w:eastAsia="Arial" w:hAnsiTheme="minorHAnsi" w:cs="Arial"/>
          <w:color w:val="000000"/>
          <w:sz w:val="22"/>
          <w:szCs w:val="22"/>
          <w:lang w:eastAsia="zh-CN"/>
        </w:rPr>
      </w:pPr>
    </w:p>
    <w:p w14:paraId="4103B15F" w14:textId="70AEE088" w:rsidR="00436CD0" w:rsidRPr="00C44D8C" w:rsidRDefault="0058312F" w:rsidP="00436CD0">
      <w:pPr>
        <w:spacing w:line="360" w:lineRule="auto"/>
        <w:jc w:val="center"/>
        <w:rPr>
          <w:rFonts w:asciiTheme="minorHAnsi" w:eastAsia="Arial" w:hAnsiTheme="minorHAnsi" w:cs="Arial"/>
          <w:color w:val="000000"/>
          <w:sz w:val="22"/>
          <w:szCs w:val="22"/>
          <w:lang w:eastAsia="zh-CN"/>
        </w:rPr>
      </w:pPr>
      <w:r w:rsidRPr="00C44D8C">
        <w:rPr>
          <w:rFonts w:asciiTheme="minorHAnsi" w:eastAsia="Arial" w:hAnsiTheme="minorHAnsi" w:cs="Arial"/>
          <w:color w:val="000000"/>
          <w:sz w:val="22"/>
          <w:szCs w:val="22"/>
          <w:lang w:eastAsia="zh-CN"/>
        </w:rPr>
        <w:object w:dxaOrig="9155" w:dyaOrig="6382" w14:anchorId="31900422">
          <v:shape id="_x0000_i1030" type="#_x0000_t75" style="width:354.5pt;height:246.5pt" o:ole="">
            <v:imagedata r:id="rId42" o:title=""/>
          </v:shape>
          <o:OLEObject Type="Embed" ProgID="Prism6.Document" ShapeID="_x0000_i1030" DrawAspect="Content" ObjectID="_1568973014" r:id="rId43"/>
        </w:object>
      </w:r>
    </w:p>
    <w:p w14:paraId="1CAF0E25" w14:textId="77777777" w:rsidR="0058312F" w:rsidRDefault="00436CD0" w:rsidP="00436CD0">
      <w:pPr>
        <w:spacing w:line="360" w:lineRule="auto"/>
        <w:rPr>
          <w:rFonts w:asciiTheme="minorHAnsi" w:eastAsia="Calibri" w:hAnsiTheme="minorHAnsi" w:cs="Calibri"/>
          <w:bCs/>
          <w:color w:val="000000"/>
          <w:sz w:val="22"/>
          <w:szCs w:val="22"/>
          <w:lang w:eastAsia="zh-CN"/>
        </w:rPr>
        <w:sectPr w:rsidR="0058312F" w:rsidSect="00DF337D">
          <w:pgSz w:w="11906" w:h="16838"/>
          <w:pgMar w:top="1418" w:right="1418" w:bottom="1418" w:left="2268" w:header="708" w:footer="708" w:gutter="0"/>
          <w:cols w:space="708"/>
          <w:docGrid w:linePitch="360"/>
        </w:sectPr>
      </w:pPr>
      <w:r w:rsidRPr="00C44D8C">
        <w:rPr>
          <w:rFonts w:asciiTheme="minorHAnsi" w:eastAsia="Calibri" w:hAnsiTheme="minorHAnsi" w:cs="Calibri"/>
          <w:b/>
          <w:color w:val="000000"/>
          <w:sz w:val="22"/>
          <w:szCs w:val="22"/>
          <w:lang w:eastAsia="zh-CN"/>
        </w:rPr>
        <w:t xml:space="preserve">Fig. 4.4 </w:t>
      </w:r>
      <w:r w:rsidRPr="00C44D8C">
        <w:rPr>
          <w:rFonts w:asciiTheme="minorHAnsi" w:eastAsia="Calibri" w:hAnsiTheme="minorHAnsi" w:cs="Calibri"/>
          <w:bCs/>
          <w:color w:val="000000"/>
          <w:sz w:val="22"/>
          <w:szCs w:val="22"/>
          <w:lang w:eastAsia="zh-CN"/>
        </w:rPr>
        <w:t xml:space="preserve">Quantification of proteins, polysaccharides and hydrocarbon-like compounds on the cell surface of </w:t>
      </w:r>
      <w:r w:rsidRPr="00C44D8C">
        <w:rPr>
          <w:rFonts w:asciiTheme="minorHAnsi" w:eastAsia="Calibri" w:hAnsiTheme="minorHAnsi" w:cs="Calibri"/>
          <w:bCs/>
          <w:i/>
          <w:iCs/>
          <w:color w:val="000000"/>
          <w:sz w:val="22"/>
          <w:szCs w:val="22"/>
          <w:lang w:eastAsia="zh-CN"/>
        </w:rPr>
        <w:t xml:space="preserve">M. barkeri </w:t>
      </w:r>
      <w:r w:rsidRPr="00C44D8C">
        <w:rPr>
          <w:rFonts w:asciiTheme="minorHAnsi" w:eastAsia="Calibri" w:hAnsiTheme="minorHAnsi" w:cs="Calibri"/>
          <w:bCs/>
          <w:color w:val="000000"/>
          <w:sz w:val="22"/>
          <w:szCs w:val="22"/>
          <w:lang w:eastAsia="zh-CN"/>
        </w:rPr>
        <w:t xml:space="preserve">grown as a biofilm on PVC or PETG, as calculated from XPS spectral data. Errors represent standard deviation of two independent experiments. </w:t>
      </w:r>
    </w:p>
    <w:p w14:paraId="52970097" w14:textId="77777777" w:rsidR="00436CD0" w:rsidRPr="00C44D8C" w:rsidRDefault="00436CD0" w:rsidP="002B69BD">
      <w:pPr>
        <w:pStyle w:val="Heading6"/>
        <w:rPr>
          <w:rFonts w:eastAsia="Calibri"/>
          <w:lang w:eastAsia="zh-CN"/>
        </w:rPr>
      </w:pPr>
      <w:bookmarkStart w:id="122" w:name="_Toc462575333"/>
      <w:r w:rsidRPr="00C44D8C">
        <w:rPr>
          <w:rFonts w:eastAsia="Calibri"/>
          <w:lang w:eastAsia="zh-CN"/>
        </w:rPr>
        <w:lastRenderedPageBreak/>
        <w:t>4.3.3. Zeta potential analysis</w:t>
      </w:r>
      <w:bookmarkEnd w:id="122"/>
    </w:p>
    <w:p w14:paraId="05FE8FC1" w14:textId="23CBAB70" w:rsidR="00436CD0" w:rsidRDefault="00436CD0" w:rsidP="00114AA3">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 zeta potential is a useful indicator of the cell chemistry of a microbial cell, and arises due to the presence of anionic and cationic functional groups on the surface </w:t>
      </w:r>
      <w:r w:rsidR="001D078B">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"10.1016/S0167-5729(02)00032-8", "ISBN" : "3150363314", "ISSN" : "01675729", "author" : [ { "dropping-particle" : "", "family" : "Poortinga", "given" : "Albert T.", "non-dropping-particle" : "", "parse-names" : false, "suffix" : "" }, { "dropping-particle" : "", "family" : "Bos", "given" : "Rolf", "non-dropping-particle" : "", "parse-names" : false, "suffix" : "" }, { "dropping-particle" : "", "family" : "Norde", "given" : "Willem", "non-dropping-particle" : "", "parse-names" : false, "suffix" : "" }, { "dropping-particle" : "", "family" : "Busscher", "given" : "Henk J.", "non-dropping-particle" : "", "parse-names" : false, "suffix" : "" } ], "container-title" : "Surface Science Reports", "id" : "ITEM-1", "issue" : "1", "issued" : { "date-parts" : [ [ "2002", "6" ] ] }, "page" : "1-32", "title" : "Electric double layer interactions in bacterial adhesion to surfaces", "type" : "article-journal", "volume" : "47" }, "uris" : [ "http://www.mendeley.com/documents/?uuid=9f7a7ce8-5377-4cc5-a187-a84ad6b0f675" ] } ], "mendeley" : { "formattedCitation" : "[72]", "plainTextFormattedCitation" : "[72]", "previouslyFormattedCitation" : "[72]"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[72]</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The pH of the external environment controls the ionisation of surface functional groups, and an important surface parameter is the </w:t>
      </w:r>
      <w:r w:rsidR="00DF0408" w:rsidRPr="00C44D8C">
        <w:rPr>
          <w:rFonts w:asciiTheme="minorHAnsi" w:eastAsia="Calibri" w:hAnsiTheme="minorHAnsi" w:cs="Calibri"/>
          <w:color w:val="000000"/>
          <w:sz w:val="22"/>
          <w:szCs w:val="22"/>
          <w:lang w:eastAsia="zh-CN"/>
        </w:rPr>
        <w:t>isoelectric</w:t>
      </w:r>
      <w:r w:rsidRPr="00C44D8C">
        <w:rPr>
          <w:rFonts w:asciiTheme="minorHAnsi" w:eastAsia="Calibri" w:hAnsiTheme="minorHAnsi" w:cs="Calibri"/>
          <w:color w:val="000000"/>
          <w:sz w:val="22"/>
          <w:szCs w:val="22"/>
          <w:lang w:eastAsia="zh-CN"/>
        </w:rPr>
        <w:t xml:space="preserve"> point (IEP), or the pH at which the zeta potential is zero</w:t>
      </w:r>
      <w:r w:rsidR="001D078B">
        <w:rPr>
          <w:rFonts w:asciiTheme="minorHAnsi" w:eastAsia="Calibri" w:hAnsiTheme="minorHAnsi" w:cs="Calibri"/>
          <w:color w:val="000000"/>
          <w:sz w:val="22"/>
          <w:szCs w:val="22"/>
          <w:lang w:eastAsia="zh-CN"/>
        </w:rPr>
        <w:t xml:space="preserve"> </w:t>
      </w:r>
      <w:r w:rsidR="001D078B">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"10.1016/0927-7765(94)01164-Z", "ISBN" : "0927-7765", "ISSN" : "09277765", "abstract" : "The use of the isoelectric point (IEP) of a bacterium as a measure of the ability of bacterial surface polymers to inhibit adhesion was tested. This inhibition is attributed to repulsive steric interactions and not to electrostatic repulsion as accounted for by the DLVO theory of colloid stability. IEP values were compared with literature data on cell wall composition and with adhesion results, obtained at pH 7 and an ionic strength of 0.1 M. The literature data demonstrate that an IEP \u2264 2.8 indicates the presence of significant amounts of cell surface polysaccharides containing negatively charged phosphate and/or carboxyl groups. The experimental results showed that these polymers inhibit adhesion onto both hydrophilic (glass) and hydrophobic (Teflon) surfaces. The coryneform Rhodococcus strain C125 with an IEP of 3.0 possesses amphiphilic cell surface components which inhibit adhesion onto glass and promote deposition onto Teflon. Bacteria with an IEP \u2265 3.2 appear to be free from polymer coatings that inhibit adhesion. They adhere in large amounts onto Teflon and in slightly lower amounts onto glass. Our findings therefore indicate that the IEP is a suitable parameter complementary to hydrophobicity in predicting the affinity of bacterial surface polymers for substrata with different hydrophobicities. \u00a9 1995.", "author" : [ { "dropping-particle" : "", "family" : "Rijnaarts", "given" : "Huub H M", "non-dropping-particle" : "", "parse-names" : false, "suffix" : "" }, { "dropping-particle" : "", "family" : "Norde", "given" : "Willem", "non-dropping-particle" : "", "parse-names" : false, "suffix" : "" }, { "dropping-particle" : "", "family" : "Lyklema", "given" : "Johannes", "non-dropping-particle" : "", "parse-names" : false, "suffix" : "" }, { "dropping-particle" : "", "family" : "Zehnder", "given" : "Alexander J B", "non-dropping-particle" : "", "parse-names" : false, "suffix" : "" } ], "container-title" : "Colloids and Surfaces B: Biointerfaces", "id" : "ITEM-1", "issued" : { "date-parts" : [ [ "1995" ] ] }, "title" : "The isoelectric point of bacteria as an indicator for the presence of cell surface polymers that inhibit adhesion", "type" : "article-journal" }, "uris" : [ "http://www.mendeley.com/documents/?uuid=f1b60019-893f-3fd5-861c-4062831fa625" ] } ], "mendeley" : { "formattedCitation" : "[183]", "plainTextFormattedCitation" : "[183]", "previouslyFormattedCitation" : "[183]"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[183]</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This is a balance between the charging of anionic and cationic f</w:t>
      </w:r>
      <w:r w:rsidR="001D3059">
        <w:rPr>
          <w:rFonts w:asciiTheme="minorHAnsi" w:eastAsia="Calibri" w:hAnsiTheme="minorHAnsi" w:cs="Calibri"/>
          <w:color w:val="000000"/>
          <w:sz w:val="22"/>
          <w:szCs w:val="22"/>
          <w:lang w:eastAsia="zh-CN"/>
        </w:rPr>
        <w:t>unctional groups on the surface</w:t>
      </w:r>
      <w:r w:rsidRPr="00C44D8C">
        <w:rPr>
          <w:rFonts w:asciiTheme="minorHAnsi" w:eastAsia="Calibri" w:hAnsiTheme="minorHAnsi" w:cs="Calibri"/>
          <w:color w:val="000000"/>
          <w:sz w:val="22"/>
          <w:szCs w:val="22"/>
          <w:lang w:eastAsia="zh-CN"/>
        </w:rPr>
        <w:t xml:space="preserve">. The IEP can provide information on the chemical moieties and composition of the cell surface </w:t>
      </w:r>
      <w:r w:rsidR="001D078B">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"10.1016/0927-7765(94)01164-Z", "ISBN" : "0927-7765", "ISSN" : "09277765", "abstract" : "The use of the isoelectric point (IEP) of a bacterium as a measure of the ability of bacterial surface polymers to inhibit adhesion was tested. This inhibition is attributed to repulsive steric interactions and not to electrostatic repulsion as accounted for by the DLVO theory of colloid stability. IEP values were compared with literature data on cell wall composition and with adhesion results, obtained at pH 7 and an ionic strength of 0.1 M. The literature data demonstrate that an IEP \u2264 2.8 indicates the presence of significant amounts of cell surface polysaccharides containing negatively charged phosphate and/or carboxyl groups. The experimental results showed that these polymers inhibit adhesion onto both hydrophilic (glass) and hydrophobic (Teflon) surfaces. The coryneform Rhodococcus strain C125 with an IEP of 3.0 possesses amphiphilic cell surface components which inhibit adhesion onto glass and promote deposition onto Teflon. Bacteria with an IEP \u2265 3.2 appear to be free from polymer coatings that inhibit adhesion. They adhere in large amounts onto Teflon and in slightly lower amounts onto glass. Our findings therefore indicate that the IEP is a suitable parameter complementary to hydrophobicity in predicting the affinity of bacterial surface polymers for substrata with different hydrophobicities. \u00a9 1995.", "author" : [ { "dropping-particle" : "", "family" : "Rijnaarts", "given" : "Huub H M", "non-dropping-particle" : "", "parse-names" : false, "suffix" : "" }, { "dropping-particle" : "", "family" : "Norde", "given" : "Willem", "non-dropping-particle" : "", "parse-names" : false, "suffix" : "" }, { "dropping-particle" : "", "family" : "Lyklema", "given" : "Johannes", "non-dropping-particle" : "", "parse-names" : false, "suffix" : "" }, { "dropping-particle" : "", "family" : "Zehnder", "given" : "Alexander J B", "non-dropping-particle" : "", "parse-names" : false, "suffix" : "" } ], "container-title" : "Colloids and Surfaces B: Biointerfaces", "id" : "ITEM-1", "issued" : { "date-parts" : [ [ "1995" ] ] }, "title" : "The isoelectric point of bacteria as an indicator for the presence of cell surface polymers that inhibit adhesion", "type" : "article-journal" }, "uris" : [ "http://www.mendeley.com/documents/?uuid=f1b60019-893f-3fd5-861c-4062831fa625" ] } ], "mendeley" : { "formattedCitation" : "[183]", "plainTextFormattedCitation" : "[183]", "previouslyFormattedCitation" : "[183]"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[183]</w:t>
      </w:r>
      <w:r w:rsidR="001D078B">
        <w:rPr>
          <w:rFonts w:asciiTheme="minorHAnsi" w:eastAsia="Calibri" w:hAnsiTheme="minorHAnsi" w:cs="Calibri"/>
          <w:color w:val="000000"/>
          <w:sz w:val="22"/>
          <w:szCs w:val="22"/>
          <w:lang w:eastAsia="zh-CN"/>
        </w:rPr>
        <w:fldChar w:fldCharType="end"/>
      </w:r>
      <w:r w:rsidR="00114AA3" w:rsidRPr="00C44D8C">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Therefore, the EPM of biofilm cells was measured over a pH range of 2-10 and converted to zeta potentials using the </w:t>
      </w:r>
      <w:r w:rsidRPr="00C44D8C">
        <w:rPr>
          <w:rFonts w:asciiTheme="minorHAnsi" w:eastAsia="Arial" w:hAnsiTheme="minorHAnsi" w:cs="Arial"/>
          <w:color w:val="000000"/>
          <w:sz w:val="22"/>
          <w:szCs w:val="22"/>
          <w:lang w:eastAsia="zh-CN"/>
        </w:rPr>
        <w:t>Smoluchowski equation to</w:t>
      </w:r>
      <w:r w:rsidRPr="00C44D8C">
        <w:rPr>
          <w:rFonts w:asciiTheme="minorHAnsi" w:eastAsia="Calibri" w:hAnsiTheme="minorHAnsi" w:cs="Calibri"/>
          <w:color w:val="000000"/>
          <w:sz w:val="22"/>
          <w:szCs w:val="22"/>
          <w:lang w:eastAsia="zh-CN"/>
        </w:rPr>
        <w:t xml:space="preserve"> determine the IEP (Fig. 4.5).</w:t>
      </w:r>
    </w:p>
    <w:p w14:paraId="7312B824" w14:textId="77777777" w:rsidR="001D3059" w:rsidRDefault="001D3059" w:rsidP="00114AA3">
      <w:pPr>
        <w:spacing w:line="360" w:lineRule="auto"/>
        <w:rPr>
          <w:rFonts w:asciiTheme="minorHAnsi" w:eastAsia="Calibri" w:hAnsiTheme="minorHAnsi" w:cs="Calibri"/>
          <w:color w:val="000000"/>
          <w:sz w:val="22"/>
          <w:szCs w:val="22"/>
          <w:lang w:eastAsia="zh-CN"/>
        </w:rPr>
      </w:pPr>
    </w:p>
    <w:p w14:paraId="302F2022" w14:textId="12B36E99" w:rsidR="001D3059" w:rsidRPr="00C44D8C" w:rsidRDefault="001D3059" w:rsidP="00114AA3">
      <w:pPr>
        <w:spacing w:line="360" w:lineRule="auto"/>
        <w:rPr>
          <w:rFonts w:asciiTheme="minorHAnsi" w:eastAsia="Calibri" w:hAnsiTheme="minorHAnsi" w:cs="Calibri"/>
          <w:color w:val="000000"/>
          <w:sz w:val="22"/>
          <w:szCs w:val="22"/>
          <w:lang w:eastAsia="zh-CN"/>
        </w:rPr>
      </w:pPr>
      <w:r>
        <w:object w:dxaOrig="8989" w:dyaOrig="4838" w14:anchorId="75140967">
          <v:shape id="_x0000_i1031" type="#_x0000_t75" style="width:411pt;height:221.5pt" o:ole="">
            <v:imagedata r:id="rId44" o:title=""/>
          </v:shape>
          <o:OLEObject Type="Embed" ProgID="Prism6.Document" ShapeID="_x0000_i1031" DrawAspect="Content" ObjectID="_1568973015" r:id="rId45"/>
        </w:object>
      </w:r>
    </w:p>
    <w:p w14:paraId="5B7ABA0D" w14:textId="05359145" w:rsidR="00436CD0" w:rsidRPr="00C44D8C" w:rsidRDefault="00436CD0" w:rsidP="0058312F">
      <w:pPr>
        <w:spacing w:line="360" w:lineRule="auto"/>
        <w:rPr>
          <w:rFonts w:asciiTheme="minorHAnsi" w:eastAsia="Arial" w:hAnsiTheme="minorHAnsi" w:cs="Arial"/>
          <w:color w:val="000000"/>
          <w:sz w:val="22"/>
          <w:szCs w:val="22"/>
          <w:lang w:eastAsia="zh-CN"/>
        </w:rPr>
      </w:pPr>
      <w:r w:rsidRPr="00C44D8C">
        <w:rPr>
          <w:rFonts w:asciiTheme="minorHAnsi" w:eastAsia="Arial" w:hAnsiTheme="minorHAnsi" w:cs="Arial"/>
          <w:b/>
          <w:bCs/>
          <w:color w:val="000000"/>
          <w:sz w:val="22"/>
          <w:szCs w:val="22"/>
          <w:lang w:eastAsia="zh-CN"/>
        </w:rPr>
        <w:t>Fig. 4.5</w:t>
      </w:r>
      <w:r w:rsidRPr="00C44D8C">
        <w:rPr>
          <w:rFonts w:asciiTheme="minorHAnsi" w:eastAsia="Arial" w:hAnsiTheme="minorHAnsi" w:cs="Arial"/>
          <w:color w:val="000000"/>
          <w:sz w:val="22"/>
          <w:szCs w:val="22"/>
          <w:lang w:eastAsia="zh-CN"/>
        </w:rPr>
        <w:t xml:space="preserve"> The zeta potentials (mV) of </w:t>
      </w:r>
      <w:r w:rsidRPr="00C44D8C">
        <w:rPr>
          <w:rFonts w:asciiTheme="minorHAnsi" w:eastAsia="Arial" w:hAnsiTheme="minorHAnsi" w:cs="Arial"/>
          <w:i/>
          <w:iCs/>
          <w:color w:val="000000"/>
          <w:sz w:val="22"/>
          <w:szCs w:val="22"/>
          <w:lang w:eastAsia="zh-CN"/>
        </w:rPr>
        <w:t xml:space="preserve">M. barkeri </w:t>
      </w:r>
      <w:r w:rsidRPr="00C44D8C">
        <w:rPr>
          <w:rFonts w:asciiTheme="minorHAnsi" w:eastAsia="Arial" w:hAnsiTheme="minorHAnsi" w:cs="Arial"/>
          <w:color w:val="000000"/>
          <w:sz w:val="22"/>
          <w:szCs w:val="22"/>
          <w:lang w:eastAsia="zh-CN"/>
        </w:rPr>
        <w:t xml:space="preserve">grown as a biofilm on either PVC (blue line) or PETG (red line) as a function of pH, at pH 2, 4, 6, 7, 8 and 10. Error bars represent the standard deviation of two independent experiments. </w:t>
      </w:r>
    </w:p>
    <w:p w14:paraId="0E407EC9"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p>
    <w:p w14:paraId="5B4C945F" w14:textId="5DAE615F" w:rsidR="00436CD0" w:rsidRPr="00C44D8C" w:rsidRDefault="00436CD0" w:rsidP="00436CD0">
      <w:pPr>
        <w:autoSpaceDE w:val="0"/>
        <w:autoSpaceDN w:val="0"/>
        <w:adjustRightInd w:val="0"/>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The transition from a basic pH to an acidic pH range incurred a decline (less negative) in the electronegativity of the cell surface, which is a typical characteristic of microbial cells </w:t>
      </w:r>
      <w:r w:rsidR="001D078B">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"10.1016/0927-7765(94)01164-Z", "ISBN" : "0927-7765", "ISSN" : "09277765", "abstract" : "The use of the isoelectric point (IEP) of a bacterium as a measure of the ability of bacterial surface polymers to inhibit adhesion was tested. This inhibition is attributed to repulsive steric interactions and not to electrostatic repulsion as accounted for by the DLVO theory of colloid stability. IEP values were compared with literature data on cell wall composition and with adhesion results, obtained at pH 7 and an ionic strength of 0.1 M. The literature data demonstrate that an IEP \u2264 2.8 indicates the presence of significant amounts of cell surface polysaccharides containing negatively charged phosphate and/or carboxyl groups. The experimental results showed that these polymers inhibit adhesion onto both hydrophilic (glass) and hydrophobic (Teflon) surfaces. The coryneform Rhodococcus strain C125 with an IEP of 3.0 possesses amphiphilic cell surface components which inhibit adhesion onto glass and promote deposition onto Teflon. Bacteria with an IEP \u2265 3.2 appear to be free from polymer coatings that inhibit adhesion. They adhere in large amounts onto Teflon and in slightly lower amounts onto glass. Our findings therefore indicate that the IEP is a suitable parameter complementary to hydrophobicity in predicting the affinity of bacterial surface polymers for substrata with different hydrophobicities. \u00a9 1995.", "author" : [ { "dropping-particle" : "", "family" : "Rijnaarts", "given" : "Huub H M", "non-dropping-particle" : "", "parse-names" : false, "suffix" : "" }, { "dropping-particle" : "", "family" : "Norde", "given" : "Willem", "non-dropping-particle" : "", "parse-names" : false, "suffix" : "" }, { "dropping-particle" : "", "family" : "Lyklema", "given" : "Johannes", "non-dropping-particle" : "", "parse-names" : false, "suffix" : "" }, { "dropping-particle" : "", "family" : "Zehnder", "given" : "Alexander J B", "non-dropping-particle" : "", "parse-names" : false, "suffix" : "" } ], "container-title" : "Colloids and Surfaces B: Biointerfaces", "id" : "ITEM-1", "issued" : { "date-parts" : [ [ "1995" ] ] }, "title" : "The isoelectric point of bacteria as an indicator for the presence of cell surface polymers that inhibit adhesion", "type" : "article-journal" }, "uris" : [ "http://www.mendeley.com/documents/?uuid=f1b60019-893f-3fd5-861c-4062831fa625" ] } ], "mendeley" : { "formattedCitation" : "[183]", "plainTextFormattedCitation" : "[183]", "previouslyFormattedCitation" : "[183]" }, "properties" : { "noteIndex" : 0 }, "schema" : "https://github.com/citation-style-language/schema/raw/master/csl-citation.json" }</w:instrText>
      </w:r>
      <w:r w:rsidR="001D078B">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[183]</w:t>
      </w:r>
      <w:r w:rsidR="001D078B">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Upon biofilm formation at pH 7, the zeta potential of biofilms attached to PVC and PETG were -22.9 mV and -22.1 mV, respectively, which point to very subtle differences in the cell surface chemistry of both biofilms. </w:t>
      </w:r>
    </w:p>
    <w:p w14:paraId="23E4F8EC" w14:textId="77777777" w:rsidR="00436CD0" w:rsidRPr="00C44D8C"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It was not possible to determine the IEP of biofilms attached to PVC and PETG in the tested pH range, showing that biofilm cells possessed a strong net negative charge. The </w:t>
      </w:r>
      <w:r w:rsidRPr="00C44D8C">
        <w:rPr>
          <w:rFonts w:asciiTheme="minorHAnsi" w:eastAsia="Calibri" w:hAnsiTheme="minorHAnsi" w:cs="Calibri"/>
          <w:color w:val="000000"/>
          <w:sz w:val="22"/>
          <w:szCs w:val="22"/>
          <w:lang w:eastAsia="zh-CN"/>
        </w:rPr>
        <w:lastRenderedPageBreak/>
        <w:t xml:space="preserve">EPM was not measured for cells below the lower limit of pH 2 for risk of losing the integrity of the cell surface. </w:t>
      </w:r>
    </w:p>
    <w:p w14:paraId="222E4B9B" w14:textId="43CD6394" w:rsidR="00436CD0" w:rsidRPr="00C44D8C" w:rsidRDefault="00436CD0" w:rsidP="00436CD0">
      <w:pPr>
        <w:autoSpaceDE w:val="0"/>
        <w:autoSpaceDN w:val="0"/>
        <w:adjustRightInd w:val="0"/>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It can be presumed from Fig. 4.5 that the IEP of both PVC and PETG biofilms would have been less than pH 2. According to </w:t>
      </w:r>
      <w:r w:rsidRPr="001D078B">
        <w:rPr>
          <w:rFonts w:asciiTheme="minorHAnsi" w:eastAsia="Calibri" w:hAnsiTheme="minorHAnsi" w:cs="Calibri"/>
          <w:color w:val="000000"/>
          <w:sz w:val="22"/>
          <w:szCs w:val="22"/>
          <w:lang w:eastAsia="zh-CN"/>
        </w:rPr>
        <w:t xml:space="preserve">Rijnaarts </w:t>
      </w:r>
      <w:r w:rsidRPr="001D078B">
        <w:rPr>
          <w:rFonts w:asciiTheme="minorHAnsi" w:eastAsia="Calibri" w:hAnsiTheme="minorHAnsi" w:cs="Calibri"/>
          <w:i/>
          <w:iCs/>
          <w:color w:val="000000"/>
          <w:sz w:val="22"/>
          <w:szCs w:val="22"/>
          <w:lang w:eastAsia="zh-CN"/>
        </w:rPr>
        <w:t xml:space="preserve">et al. </w:t>
      </w:r>
      <w:r w:rsidRPr="001D078B">
        <w:rPr>
          <w:rFonts w:asciiTheme="minorHAnsi" w:eastAsia="Calibri" w:hAnsiTheme="minorHAnsi" w:cs="Calibri"/>
          <w:color w:val="000000"/>
          <w:sz w:val="22"/>
          <w:szCs w:val="22"/>
          <w:lang w:eastAsia="zh-CN"/>
        </w:rPr>
        <w:t>(1995),</w:t>
      </w:r>
      <w:r w:rsidRPr="00C44D8C">
        <w:rPr>
          <w:rFonts w:asciiTheme="minorHAnsi" w:eastAsia="Calibri" w:hAnsiTheme="minorHAnsi" w:cs="Calibri"/>
          <w:color w:val="000000"/>
          <w:sz w:val="22"/>
          <w:szCs w:val="22"/>
          <w:lang w:eastAsia="zh-CN"/>
        </w:rPr>
        <w:t xml:space="preserve"> an IEP of less than 2.8 indicates a significant amount of anionic polysaccharides containing negatively charged carboxyl and phosphate groups at the cell surface, which have pKa values of less than 2.8</w:t>
      </w:r>
      <w:r w:rsidR="00C43328">
        <w:rPr>
          <w:rFonts w:asciiTheme="minorHAnsi" w:eastAsia="Calibri" w:hAnsiTheme="minorHAnsi" w:cs="Calibri"/>
          <w:color w:val="000000"/>
          <w:sz w:val="22"/>
          <w:szCs w:val="22"/>
          <w:lang w:eastAsia="zh-CN"/>
        </w:rPr>
        <w:t xml:space="preserve"> [177]</w:t>
      </w:r>
      <w:r w:rsidRPr="00C44D8C">
        <w:rPr>
          <w:rFonts w:asciiTheme="minorHAnsi" w:eastAsia="Calibri" w:hAnsiTheme="minorHAnsi" w:cs="Calibri"/>
          <w:color w:val="000000"/>
          <w:sz w:val="22"/>
          <w:szCs w:val="22"/>
          <w:lang w:eastAsia="zh-CN"/>
        </w:rPr>
        <w:t xml:space="preserve">. The deprotonation of carboxyl and phosphate groups associated with cell surface polysaccharides may contribute to the highly negative zeta potentials of biofilms attached to PVC and PETG at pH 7. </w:t>
      </w:r>
    </w:p>
    <w:p w14:paraId="651732ED" w14:textId="77777777" w:rsidR="00436CD0" w:rsidRPr="00C44D8C" w:rsidRDefault="00436CD0" w:rsidP="00436CD0">
      <w:pPr>
        <w:spacing w:line="360" w:lineRule="auto"/>
        <w:rPr>
          <w:rFonts w:asciiTheme="minorHAnsi" w:eastAsia="Arial" w:hAnsiTheme="minorHAnsi" w:cs="Arial"/>
          <w:color w:val="000000"/>
          <w:sz w:val="22"/>
          <w:szCs w:val="22"/>
          <w:lang w:eastAsia="zh-CN"/>
        </w:rPr>
      </w:pPr>
    </w:p>
    <w:p w14:paraId="4609A216" w14:textId="77777777" w:rsidR="00436CD0" w:rsidRPr="00C44D8C" w:rsidRDefault="00436CD0" w:rsidP="002B69BD">
      <w:pPr>
        <w:pStyle w:val="Heading6"/>
        <w:rPr>
          <w:rFonts w:eastAsia="Arial" w:cs="Arial"/>
          <w:lang w:eastAsia="zh-CN"/>
        </w:rPr>
      </w:pPr>
      <w:bookmarkStart w:id="123" w:name="_Toc462575334"/>
      <w:r w:rsidRPr="00C44D8C">
        <w:rPr>
          <w:rFonts w:eastAsia="Calibri"/>
          <w:lang w:eastAsia="zh-CN"/>
        </w:rPr>
        <w:t>4.3.4. Epifluorescence microscopy of cell surface components</w:t>
      </w:r>
      <w:bookmarkEnd w:id="123"/>
      <w:r w:rsidRPr="00C44D8C">
        <w:rPr>
          <w:rFonts w:eastAsia="Calibri"/>
          <w:lang w:eastAsia="zh-CN"/>
        </w:rPr>
        <w:t xml:space="preserve"> </w:t>
      </w:r>
    </w:p>
    <w:p w14:paraId="7A9C06B9" w14:textId="49583D34"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Biofilms attached to either PVC or PETG</w:t>
      </w:r>
      <w:r w:rsidRPr="00C44D8C">
        <w:rPr>
          <w:rFonts w:asciiTheme="minorHAnsi" w:eastAsia="Calibri" w:hAnsiTheme="minorHAnsi" w:cs="Calibri"/>
          <w:i/>
          <w:color w:val="000000"/>
          <w:sz w:val="22"/>
          <w:szCs w:val="22"/>
          <w:lang w:eastAsia="zh-CN"/>
        </w:rPr>
        <w:t xml:space="preserve"> </w:t>
      </w:r>
      <w:r w:rsidRPr="00C44D8C">
        <w:rPr>
          <w:rFonts w:asciiTheme="minorHAnsi" w:eastAsia="Calibri" w:hAnsiTheme="minorHAnsi" w:cs="Calibri"/>
          <w:color w:val="000000"/>
          <w:sz w:val="22"/>
          <w:szCs w:val="22"/>
          <w:lang w:eastAsia="zh-CN"/>
        </w:rPr>
        <w:t xml:space="preserve">were triple-stained with DAPI, FITC and ConA-Rho in order to determine the </w:t>
      </w:r>
      <w:r w:rsidR="00BE5368">
        <w:rPr>
          <w:rFonts w:asciiTheme="minorHAnsi" w:eastAsia="Calibri" w:hAnsiTheme="minorHAnsi" w:cs="Calibri"/>
          <w:color w:val="000000"/>
          <w:sz w:val="22"/>
          <w:szCs w:val="22"/>
          <w:lang w:eastAsia="zh-CN"/>
        </w:rPr>
        <w:t>amount of surface polysaccharides and proteins</w:t>
      </w:r>
      <w:r w:rsidRPr="00C44D8C">
        <w:rPr>
          <w:rFonts w:asciiTheme="minorHAnsi" w:eastAsia="Calibri" w:hAnsiTheme="minorHAnsi" w:cs="Calibri"/>
          <w:color w:val="000000"/>
          <w:sz w:val="22"/>
          <w:szCs w:val="22"/>
          <w:lang w:eastAsia="zh-CN"/>
        </w:rPr>
        <w:t xml:space="preserve"> after 96 h. Cells from both experimental conditions were washed and centrifuged to ensure the removal of loosely-bound EPS for the analysis of the cell surface</w:t>
      </w:r>
      <w:r w:rsidR="00C43328">
        <w:rPr>
          <w:rFonts w:asciiTheme="minorHAnsi" w:eastAsia="Calibri" w:hAnsiTheme="minorHAnsi" w:cs="Calibri"/>
          <w:color w:val="000000"/>
          <w:sz w:val="22"/>
          <w:szCs w:val="22"/>
          <w:lang w:eastAsia="zh-CN"/>
        </w:rPr>
        <w:t xml:space="preserve"> </w:t>
      </w:r>
      <w:r w:rsidR="00C43328">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"10.1016/j.biotechadv.2010.08.001", "ISSN" : "1873-1899", "PMID" : "20705128", "abstract" : "A review concerning the definition, extraction, characterization, production and functions of extracellular polymeric substances (EPS) of microbial aggregates in biological wastewater treatment reactors is given in this paper. EPS are a complex high-molecular-weight mixture of polymers excreted by microorganisms, produced from cell lysis and adsorbed organic matter from wastewater. They are a major component in microbial aggregates for keeping them together in a three-dimensional matrix. Their characteristics (e.g., adsorption abilities, biodegradability and hydrophilicity/hydrophobicity) and the contents of the main components (e.g., carbohydrates, proteins, humic substances and nucleic acids) in EPS are found to crucially affect the properties of microbial aggregates, such as mass transfer, surface characteristics, adsorption ability, stability, the formation of microbial aggregates etc. However, as EPS are very complex, the knowledge regarding EPS is far from complete and much work is still required to fully understand their precise roles in the biological treatment process.", "author" : [ { "dropping-particle" : "", "family" : "Sheng", "given" : "Guo-Ping", "non-dropping-particle" : "", "parse-names" : false, "suffix" : "" }, { "dropping-particle" : "", "family" : "Yu", "given" : "Han-Qing", "non-dropping-particle" : "", "parse-names" : false, "suffix" : "" }, { "dropping-particle" : "", "family" : "Li", "given" : "Xiao-Yan", "non-dropping-particle" : "", "parse-names" : false, "suffix" : "" } ], "container-title" : "Biotechnology advances", "id" : "ITEM-1", "issue" : "6", "issued" : { "date-parts" : [ [ "2010" ] ] }, "page" : "882-94", "publisher" : "Elsevier Inc.", "title" : "Extracellular polymeric substances (EPS) of microbial aggregates in biological wastewater treatment systems: a review.", "type" : "article-journal", "volume" : "28" }, "uris" : [ "http://www.mendeley.com/documents/?uuid=446e5d85-42df-4f5b-b986-07bc176ae65a" ] }, { "id" : "ITEM-2", "itemData" : { "author" : [ { "dropping-particle" : "", "family" : "Mukherjee, J., Karunakaran, E., Biggs", "given" : "C.A.", "non-dropping-particle" : "", "parse-names" : false, "suffix" : "" } ], "container-title" : "Biofouling", "id" : "ITEM-2",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"mendeley" : { "formattedCitation" : "[92,191]", "plainTextFormattedCitation" : "[92,191]", "previouslyFormattedCitation" : "[92,191]" }, "properties" : { "noteIndex" : 0 }, "schema" : "https://github.com/citation-style-language/schema/raw/master/csl-citation.json" }</w:instrText>
      </w:r>
      <w:r w:rsidR="00C43328">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[92,191]</w:t>
      </w:r>
      <w:r w:rsidR="00C43328">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and to ensure that results were comparable with those from the cell surface-sensitive methods of XPS and FTIR.  </w:t>
      </w:r>
    </w:p>
    <w:p w14:paraId="4EBAD427" w14:textId="3AA7282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ab/>
        <w:t xml:space="preserve">The amine-reactive stain, FITC was not successful in the identification of surface-associated proteins, and instead stained proteins throughout the whole cell. This has been observed in previous studies </w:t>
      </w:r>
      <w:r w:rsidR="00C43328">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"DOI" : "10.1128/AEM.71.2.1051", "ISBN" : "4989289137", "author" : [ { "dropping-particle" : "", "family" : "Mcswain", "given" : "B S", "non-dropping-particle" : "", "parse-names" : false, "suffix" : "" }, { "dropping-particle" : "", "family" : "Irvine", "given" : "R L", "non-dropping-particle" : "", "parse-names" : false, "suffix" : "" }, { "dropping-particle" : "", "family" : "Hausner", "given" : "M", "non-dropping-particle" : "", "parse-names" : false, "suffix" : "" }, { "dropping-particle" : "", "family" : "Wilderer", "given" : "P A", "non-dropping-particle" : "", "parse-names" : false, "suffix" : "" } ], "container-title" : "Applied and Environmental Microbiology", "id" : "ITEM-1", "issue" : "2", "issued" : { "date-parts" : [ [ "2005" ] ] }, "page" : "1051-1057", "title" : "Composition and Distribution of Extracellular Polymeric Substances in Aerobic Flocs and Granular Sludge", "type" : "article-journal", "volume" : "71" }, "uris" : [ "http://www.mendeley.com/documents/?uuid=9c48ed5e-3a65-4c4f-b1b8-2d34cfcf9073" ] } ], "mendeley" : { "formattedCitation" : "[140]", "plainTextFormattedCitation" : "[140]", "previouslyFormattedCitation" : "[140]" }, "properties" : { "noteIndex" : 0 }, "schema" : "https://github.com/citation-style-language/schema/raw/master/csl-citation.json" }</w:instrText>
      </w:r>
      <w:r w:rsidR="00C43328">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[140]</w:t>
      </w:r>
      <w:r w:rsidR="00C43328">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As a result, this stain was not quantified. DAPI was able to stain cellular DNA throughout the cell, whereas ConA-Rho was </w:t>
      </w:r>
      <w:r w:rsidR="00BE5368">
        <w:rPr>
          <w:rFonts w:asciiTheme="minorHAnsi" w:eastAsia="Calibri" w:hAnsiTheme="minorHAnsi" w:cs="Calibri"/>
          <w:color w:val="000000"/>
          <w:sz w:val="22"/>
          <w:szCs w:val="22"/>
          <w:lang w:eastAsia="zh-CN"/>
        </w:rPr>
        <w:t xml:space="preserve">successfully able to </w:t>
      </w:r>
      <w:r w:rsidRPr="00C44D8C">
        <w:rPr>
          <w:rFonts w:asciiTheme="minorHAnsi" w:eastAsia="Calibri" w:hAnsiTheme="minorHAnsi" w:cs="Calibri"/>
          <w:color w:val="000000"/>
          <w:sz w:val="22"/>
          <w:szCs w:val="22"/>
          <w:lang w:eastAsia="zh-CN"/>
        </w:rPr>
        <w:t>distinguish surface-associated polysaccharides from cells.</w:t>
      </w:r>
    </w:p>
    <w:p w14:paraId="7069BA33" w14:textId="77777777" w:rsidR="00436CD0" w:rsidRPr="00C44D8C" w:rsidRDefault="00436CD0" w:rsidP="00436CD0">
      <w:pPr>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ab/>
        <w:t xml:space="preserve">The levels of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cells and exopolysaccharides were quantified as the percentage of cells and </w:t>
      </w:r>
      <w:r w:rsidRPr="00C44D8C">
        <w:rPr>
          <w:rFonts w:asciiTheme="minorHAnsi" w:eastAsia="Arial" w:hAnsiTheme="minorHAnsi" w:cs="Arial"/>
          <w:color w:val="000000"/>
          <w:sz w:val="22"/>
          <w:szCs w:val="22"/>
          <w:lang w:eastAsia="zh-CN"/>
        </w:rPr>
        <w:t>glucose and mannose sugar residues covering the surface of a</w:t>
      </w:r>
      <w:r w:rsidRPr="00C44D8C">
        <w:rPr>
          <w:rFonts w:asciiTheme="minorHAnsi" w:eastAsia="Calibri" w:hAnsiTheme="minorHAnsi" w:cs="Calibri"/>
          <w:color w:val="000000"/>
          <w:sz w:val="22"/>
          <w:szCs w:val="22"/>
          <w:lang w:eastAsia="zh-CN"/>
        </w:rPr>
        <w:t xml:space="preserve"> 1 mm</w:t>
      </w:r>
      <w:r w:rsidRPr="00C44D8C">
        <w:rPr>
          <w:rFonts w:asciiTheme="minorHAnsi" w:eastAsia="Calibri" w:hAnsiTheme="minorHAnsi" w:cs="Calibri"/>
          <w:color w:val="000000"/>
          <w:sz w:val="22"/>
          <w:szCs w:val="22"/>
          <w:vertAlign w:val="superscript"/>
          <w:lang w:eastAsia="zh-CN"/>
        </w:rPr>
        <w:t xml:space="preserve">2 </w:t>
      </w:r>
      <w:r w:rsidRPr="00C44D8C">
        <w:rPr>
          <w:rFonts w:asciiTheme="minorHAnsi" w:eastAsia="Calibri" w:hAnsiTheme="minorHAnsi" w:cs="Calibri"/>
          <w:color w:val="000000"/>
          <w:sz w:val="22"/>
          <w:szCs w:val="22"/>
          <w:lang w:eastAsia="zh-CN"/>
        </w:rPr>
        <w:t xml:space="preserve">microscopic field, as described previously in section 3.2.9.3. The results show that there were significant differences in the surface coverage of DAPI-stained cells between both biofilm samples (p &lt; 0.05, two-tailed t-test), </w:t>
      </w:r>
      <w:r w:rsidRPr="00C44D8C">
        <w:rPr>
          <w:rFonts w:asciiTheme="minorHAnsi" w:eastAsia="Arial" w:hAnsiTheme="minorHAnsi" w:cs="Arial"/>
          <w:color w:val="000000"/>
          <w:sz w:val="22"/>
          <w:szCs w:val="22"/>
          <w:lang w:eastAsia="zh-CN"/>
        </w:rPr>
        <w:t>with PVC-biofilm cells having the highest cellular biomass after 96 h (10.4% surface coverage) (Fig. 4.6a)</w:t>
      </w:r>
      <w:r w:rsidRPr="00C44D8C">
        <w:rPr>
          <w:rFonts w:asciiTheme="minorHAnsi" w:eastAsia="Calibri" w:hAnsiTheme="minorHAnsi" w:cs="Calibri"/>
          <w:color w:val="000000"/>
          <w:sz w:val="22"/>
          <w:szCs w:val="22"/>
          <w:lang w:eastAsia="zh-CN"/>
        </w:rPr>
        <w:t xml:space="preserve">, as also found in chapter 3. </w:t>
      </w:r>
    </w:p>
    <w:p w14:paraId="26B7CAE8" w14:textId="77777777" w:rsidR="0058312F" w:rsidRDefault="00436CD0" w:rsidP="00436CD0">
      <w:pPr>
        <w:spacing w:line="360" w:lineRule="auto"/>
        <w:ind w:firstLine="720"/>
        <w:rPr>
          <w:rFonts w:asciiTheme="minorHAnsi" w:eastAsia="Arial" w:hAnsiTheme="minorHAnsi" w:cs="Arial"/>
          <w:color w:val="000000"/>
          <w:sz w:val="22"/>
          <w:szCs w:val="22"/>
          <w:lang w:eastAsia="zh-CN"/>
        </w:rPr>
        <w:sectPr w:rsidR="0058312F" w:rsidSect="00DF337D">
          <w:pgSz w:w="11906" w:h="16838"/>
          <w:pgMar w:top="1418" w:right="1418" w:bottom="1418" w:left="2268" w:header="708" w:footer="708" w:gutter="0"/>
          <w:cols w:space="708"/>
          <w:docGrid w:linePitch="360"/>
        </w:sectPr>
      </w:pPr>
      <w:r w:rsidRPr="00C44D8C">
        <w:rPr>
          <w:rFonts w:asciiTheme="minorHAnsi" w:eastAsia="Calibri" w:hAnsiTheme="minorHAnsi" w:cs="Calibri"/>
          <w:color w:val="000000"/>
          <w:sz w:val="22"/>
          <w:szCs w:val="22"/>
          <w:lang w:eastAsia="zh-CN"/>
        </w:rPr>
        <w:t xml:space="preserve">The detection of higher levels of extracellular </w:t>
      </w:r>
      <w:r w:rsidRPr="00C44D8C">
        <w:rPr>
          <w:rFonts w:asciiTheme="minorHAnsi" w:eastAsia="Arial" w:hAnsiTheme="minorHAnsi" w:cs="Arial"/>
          <w:color w:val="000000"/>
          <w:sz w:val="22"/>
          <w:szCs w:val="22"/>
          <w:lang w:eastAsia="zh-CN"/>
        </w:rPr>
        <w:t xml:space="preserve">α-mannopyranosyl and α -glucopyranosyl sugar residues (1.9% surface coverage) was also observed for </w:t>
      </w:r>
      <w:r w:rsidRPr="00C44D8C">
        <w:rPr>
          <w:rFonts w:asciiTheme="minorHAnsi" w:eastAsia="Calibri" w:hAnsiTheme="minorHAnsi" w:cs="Calibri"/>
          <w:color w:val="000000"/>
          <w:sz w:val="22"/>
          <w:szCs w:val="22"/>
          <w:lang w:eastAsia="zh-CN"/>
        </w:rPr>
        <w:t xml:space="preserve">PVC-biofilm cells </w:t>
      </w:r>
      <w:r w:rsidRPr="00C44D8C">
        <w:rPr>
          <w:rFonts w:asciiTheme="minorHAnsi" w:eastAsia="Arial" w:hAnsiTheme="minorHAnsi" w:cs="Arial"/>
          <w:color w:val="000000"/>
          <w:sz w:val="22"/>
          <w:szCs w:val="22"/>
          <w:lang w:eastAsia="zh-CN"/>
        </w:rPr>
        <w:t xml:space="preserve">compared to lower levels in PETG-biofilm cells (0.2% surface coverage) after 96 h (p &lt; 0.05, </w:t>
      </w:r>
      <w:r w:rsidRPr="00C44D8C">
        <w:rPr>
          <w:rFonts w:asciiTheme="minorHAnsi" w:eastAsia="Calibri" w:hAnsiTheme="minorHAnsi" w:cs="Calibri"/>
          <w:color w:val="000000"/>
          <w:sz w:val="22"/>
          <w:szCs w:val="22"/>
          <w:lang w:eastAsia="zh-CN"/>
        </w:rPr>
        <w:t xml:space="preserve">two-tailed t-test) </w:t>
      </w:r>
      <w:r w:rsidRPr="00C44D8C">
        <w:rPr>
          <w:rFonts w:asciiTheme="minorHAnsi" w:eastAsia="Arial" w:hAnsiTheme="minorHAnsi" w:cs="Arial"/>
          <w:color w:val="000000"/>
          <w:sz w:val="22"/>
          <w:szCs w:val="22"/>
          <w:lang w:eastAsia="zh-CN"/>
        </w:rPr>
        <w:t xml:space="preserve">(Fig. 4.6b). </w:t>
      </w:r>
    </w:p>
    <w:p w14:paraId="2FD8A4C7" w14:textId="21FC4484" w:rsidR="00436CD0" w:rsidRPr="00BE5368" w:rsidRDefault="00436CD0" w:rsidP="00BE5368">
      <w:pPr>
        <w:spacing w:line="360" w:lineRule="auto"/>
        <w:rPr>
          <w:rFonts w:asciiTheme="minorHAnsi" w:eastAsia="Arial" w:hAnsiTheme="minorHAnsi" w:cs="Arial"/>
          <w:color w:val="000000"/>
          <w:sz w:val="22"/>
          <w:szCs w:val="22"/>
          <w:lang w:eastAsia="zh-CN"/>
        </w:rPr>
      </w:pPr>
      <w:r w:rsidRPr="00C44D8C">
        <w:rPr>
          <w:rFonts w:asciiTheme="minorHAnsi" w:eastAsia="Arial" w:hAnsiTheme="minorHAnsi" w:cs="Arial"/>
          <w:color w:val="000000"/>
          <w:sz w:val="22"/>
          <w:szCs w:val="22"/>
          <w:lang w:eastAsia="zh-CN"/>
        </w:rPr>
        <w:object w:dxaOrig="8689" w:dyaOrig="5035" w14:anchorId="535879CD">
          <v:shape id="_x0000_i1032" type="#_x0000_t75" style="width:426pt;height:246.5pt" o:ole="">
            <v:imagedata r:id="rId46" o:title=""/>
          </v:shape>
          <o:OLEObject Type="Embed" ProgID="Prism6.Document" ShapeID="_x0000_i1032" DrawAspect="Content" ObjectID="_1568973016" r:id="rId47"/>
        </w:object>
      </w:r>
      <w:r w:rsidRPr="00C44D8C">
        <w:rPr>
          <w:rFonts w:asciiTheme="minorHAnsi" w:eastAsia="Arial" w:hAnsiTheme="minorHAnsi" w:cs="Arial"/>
          <w:b/>
          <w:color w:val="000000"/>
          <w:sz w:val="22"/>
          <w:szCs w:val="22"/>
          <w:lang w:eastAsia="zh-CN"/>
        </w:rPr>
        <w:t>Fig. 4.6.</w:t>
      </w:r>
      <w:r w:rsidRPr="00C44D8C">
        <w:rPr>
          <w:rFonts w:asciiTheme="minorHAnsi" w:eastAsia="Arial" w:hAnsiTheme="minorHAnsi" w:cs="Arial"/>
          <w:color w:val="000000"/>
          <w:sz w:val="22"/>
          <w:szCs w:val="22"/>
          <w:lang w:eastAsia="zh-CN"/>
        </w:rPr>
        <w:t xml:space="preserve"> Quantification of cellular DNA and surface-associated α-mannopyranosyl and α -glucopyranosyl sugar residues by fluorescently staining 96 h cultures of </w:t>
      </w:r>
      <w:r w:rsidRPr="00C44D8C">
        <w:rPr>
          <w:rFonts w:asciiTheme="minorHAnsi" w:eastAsia="Arial" w:hAnsiTheme="minorHAnsi" w:cs="Arial"/>
          <w:i/>
          <w:color w:val="000000"/>
          <w:sz w:val="22"/>
          <w:szCs w:val="22"/>
          <w:lang w:eastAsia="zh-CN"/>
        </w:rPr>
        <w:t xml:space="preserve">M. barkeri </w:t>
      </w:r>
      <w:r w:rsidRPr="00C44D8C">
        <w:rPr>
          <w:rFonts w:asciiTheme="minorHAnsi" w:eastAsia="Arial" w:hAnsiTheme="minorHAnsi" w:cs="Arial"/>
          <w:color w:val="000000"/>
          <w:sz w:val="22"/>
          <w:szCs w:val="22"/>
          <w:lang w:eastAsia="zh-CN"/>
        </w:rPr>
        <w:t>with a) DAPI and b) ConA-Rho respectively, when grown as a biofilm on PVC and PETG. Error bars represent standard deviation of two independent experiments.</w:t>
      </w:r>
    </w:p>
    <w:p w14:paraId="25363019" w14:textId="77777777" w:rsidR="00436CD0" w:rsidRPr="00C44D8C" w:rsidRDefault="00436CD0" w:rsidP="00436CD0">
      <w:pPr>
        <w:spacing w:line="360" w:lineRule="auto"/>
        <w:rPr>
          <w:rFonts w:asciiTheme="minorHAnsi" w:eastAsia="Calibri" w:hAnsiTheme="minorHAnsi" w:cs="Calibri"/>
          <w:b/>
          <w:color w:val="000000"/>
          <w:sz w:val="22"/>
          <w:szCs w:val="22"/>
          <w:lang w:eastAsia="zh-CN"/>
        </w:rPr>
      </w:pPr>
    </w:p>
    <w:p w14:paraId="2AE005B3" w14:textId="7634F40F" w:rsidR="00436CD0" w:rsidRPr="00C44D8C" w:rsidRDefault="00436CD0" w:rsidP="002B69BD">
      <w:pPr>
        <w:pStyle w:val="Heading1"/>
        <w:rPr>
          <w:lang w:eastAsia="zh-CN"/>
        </w:rPr>
      </w:pPr>
      <w:bookmarkStart w:id="124" w:name="_Toc462575335"/>
      <w:r w:rsidRPr="00C44D8C">
        <w:rPr>
          <w:lang w:eastAsia="zh-CN"/>
        </w:rPr>
        <w:t>4.4. Discussion</w:t>
      </w:r>
      <w:bookmarkEnd w:id="124"/>
    </w:p>
    <w:p w14:paraId="6F477CF7" w14:textId="1929BB0C" w:rsidR="00436CD0" w:rsidRPr="00C44D8C" w:rsidRDefault="002F35FC" w:rsidP="00436CD0">
      <w:pPr>
        <w:spacing w:line="360" w:lineRule="auto"/>
        <w:rPr>
          <w:rFonts w:asciiTheme="minorHAnsi" w:eastAsia="Calibri" w:hAnsiTheme="minorHAnsi" w:cs="Calibri"/>
          <w:color w:val="000000"/>
          <w:sz w:val="22"/>
          <w:szCs w:val="22"/>
          <w:lang w:eastAsia="zh-CN"/>
        </w:rPr>
      </w:pPr>
      <w:r>
        <w:rPr>
          <w:rFonts w:asciiTheme="minorHAnsi" w:eastAsia="Calibri" w:hAnsiTheme="minorHAnsi" w:cs="Calibri"/>
          <w:color w:val="000000"/>
          <w:sz w:val="22"/>
          <w:szCs w:val="22"/>
          <w:lang w:eastAsia="zh-CN"/>
        </w:rPr>
        <w:t>It is becoming clear that a</w:t>
      </w:r>
      <w:r w:rsidR="00436CD0" w:rsidRPr="00C44D8C">
        <w:rPr>
          <w:rFonts w:asciiTheme="minorHAnsi" w:eastAsia="Calibri" w:hAnsiTheme="minorHAnsi" w:cs="Calibri"/>
          <w:color w:val="000000"/>
          <w:sz w:val="22"/>
          <w:szCs w:val="22"/>
          <w:lang w:eastAsia="zh-CN"/>
        </w:rPr>
        <w:t xml:space="preserve">biotic surfaces </w:t>
      </w:r>
      <w:r>
        <w:rPr>
          <w:rFonts w:asciiTheme="minorHAnsi" w:eastAsia="Calibri" w:hAnsiTheme="minorHAnsi" w:cs="Calibri"/>
          <w:color w:val="000000"/>
          <w:sz w:val="22"/>
          <w:szCs w:val="22"/>
          <w:lang w:eastAsia="zh-CN"/>
        </w:rPr>
        <w:t>are important</w:t>
      </w:r>
      <w:r w:rsidR="00436CD0" w:rsidRPr="00C44D8C">
        <w:rPr>
          <w:rFonts w:asciiTheme="minorHAnsi" w:eastAsia="Calibri" w:hAnsiTheme="minorHAnsi" w:cs="Calibri"/>
          <w:color w:val="000000"/>
          <w:sz w:val="22"/>
          <w:szCs w:val="22"/>
          <w:lang w:eastAsia="zh-CN"/>
        </w:rPr>
        <w:t xml:space="preserve"> environmental </w:t>
      </w:r>
      <w:r>
        <w:rPr>
          <w:rFonts w:asciiTheme="minorHAnsi" w:eastAsia="Calibri" w:hAnsiTheme="minorHAnsi" w:cs="Calibri"/>
          <w:color w:val="000000"/>
          <w:sz w:val="22"/>
          <w:szCs w:val="22"/>
          <w:lang w:eastAsia="zh-CN"/>
        </w:rPr>
        <w:t>factors that can promote</w:t>
      </w:r>
      <w:r w:rsidR="00436CD0" w:rsidRPr="00C44D8C">
        <w:rPr>
          <w:rFonts w:asciiTheme="minorHAnsi" w:eastAsia="Calibri" w:hAnsiTheme="minorHAnsi" w:cs="Calibri"/>
          <w:color w:val="000000"/>
          <w:sz w:val="22"/>
          <w:szCs w:val="22"/>
          <w:lang w:eastAsia="zh-CN"/>
        </w:rPr>
        <w:t xml:space="preserve"> differential patterns of adhesion by</w:t>
      </w:r>
      <w:r w:rsidR="00436CD0" w:rsidRPr="00C44D8C">
        <w:rPr>
          <w:rFonts w:asciiTheme="minorHAnsi" w:eastAsia="Arial" w:hAnsiTheme="minorHAnsi" w:cs="Minion-Regular"/>
          <w:color w:val="000000"/>
          <w:sz w:val="22"/>
          <w:szCs w:val="22"/>
          <w:lang w:eastAsia="zh-CN"/>
        </w:rPr>
        <w:t xml:space="preserve"> acting as indicators of favourable conditions for biofilm growth and development </w:t>
      </w:r>
      <w:r w:rsidR="00C43328">
        <w:rPr>
          <w:rFonts w:asciiTheme="minorHAnsi" w:eastAsia="Arial" w:hAnsiTheme="minorHAnsi" w:cs="Minion-Regular"/>
          <w:color w:val="000000"/>
          <w:sz w:val="22"/>
          <w:szCs w:val="22"/>
          <w:lang w:eastAsia="zh-CN"/>
        </w:rPr>
        <w:fldChar w:fldCharType="begin" w:fldLock="1"/>
      </w:r>
      <w:r w:rsidR="00C43328">
        <w:rPr>
          <w:rFonts w:asciiTheme="minorHAnsi" w:eastAsia="Arial" w:hAnsiTheme="minorHAnsi" w:cs="Minion-Regular"/>
          <w:color w:val="000000"/>
          <w:sz w:val="22"/>
          <w:szCs w:val="22"/>
          <w:lang w:eastAsia="zh-CN"/>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"mendeley" : { "formattedCitation" : "[22]", "plainTextFormattedCitation" : "[22]", "previouslyFormattedCitation" : "[22]" }, "properties" : { "noteIndex" : 0 }, "schema" : "https://github.com/citation-style-language/schema/raw/master/csl-citation.json" }</w:instrText>
      </w:r>
      <w:r w:rsidR="00C43328">
        <w:rPr>
          <w:rFonts w:asciiTheme="minorHAnsi" w:eastAsia="Arial" w:hAnsiTheme="minorHAnsi" w:cs="Minion-Regular"/>
          <w:color w:val="000000"/>
          <w:sz w:val="22"/>
          <w:szCs w:val="22"/>
          <w:lang w:eastAsia="zh-CN"/>
        </w:rPr>
        <w:fldChar w:fldCharType="separate"/>
      </w:r>
      <w:r w:rsidR="00C43328" w:rsidRPr="00C43328">
        <w:rPr>
          <w:rFonts w:asciiTheme="minorHAnsi" w:eastAsia="Arial" w:hAnsiTheme="minorHAnsi" w:cs="Minion-Regular"/>
          <w:noProof/>
          <w:color w:val="000000"/>
          <w:sz w:val="22"/>
          <w:szCs w:val="22"/>
          <w:lang w:eastAsia="zh-CN"/>
        </w:rPr>
        <w:t>[22]</w:t>
      </w:r>
      <w:r w:rsidR="00C43328">
        <w:rPr>
          <w:rFonts w:asciiTheme="minorHAnsi" w:eastAsia="Arial" w:hAnsiTheme="minorHAnsi" w:cs="Minion-Regular"/>
          <w:color w:val="000000"/>
          <w:sz w:val="22"/>
          <w:szCs w:val="22"/>
          <w:lang w:eastAsia="zh-CN"/>
        </w:rPr>
        <w:fldChar w:fldCharType="end"/>
      </w:r>
      <w:r w:rsidR="00436CD0" w:rsidRPr="00C44D8C">
        <w:rPr>
          <w:rFonts w:asciiTheme="minorHAnsi" w:eastAsia="Arial" w:hAnsiTheme="minorHAnsi" w:cs="Minion-Regular"/>
          <w:color w:val="000000"/>
          <w:sz w:val="22"/>
          <w:szCs w:val="22"/>
          <w:lang w:eastAsia="zh-CN"/>
        </w:rPr>
        <w:t>. Therefore, abiotic surfaces can signal for cellular changes to mediate the spatial reorganisation of the cell surface to allow microbial cells to irreversibly attach to an abiotic surface</w:t>
      </w:r>
      <w:r w:rsidR="00C43328">
        <w:rPr>
          <w:rFonts w:asciiTheme="minorHAnsi" w:eastAsia="Arial" w:hAnsiTheme="minorHAnsi" w:cs="Minion-Regular"/>
          <w:color w:val="000000"/>
          <w:sz w:val="22"/>
          <w:szCs w:val="22"/>
          <w:lang w:eastAsia="zh-CN"/>
        </w:rPr>
        <w:t xml:space="preserve"> </w:t>
      </w:r>
      <w:r w:rsidR="00C43328">
        <w:rPr>
          <w:rFonts w:asciiTheme="minorHAnsi" w:eastAsia="Arial" w:hAnsiTheme="minorHAnsi" w:cs="Minion-Regular"/>
          <w:color w:val="000000"/>
          <w:sz w:val="22"/>
          <w:szCs w:val="22"/>
          <w:lang w:eastAsia="zh-CN"/>
        </w:rPr>
        <w:fldChar w:fldCharType="begin" w:fldLock="1"/>
      </w:r>
      <w:r w:rsidR="007E3308">
        <w:rPr>
          <w:rFonts w:asciiTheme="minorHAnsi" w:eastAsia="Arial" w:hAnsiTheme="minorHAnsi" w:cs="Minion-Regular"/>
          <w:color w:val="000000"/>
          <w:sz w:val="22"/>
          <w:szCs w:val="22"/>
          <w:lang w:eastAsia="zh-CN"/>
        </w:rPr>
        <w:instrText>ADDIN CSL_CITATION { "citationItems" : [ { "id" : "ITEM-1", "itemData" : { "author" : [ { "dropping-particle" : "", "family" : "Kostakioti", "given" : "Maria", "non-dropping-particle" : "", "parse-names" : false, "suffix" : "" }, { "dropping-particle" : "", "family" : "Hadjifrangiskou", "given" : "Maria", "non-dropping-particle" : "", "parse-names" : false, "suffix" : "" }, { "dropping-particle" : "", "family" : "Hultgren", "given" : "Scott J", "non-dropping-particle" : "", "parse-names" : false, "suffix" : "" } ], "container-title" : "Cold Spring Harbor Perspectives in Medicine", "id" : "ITEM-1", "issued" : { "date-parts" : [ [ "2013" ] ] }, "page" : "1-23", "title" : "Bacterial biofilms: Development, Dispersal, and Therapeutic Strategies in the Dawn of the Postantibiotic Era", "type" : "article-journal", "volume" : "3" }, "uris" : [ "http://www.mendeley.com/documents/?uuid=841b714f-e0d9-4dc5-b5b6-e22b08302cb5" ] }, { "id" : "ITEM-2", "itemData" : { "DOI" : "10.1128/JB.00003-12", "author" : [ { "dropping-particle" : "", "family" : "Petrova", "given" : "Olga E", "non-dropping-particle" : "", "parse-names" : false, "suffix" : "" }, { "dropping-particle" : "", "family" : "Sauer", "given" : "Karin", "non-dropping-particle" : "", "parse-names" : false, "suffix" : "" } ], "container-title" : "Journal of bacteriology", "id" : "ITEM-2", "issued" : { "date-parts" : [ [ "2012" ] ] }, "page" : "2413-2425", "title" : "Sticky Situations : Key Components That Control Bacterial Surface Attachment", "type" : "article-journal", "volume" : "194" }, "uris" : [ "http://www.mendeley.com/documents/?uuid=357dd9db-802f-4459-aad1-d4649fa0d398" ] } ], "mendeley" : { "formattedCitation" : "[192,193]", "plainTextFormattedCitation" : "[192,193]", "previouslyFormattedCitation" : "[192,193]" }, "properties" : { "noteIndex" : 0 }, "schema" : "https://github.com/citation-style-language/schema/raw/master/csl-citation.json" }</w:instrText>
      </w:r>
      <w:r w:rsidR="00C43328">
        <w:rPr>
          <w:rFonts w:asciiTheme="minorHAnsi" w:eastAsia="Arial" w:hAnsiTheme="minorHAnsi" w:cs="Minion-Regular"/>
          <w:color w:val="000000"/>
          <w:sz w:val="22"/>
          <w:szCs w:val="22"/>
          <w:lang w:eastAsia="zh-CN"/>
        </w:rPr>
        <w:fldChar w:fldCharType="separate"/>
      </w:r>
      <w:r w:rsidR="007E3308" w:rsidRPr="007E3308">
        <w:rPr>
          <w:rFonts w:asciiTheme="minorHAnsi" w:eastAsia="Arial" w:hAnsiTheme="minorHAnsi" w:cs="Minion-Regular"/>
          <w:noProof/>
          <w:color w:val="000000"/>
          <w:sz w:val="22"/>
          <w:szCs w:val="22"/>
          <w:lang w:eastAsia="zh-CN"/>
        </w:rPr>
        <w:t>[192,193]</w:t>
      </w:r>
      <w:r w:rsidR="00C43328">
        <w:rPr>
          <w:rFonts w:asciiTheme="minorHAnsi" w:eastAsia="Arial" w:hAnsiTheme="minorHAnsi" w:cs="Minion-Regular"/>
          <w:color w:val="000000"/>
          <w:sz w:val="22"/>
          <w:szCs w:val="22"/>
          <w:lang w:eastAsia="zh-CN"/>
        </w:rPr>
        <w:fldChar w:fldCharType="end"/>
      </w:r>
      <w:r w:rsidR="00436CD0" w:rsidRPr="00C44D8C">
        <w:rPr>
          <w:rFonts w:asciiTheme="minorHAnsi" w:eastAsia="Arial" w:hAnsiTheme="minorHAnsi" w:cs="Minion-Regular"/>
          <w:color w:val="000000"/>
          <w:sz w:val="22"/>
          <w:szCs w:val="22"/>
          <w:lang w:eastAsia="zh-CN"/>
        </w:rPr>
        <w:t>. In spite of this, l</w:t>
      </w:r>
      <w:r w:rsidR="00436CD0" w:rsidRPr="00C44D8C">
        <w:rPr>
          <w:rFonts w:asciiTheme="minorHAnsi" w:eastAsia="Calibri" w:hAnsiTheme="minorHAnsi" w:cs="Calibri"/>
          <w:color w:val="000000"/>
          <w:sz w:val="22"/>
          <w:szCs w:val="22"/>
          <w:lang w:eastAsia="zh-CN"/>
        </w:rPr>
        <w:t xml:space="preserve">ittle work has been done to elucidate whether cell surface modifications are involved in the irreversible adhesion of </w:t>
      </w:r>
      <w:r w:rsidR="00436CD0" w:rsidRPr="00C44D8C">
        <w:rPr>
          <w:rFonts w:asciiTheme="minorHAnsi" w:eastAsia="Calibri" w:hAnsiTheme="minorHAnsi" w:cs="Calibri"/>
          <w:i/>
          <w:iCs/>
          <w:color w:val="000000"/>
          <w:sz w:val="22"/>
          <w:szCs w:val="22"/>
          <w:lang w:eastAsia="zh-CN"/>
        </w:rPr>
        <w:t xml:space="preserve">M. barkeri </w:t>
      </w:r>
      <w:r w:rsidR="00436CD0" w:rsidRPr="00C44D8C">
        <w:rPr>
          <w:rFonts w:asciiTheme="minorHAnsi" w:eastAsia="Calibri" w:hAnsiTheme="minorHAnsi" w:cs="Calibri"/>
          <w:iCs/>
          <w:color w:val="000000"/>
          <w:sz w:val="22"/>
          <w:szCs w:val="22"/>
          <w:lang w:eastAsia="zh-CN"/>
        </w:rPr>
        <w:t>to abiotic surfaces</w:t>
      </w:r>
      <w:r w:rsidR="00436CD0" w:rsidRPr="00C44D8C">
        <w:rPr>
          <w:rFonts w:asciiTheme="minorHAnsi" w:eastAsia="Calibri" w:hAnsiTheme="minorHAnsi" w:cs="Calibri"/>
          <w:color w:val="000000"/>
          <w:sz w:val="22"/>
          <w:szCs w:val="22"/>
          <w:lang w:eastAsia="zh-CN"/>
        </w:rPr>
        <w:t>. This study aimed to shed light on this question to provide a framework in which to better understand biofilm formation in this methanogen.</w:t>
      </w:r>
    </w:p>
    <w:p w14:paraId="30B9E807" w14:textId="1DD70FF8" w:rsidR="000158EA" w:rsidRPr="00224A2D" w:rsidRDefault="00436CD0" w:rsidP="00436CD0">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A multifaceted approach using </w:t>
      </w:r>
      <w:r w:rsidRPr="00C44D8C">
        <w:rPr>
          <w:rFonts w:asciiTheme="minorHAnsi" w:eastAsia="Arial" w:hAnsiTheme="minorHAnsi" w:cs="Dutch801BT-Roman"/>
          <w:color w:val="000000"/>
          <w:sz w:val="22"/>
          <w:szCs w:val="22"/>
          <w:lang w:eastAsia="zh-CN"/>
        </w:rPr>
        <w:t xml:space="preserve">FTIR, XPS, and fluorescent microscopy analysis revealed significantly higher levels of polysaccharides on the cell surface of biofilm cells attached to PVC compared to biofilms attached to PETG (Figs. 4.3, 4.4, 4.6). FTIR and XPS analysis suggested that there were distinct changes in the chemical composition of the cell surface of biofilm cells as a response to the support material. </w:t>
      </w:r>
      <w:r w:rsidRPr="00C44D8C">
        <w:rPr>
          <w:rFonts w:asciiTheme="minorHAnsi" w:eastAsia="Calibri" w:hAnsiTheme="minorHAnsi" w:cs="Calibri"/>
          <w:color w:val="000000"/>
          <w:sz w:val="22"/>
          <w:szCs w:val="22"/>
          <w:highlight w:val="white"/>
          <w:lang w:eastAsia="zh-CN"/>
        </w:rPr>
        <w:t xml:space="preserve">FTIR spectral data showed that </w:t>
      </w:r>
      <w:r w:rsidR="00BE5368">
        <w:rPr>
          <w:rFonts w:asciiTheme="minorHAnsi" w:eastAsia="Calibri" w:hAnsiTheme="minorHAnsi" w:cs="Calibri"/>
          <w:color w:val="000000"/>
          <w:sz w:val="22"/>
          <w:szCs w:val="22"/>
          <w:highlight w:val="white"/>
          <w:lang w:eastAsia="zh-CN"/>
        </w:rPr>
        <w:t>surface</w:t>
      </w:r>
      <w:r w:rsidRPr="00C44D8C">
        <w:rPr>
          <w:rFonts w:asciiTheme="minorHAnsi" w:eastAsia="Calibri" w:hAnsiTheme="minorHAnsi" w:cs="Calibri"/>
          <w:color w:val="000000"/>
          <w:sz w:val="22"/>
          <w:szCs w:val="22"/>
          <w:highlight w:val="white"/>
          <w:lang w:eastAsia="zh-CN"/>
        </w:rPr>
        <w:t xml:space="preserve"> polysaccharides may have played a key role in the establishment of biofilms of </w:t>
      </w:r>
      <w:r w:rsidRPr="00C44D8C">
        <w:rPr>
          <w:rFonts w:asciiTheme="minorHAnsi" w:eastAsia="Calibri" w:hAnsiTheme="minorHAnsi" w:cs="Calibri"/>
          <w:i/>
          <w:iCs/>
          <w:color w:val="000000"/>
          <w:sz w:val="22"/>
          <w:szCs w:val="22"/>
          <w:highlight w:val="white"/>
          <w:lang w:eastAsia="zh-CN"/>
        </w:rPr>
        <w:t xml:space="preserve">M. barkeri </w:t>
      </w:r>
      <w:r w:rsidRPr="00C44D8C">
        <w:rPr>
          <w:rFonts w:asciiTheme="minorHAnsi" w:eastAsia="Calibri" w:hAnsiTheme="minorHAnsi" w:cs="Calibri"/>
          <w:color w:val="000000"/>
          <w:sz w:val="22"/>
          <w:szCs w:val="22"/>
          <w:highlight w:val="white"/>
          <w:lang w:eastAsia="zh-CN"/>
        </w:rPr>
        <w:t xml:space="preserve">on PVC after 96 h, producing a surface profile that was significantly different to </w:t>
      </w:r>
      <w:r w:rsidRPr="00C44D8C">
        <w:rPr>
          <w:rFonts w:asciiTheme="minorHAnsi" w:eastAsia="Calibri" w:hAnsiTheme="minorHAnsi" w:cs="Calibri"/>
          <w:color w:val="000000"/>
          <w:sz w:val="22"/>
          <w:szCs w:val="22"/>
          <w:highlight w:val="white"/>
          <w:lang w:eastAsia="zh-CN"/>
        </w:rPr>
        <w:lastRenderedPageBreak/>
        <w:t>that of PET</w:t>
      </w:r>
      <w:r w:rsidR="00BE5368">
        <w:rPr>
          <w:rFonts w:asciiTheme="minorHAnsi" w:eastAsia="Calibri" w:hAnsiTheme="minorHAnsi" w:cs="Calibri"/>
          <w:color w:val="000000"/>
          <w:sz w:val="22"/>
          <w:szCs w:val="22"/>
          <w:highlight w:val="white"/>
          <w:lang w:eastAsia="zh-CN"/>
        </w:rPr>
        <w:t xml:space="preserve">G-biofilm cells (Fig. 4.3). </w:t>
      </w:r>
      <w:r w:rsidR="002320D8">
        <w:rPr>
          <w:rFonts w:asciiTheme="minorHAnsi" w:eastAsia="Calibri" w:hAnsiTheme="minorHAnsi" w:cs="Calibri"/>
          <w:color w:val="000000"/>
          <w:sz w:val="22"/>
          <w:szCs w:val="22"/>
          <w:highlight w:val="white"/>
          <w:lang w:eastAsia="zh-CN"/>
        </w:rPr>
        <w:t>This spectral region</w:t>
      </w:r>
      <w:r w:rsidR="00F6573E">
        <w:rPr>
          <w:rFonts w:asciiTheme="minorHAnsi" w:eastAsia="Calibri" w:hAnsiTheme="minorHAnsi" w:cs="Calibri"/>
          <w:color w:val="000000"/>
          <w:sz w:val="22"/>
          <w:szCs w:val="22"/>
          <w:highlight w:val="white"/>
          <w:lang w:eastAsia="zh-CN"/>
        </w:rPr>
        <w:t xml:space="preserve"> </w:t>
      </w:r>
      <w:r w:rsidR="00F6573E" w:rsidRPr="00C44D8C">
        <w:rPr>
          <w:rFonts w:asciiTheme="minorHAnsi" w:eastAsia="Calibri" w:hAnsiTheme="minorHAnsi" w:cs="Calibri"/>
          <w:color w:val="000000"/>
          <w:sz w:val="22"/>
          <w:szCs w:val="22"/>
          <w:lang w:eastAsia="zh-CN"/>
        </w:rPr>
        <w:t>(1200-900cm</w:t>
      </w:r>
      <w:r w:rsidR="00F6573E" w:rsidRPr="00C44D8C">
        <w:rPr>
          <w:rFonts w:asciiTheme="minorHAnsi" w:eastAsia="Calibri" w:hAnsiTheme="minorHAnsi" w:cs="Calibri"/>
          <w:color w:val="000000"/>
          <w:sz w:val="22"/>
          <w:szCs w:val="22"/>
          <w:vertAlign w:val="superscript"/>
          <w:lang w:eastAsia="zh-CN"/>
        </w:rPr>
        <w:t>-1</w:t>
      </w:r>
      <w:r w:rsidR="00F6573E">
        <w:rPr>
          <w:rFonts w:asciiTheme="minorHAnsi" w:eastAsia="Calibri" w:hAnsiTheme="minorHAnsi" w:cs="Calibri"/>
          <w:color w:val="000000"/>
          <w:sz w:val="22"/>
          <w:szCs w:val="22"/>
          <w:lang w:eastAsia="zh-CN"/>
        </w:rPr>
        <w:t xml:space="preserve">) also overlaps with the spectral region of nucleic acids </w:t>
      </w:r>
      <w:r w:rsidR="00F6573E">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"Naumann", "given" : "Dieter", "non-dropping-particle" : "", "parse-names" : false, "suffix" : "" } ], "container-title" : "Encyclopedia of Analytical Chemistry", "id" : "ITEM-1", "issued" : { "date-parts" : [ [ "2006" ] ] }, "page" : "102-131", "title" : "Infrared Spectroscopy in Microbiology", "type" : "chapter" }, "uris" : [ "http://www.mendeley.com/documents/?uuid=0f4ac524-2e96-4c53-8a59-07b172cb18de" ] } ], "mendeley" : { "formattedCitation" : "[103]", "plainTextFormattedCitation" : "[103]", "previouslyFormattedCitation" : "[103]" }, "properties" : { "noteIndex" : 0 }, "schema" : "https://github.com/citation-style-language/schema/raw/master/csl-citation.json" }</w:instrText>
      </w:r>
      <w:r w:rsidR="00F6573E">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[103]</w:t>
      </w:r>
      <w:r w:rsidR="00F6573E">
        <w:rPr>
          <w:rFonts w:asciiTheme="minorHAnsi" w:eastAsia="Calibri" w:hAnsiTheme="minorHAnsi" w:cs="Calibri"/>
          <w:color w:val="000000"/>
          <w:sz w:val="22"/>
          <w:szCs w:val="22"/>
          <w:lang w:eastAsia="zh-CN"/>
        </w:rPr>
        <w:fldChar w:fldCharType="end"/>
      </w:r>
      <w:r w:rsidR="00F6573E">
        <w:rPr>
          <w:rFonts w:asciiTheme="minorHAnsi" w:eastAsia="Calibri" w:hAnsiTheme="minorHAnsi" w:cs="Calibri"/>
          <w:color w:val="000000"/>
          <w:sz w:val="22"/>
          <w:szCs w:val="22"/>
          <w:lang w:eastAsia="zh-CN"/>
        </w:rPr>
        <w:t xml:space="preserve"> and it is possible that </w:t>
      </w:r>
      <w:r w:rsidR="000158EA">
        <w:rPr>
          <w:rFonts w:asciiTheme="minorHAnsi" w:eastAsia="Calibri" w:hAnsiTheme="minorHAnsi" w:cs="Calibri"/>
          <w:color w:val="000000"/>
          <w:sz w:val="22"/>
          <w:szCs w:val="22"/>
          <w:lang w:eastAsia="zh-CN"/>
        </w:rPr>
        <w:t>e</w:t>
      </w:r>
      <w:r w:rsidR="00F6573E">
        <w:rPr>
          <w:rFonts w:asciiTheme="minorHAnsi" w:eastAsia="Calibri" w:hAnsiTheme="minorHAnsi" w:cs="Calibri"/>
          <w:color w:val="000000"/>
          <w:sz w:val="22"/>
          <w:szCs w:val="22"/>
          <w:lang w:eastAsia="zh-CN"/>
        </w:rPr>
        <w:t xml:space="preserve">DNA plays a role in the development of biofilm formation in </w:t>
      </w:r>
      <w:r w:rsidR="00F6573E">
        <w:rPr>
          <w:rFonts w:asciiTheme="minorHAnsi" w:eastAsia="Calibri" w:hAnsiTheme="minorHAnsi" w:cs="Calibri"/>
          <w:i/>
          <w:color w:val="000000"/>
          <w:sz w:val="22"/>
          <w:szCs w:val="22"/>
          <w:lang w:eastAsia="zh-CN"/>
        </w:rPr>
        <w:t xml:space="preserve">M. barkeri. </w:t>
      </w:r>
      <w:r w:rsidR="00ED39C2">
        <w:rPr>
          <w:rFonts w:asciiTheme="minorHAnsi" w:eastAsia="Calibri" w:hAnsiTheme="minorHAnsi" w:cs="Calibri"/>
          <w:color w:val="000000"/>
          <w:sz w:val="22"/>
          <w:szCs w:val="22"/>
          <w:lang w:eastAsia="zh-CN"/>
        </w:rPr>
        <w:t xml:space="preserve">Past studies on bacterial biofilm formation have shown that </w:t>
      </w:r>
      <w:r w:rsidR="000158EA">
        <w:rPr>
          <w:rFonts w:asciiTheme="minorHAnsi" w:eastAsia="Calibri" w:hAnsiTheme="minorHAnsi" w:cs="Calibri"/>
          <w:color w:val="000000"/>
          <w:sz w:val="22"/>
          <w:szCs w:val="22"/>
          <w:lang w:eastAsia="zh-CN"/>
        </w:rPr>
        <w:t xml:space="preserve">eDNA is </w:t>
      </w:r>
      <w:r w:rsidR="00ED39C2">
        <w:rPr>
          <w:rFonts w:asciiTheme="minorHAnsi" w:eastAsia="Calibri" w:hAnsiTheme="minorHAnsi" w:cs="Calibri"/>
          <w:color w:val="000000"/>
          <w:sz w:val="22"/>
          <w:szCs w:val="22"/>
          <w:lang w:eastAsia="zh-CN"/>
        </w:rPr>
        <w:t xml:space="preserve">a significant factor for </w:t>
      </w:r>
      <w:r w:rsidR="000158EA">
        <w:rPr>
          <w:rFonts w:asciiTheme="minorHAnsi" w:eastAsia="Calibri" w:hAnsiTheme="minorHAnsi" w:cs="Calibri"/>
          <w:color w:val="000000"/>
          <w:sz w:val="22"/>
          <w:szCs w:val="22"/>
          <w:lang w:eastAsia="zh-CN"/>
        </w:rPr>
        <w:t>microbial att</w:t>
      </w:r>
      <w:r w:rsidR="000C212F">
        <w:rPr>
          <w:rFonts w:asciiTheme="minorHAnsi" w:eastAsia="Calibri" w:hAnsiTheme="minorHAnsi" w:cs="Calibri"/>
          <w:color w:val="000000"/>
          <w:sz w:val="22"/>
          <w:szCs w:val="22"/>
          <w:lang w:eastAsia="zh-CN"/>
        </w:rPr>
        <w:t xml:space="preserve">achment and biofilm formation </w:t>
      </w:r>
      <w:r w:rsidR="000C212F">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"10.1128/JB.00003-12", "author" : [ { "dropping-particle" : "", "family" : "Petrova", "given" : "Olga E", "non-dropping-particle" : "", "parse-names" : false, "suffix" : "" }, { "dropping-particle" : "", "family" : "Sauer", "given" : "Karin", "non-dropping-particle" : "", "parse-names" : false, "suffix" : "" } ], "container-title" : "Journal of bacteriology", "id" : "ITEM-1", "issued" : { "date-parts" : [ [ "2012" ] ] }, "page" : "2413-2425", "title" : "Sticky Situations : Key Components That Control Bacterial Surface Attachment", "type" : "article-journal", "volume" : "194" }, "uris" : [ "http://www.mendeley.com/documents/?uuid=357dd9db-802f-4459-aad1-d4649fa0d398" ] } ], "mendeley" : { "formattedCitation" : "[193]", "plainTextFormattedCitation" : "[193]", "previouslyFormattedCitation" : "[193]" }, "properties" : { "noteIndex" : 0 }, "schema" : "https://github.com/citation-style-language/schema/raw/master/csl-citation.json" }</w:instrText>
      </w:r>
      <w:r w:rsidR="000C212F">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[193]</w:t>
      </w:r>
      <w:r w:rsidR="000C212F">
        <w:rPr>
          <w:rFonts w:asciiTheme="minorHAnsi" w:eastAsia="Calibri" w:hAnsiTheme="minorHAnsi" w:cs="Calibri"/>
          <w:color w:val="000000"/>
          <w:sz w:val="22"/>
          <w:szCs w:val="22"/>
          <w:lang w:eastAsia="zh-CN"/>
        </w:rPr>
        <w:fldChar w:fldCharType="end"/>
      </w:r>
      <w:r w:rsidR="00ED39C2">
        <w:rPr>
          <w:rFonts w:asciiTheme="minorHAnsi" w:eastAsia="Calibri" w:hAnsiTheme="minorHAnsi" w:cs="Calibri"/>
          <w:color w:val="000000"/>
          <w:sz w:val="22"/>
          <w:szCs w:val="22"/>
          <w:lang w:eastAsia="zh-CN"/>
        </w:rPr>
        <w:t xml:space="preserve">. It has also </w:t>
      </w:r>
      <w:r w:rsidR="000C212F">
        <w:rPr>
          <w:rFonts w:asciiTheme="minorHAnsi" w:eastAsia="Calibri" w:hAnsiTheme="minorHAnsi" w:cs="Calibri"/>
          <w:color w:val="000000"/>
          <w:sz w:val="22"/>
          <w:szCs w:val="22"/>
          <w:lang w:eastAsia="zh-CN"/>
        </w:rPr>
        <w:t>been detected in the</w:t>
      </w:r>
      <w:r w:rsidR="00ED39C2">
        <w:rPr>
          <w:rFonts w:asciiTheme="minorHAnsi" w:eastAsia="Calibri" w:hAnsiTheme="minorHAnsi" w:cs="Calibri"/>
          <w:color w:val="000000"/>
          <w:sz w:val="22"/>
          <w:szCs w:val="22"/>
          <w:lang w:eastAsia="zh-CN"/>
        </w:rPr>
        <w:t xml:space="preserve"> EPS from</w:t>
      </w:r>
      <w:r w:rsidR="000C212F" w:rsidRPr="000C212F">
        <w:rPr>
          <w:rFonts w:asciiTheme="minorHAnsi" w:eastAsia="Calibri" w:hAnsiTheme="minorHAnsi" w:cs="Calibri"/>
          <w:color w:val="000000"/>
          <w:sz w:val="22"/>
          <w:szCs w:val="22"/>
          <w:lang w:eastAsia="zh-CN"/>
        </w:rPr>
        <w:t xml:space="preserve"> </w:t>
      </w:r>
      <w:r w:rsidR="000C212F" w:rsidRPr="00224A2D">
        <w:rPr>
          <w:rFonts w:asciiTheme="minorHAnsi" w:eastAsia="Calibri" w:hAnsiTheme="minorHAnsi" w:cs="Calibri"/>
          <w:i/>
          <w:color w:val="000000"/>
          <w:sz w:val="22"/>
          <w:szCs w:val="22"/>
          <w:lang w:eastAsia="zh-CN"/>
        </w:rPr>
        <w:t>Sulfolobus</w:t>
      </w:r>
      <w:r w:rsidR="000C212F" w:rsidRPr="000C212F">
        <w:rPr>
          <w:rFonts w:asciiTheme="minorHAnsi" w:eastAsia="Calibri" w:hAnsiTheme="minorHAnsi" w:cs="Calibri"/>
          <w:color w:val="000000"/>
          <w:sz w:val="22"/>
          <w:szCs w:val="22"/>
          <w:lang w:eastAsia="zh-CN"/>
        </w:rPr>
        <w:t xml:space="preserve"> species and haloarchaeal strains</w:t>
      </w:r>
      <w:r w:rsidR="000C212F">
        <w:rPr>
          <w:rFonts w:asciiTheme="minorHAnsi" w:eastAsia="Calibri" w:hAnsiTheme="minorHAnsi" w:cs="Calibri"/>
          <w:color w:val="000000"/>
          <w:sz w:val="22"/>
          <w:szCs w:val="22"/>
          <w:lang w:eastAsia="zh-CN"/>
        </w:rPr>
        <w:t xml:space="preserve"> during the initial stages of biofilm formation </w:t>
      </w:r>
      <w:r w:rsidR="000C212F">
        <w:rPr>
          <w:rFonts w:asciiTheme="minorHAnsi" w:eastAsia="Calibri" w:hAnsiTheme="minorHAnsi" w:cs="Calibri"/>
          <w:color w:val="000000"/>
          <w:sz w:val="22"/>
          <w:szCs w:val="22"/>
          <w:lang w:eastAsia="zh-CN"/>
        </w:rPr>
        <w:fldChar w:fldCharType="begin" w:fldLock="1"/>
      </w:r>
      <w:r w:rsidR="000C212F">
        <w:rPr>
          <w:rFonts w:asciiTheme="minorHAnsi" w:eastAsia="Calibri" w:hAnsiTheme="minorHAnsi" w:cs="Calibri"/>
          <w:color w:val="000000"/>
          <w:sz w:val="22"/>
          <w:szCs w:val="22"/>
          <w:lang w:eastAsia="zh-CN"/>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"mendeley" : { "formattedCitation" : "[20]", "plainTextFormattedCitation" : "[20]", "previouslyFormattedCitation" : "[20]" }, "properties" : { "noteIndex" : 0 }, "schema" : "https://github.com/citation-style-language/schema/raw/master/csl-citation.json" }</w:instrText>
      </w:r>
      <w:r w:rsidR="000C212F">
        <w:rPr>
          <w:rFonts w:asciiTheme="minorHAnsi" w:eastAsia="Calibri" w:hAnsiTheme="minorHAnsi" w:cs="Calibri"/>
          <w:color w:val="000000"/>
          <w:sz w:val="22"/>
          <w:szCs w:val="22"/>
          <w:lang w:eastAsia="zh-CN"/>
        </w:rPr>
        <w:fldChar w:fldCharType="separate"/>
      </w:r>
      <w:r w:rsidR="000C212F" w:rsidRPr="000C212F">
        <w:rPr>
          <w:rFonts w:asciiTheme="minorHAnsi" w:eastAsia="Calibri" w:hAnsiTheme="minorHAnsi" w:cs="Calibri"/>
          <w:noProof/>
          <w:color w:val="000000"/>
          <w:sz w:val="22"/>
          <w:szCs w:val="22"/>
          <w:lang w:eastAsia="zh-CN"/>
        </w:rPr>
        <w:t>[20]</w:t>
      </w:r>
      <w:r w:rsidR="000C212F">
        <w:rPr>
          <w:rFonts w:asciiTheme="minorHAnsi" w:eastAsia="Calibri" w:hAnsiTheme="minorHAnsi" w:cs="Calibri"/>
          <w:color w:val="000000"/>
          <w:sz w:val="22"/>
          <w:szCs w:val="22"/>
          <w:lang w:eastAsia="zh-CN"/>
        </w:rPr>
        <w:fldChar w:fldCharType="end"/>
      </w:r>
      <w:r w:rsidR="000C212F">
        <w:rPr>
          <w:rFonts w:asciiTheme="minorHAnsi" w:eastAsia="Calibri" w:hAnsiTheme="minorHAnsi" w:cs="Calibri"/>
          <w:color w:val="000000"/>
          <w:sz w:val="22"/>
          <w:szCs w:val="22"/>
          <w:lang w:eastAsia="zh-CN"/>
        </w:rPr>
        <w:t xml:space="preserve">. However, the mechanisms underlying the role of eDNA in archaeal biofilms is still not well understood </w:t>
      </w:r>
      <w:r w:rsidR="000C212F">
        <w:rPr>
          <w:rFonts w:asciiTheme="minorHAnsi" w:eastAsia="Calibri" w:hAnsiTheme="minorHAnsi" w:cs="Calibri"/>
          <w:color w:val="000000"/>
          <w:sz w:val="22"/>
          <w:szCs w:val="22"/>
          <w:lang w:eastAsia="zh-CN"/>
        </w:rPr>
        <w:fldChar w:fldCharType="begin" w:fldLock="1"/>
      </w:r>
      <w:r w:rsidR="000F1CC8">
        <w:rPr>
          <w:rFonts w:asciiTheme="minorHAnsi" w:eastAsia="Calibri" w:hAnsiTheme="minorHAnsi" w:cs="Calibri"/>
          <w:color w:val="000000"/>
          <w:sz w:val="22"/>
          <w:szCs w:val="22"/>
          <w:lang w:eastAsia="zh-CN"/>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"mendeley" : { "formattedCitation" : "[20]", "plainTextFormattedCitation" : "[20]", "previouslyFormattedCitation" : "[20]" }, "properties" : { "noteIndex" : 0 }, "schema" : "https://github.com/citation-style-language/schema/raw/master/csl-citation.json" }</w:instrText>
      </w:r>
      <w:r w:rsidR="000C212F">
        <w:rPr>
          <w:rFonts w:asciiTheme="minorHAnsi" w:eastAsia="Calibri" w:hAnsiTheme="minorHAnsi" w:cs="Calibri"/>
          <w:color w:val="000000"/>
          <w:sz w:val="22"/>
          <w:szCs w:val="22"/>
          <w:lang w:eastAsia="zh-CN"/>
        </w:rPr>
        <w:fldChar w:fldCharType="separate"/>
      </w:r>
      <w:r w:rsidR="000C212F" w:rsidRPr="000C212F">
        <w:rPr>
          <w:rFonts w:asciiTheme="minorHAnsi" w:eastAsia="Calibri" w:hAnsiTheme="minorHAnsi" w:cs="Calibri"/>
          <w:noProof/>
          <w:color w:val="000000"/>
          <w:sz w:val="22"/>
          <w:szCs w:val="22"/>
          <w:lang w:eastAsia="zh-CN"/>
        </w:rPr>
        <w:t>[20]</w:t>
      </w:r>
      <w:r w:rsidR="000C212F">
        <w:rPr>
          <w:rFonts w:asciiTheme="minorHAnsi" w:eastAsia="Calibri" w:hAnsiTheme="minorHAnsi" w:cs="Calibri"/>
          <w:color w:val="000000"/>
          <w:sz w:val="22"/>
          <w:szCs w:val="22"/>
          <w:lang w:eastAsia="zh-CN"/>
        </w:rPr>
        <w:fldChar w:fldCharType="end"/>
      </w:r>
      <w:r w:rsidR="000C212F">
        <w:rPr>
          <w:rFonts w:asciiTheme="minorHAnsi" w:eastAsia="Calibri" w:hAnsiTheme="minorHAnsi" w:cs="Calibri"/>
          <w:color w:val="000000"/>
          <w:sz w:val="22"/>
          <w:szCs w:val="22"/>
          <w:lang w:eastAsia="zh-CN"/>
        </w:rPr>
        <w:t xml:space="preserve">. </w:t>
      </w:r>
    </w:p>
    <w:p w14:paraId="369ED323" w14:textId="56C90725" w:rsidR="000158EA" w:rsidRDefault="00DD1FEA" w:rsidP="00436CD0">
      <w:pPr>
        <w:spacing w:line="360" w:lineRule="auto"/>
        <w:ind w:firstLine="720"/>
        <w:rPr>
          <w:rFonts w:asciiTheme="minorHAnsi" w:eastAsia="Arial" w:hAnsiTheme="minorHAnsi" w:cs="Arial"/>
          <w:color w:val="000000"/>
          <w:sz w:val="22"/>
          <w:szCs w:val="22"/>
          <w:lang w:eastAsia="zh-CN"/>
        </w:rPr>
      </w:pPr>
      <w:r>
        <w:rPr>
          <w:rFonts w:asciiTheme="minorHAnsi" w:eastAsia="Arial" w:hAnsiTheme="minorHAnsi" w:cs="Arial"/>
          <w:color w:val="000000"/>
          <w:sz w:val="22"/>
          <w:szCs w:val="22"/>
          <w:lang w:eastAsia="zh-CN"/>
        </w:rPr>
        <w:t>As such, t</w:t>
      </w:r>
      <w:r w:rsidR="00F6573E">
        <w:rPr>
          <w:rFonts w:asciiTheme="minorHAnsi" w:eastAsia="Arial" w:hAnsiTheme="minorHAnsi" w:cs="Arial"/>
          <w:color w:val="000000"/>
          <w:sz w:val="22"/>
          <w:szCs w:val="22"/>
          <w:lang w:eastAsia="zh-CN"/>
        </w:rPr>
        <w:t xml:space="preserve">he surface-sensitive methods used throughout this chapter were especially selected to focus on the production of exopolysaccharides from </w:t>
      </w:r>
      <w:r w:rsidR="00F6573E">
        <w:rPr>
          <w:rFonts w:asciiTheme="minorHAnsi" w:eastAsia="Arial" w:hAnsiTheme="minorHAnsi" w:cs="Arial"/>
          <w:i/>
          <w:color w:val="000000"/>
          <w:sz w:val="22"/>
          <w:szCs w:val="22"/>
          <w:lang w:eastAsia="zh-CN"/>
        </w:rPr>
        <w:t xml:space="preserve">M. barkeri </w:t>
      </w:r>
      <w:r w:rsidR="00F6573E">
        <w:rPr>
          <w:rFonts w:asciiTheme="minorHAnsi" w:eastAsia="Arial" w:hAnsiTheme="minorHAnsi" w:cs="Arial"/>
          <w:color w:val="000000"/>
          <w:sz w:val="22"/>
          <w:szCs w:val="22"/>
          <w:lang w:eastAsia="zh-CN"/>
        </w:rPr>
        <w:t xml:space="preserve">during biofilm formation owing to the key role of this surface component in cell-surface adhesion </w:t>
      </w:r>
      <w:r w:rsidR="00F6573E">
        <w:rPr>
          <w:rFonts w:asciiTheme="minorHAnsi" w:eastAsia="Arial" w:hAnsiTheme="minorHAnsi" w:cs="Arial"/>
          <w:color w:val="000000"/>
          <w:sz w:val="22"/>
          <w:szCs w:val="22"/>
          <w:lang w:eastAsia="zh-CN"/>
        </w:rPr>
        <w:fldChar w:fldCharType="begin" w:fldLock="1"/>
      </w:r>
      <w:r w:rsidR="00202E24">
        <w:rPr>
          <w:rFonts w:asciiTheme="minorHAnsi" w:eastAsia="Arial" w:hAnsiTheme="minorHAnsi" w:cs="Arial"/>
          <w:color w:val="000000"/>
          <w:sz w:val="22"/>
          <w:szCs w:val="22"/>
          <w:lang w:eastAsia="zh-CN"/>
        </w:rPr>
        <w:instrText>ADDIN CSL_CITATION { "citationItems" : [ { "id" : "ITEM-1", "itemData" : { "DOI" : "10.1016/j.biortech.2012.02.079", "ISSN" : "1873-2976", "PMID" : "22418081", "abstract" : "Anaerobic digestion is an important technology in the framework of renewable energy production. The anaerobic digestion system is susceptible to perturbations due to the sensitivity of the methanogens towards environmental factors. Currently, technology is evolving from conventional waste treatment, i.e. the removal of pollutants, to very intensive biogas production from concentrated wastes, in the framework of bio-energy production. In the latter configuration Methanosarcina species appear to be of crucial importance. Methanosarcina sp. are, compared to other methanogens, quite robust towards different impairments. They are reported to be tolerant to total ammonium concentrations up to 7000 mg L(-1), salt concentrations up to 18,000 mg Na(+)L(-1), a pH shock of 0.8-1.0 units and acetate concentrations up to 15,000 mg CODL(-1). The possibilities of Methanosarcina sp. as key organisms in specific types of anaerobic digestion systems are demonstrated in this review.", "author" : [ { "dropping-particle" : "", "family" : "Vrieze", "given" : "Jo", "non-dropping-particle" : "De", "parse-names" : false, "suffix" : "" }, { "dropping-particle" : "", "family" : "Hennebel", "given" : "Tom",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"ITEM-1", "issued" : { "date-parts" : [ [ "2012", "5" ] ] }, "page" : "1-9", "publisher" : "Elsevier Ltd", "title" : "Methanosarcina: the rediscovered methanogen for heavy duty biomethanation.", "type" : "article-journal", "volume" : "112" }, "uris" : [ "http://www.mendeley.com/documents/?uuid=42f9a69e-4c2c-4f9d-8dec-fd020dbd2997" ] } ], "mendeley" : { "formattedCitation" : "[19]", "plainTextFormattedCitation" : "[19]", "previouslyFormattedCitation" : "[19]" }, "properties" : { "noteIndex" : 0 }, "schema" : "https://github.com/citation-style-language/schema/raw/master/csl-citation.json" }</w:instrText>
      </w:r>
      <w:r w:rsidR="00F6573E">
        <w:rPr>
          <w:rFonts w:asciiTheme="minorHAnsi" w:eastAsia="Arial" w:hAnsiTheme="minorHAnsi" w:cs="Arial"/>
          <w:color w:val="000000"/>
          <w:sz w:val="22"/>
          <w:szCs w:val="22"/>
          <w:lang w:eastAsia="zh-CN"/>
        </w:rPr>
        <w:fldChar w:fldCharType="separate"/>
      </w:r>
      <w:r w:rsidR="00F6573E" w:rsidRPr="00F6573E">
        <w:rPr>
          <w:rFonts w:asciiTheme="minorHAnsi" w:eastAsia="Arial" w:hAnsiTheme="minorHAnsi" w:cs="Arial"/>
          <w:noProof/>
          <w:color w:val="000000"/>
          <w:sz w:val="22"/>
          <w:szCs w:val="22"/>
          <w:lang w:eastAsia="zh-CN"/>
        </w:rPr>
        <w:t>[19]</w:t>
      </w:r>
      <w:r w:rsidR="00F6573E">
        <w:rPr>
          <w:rFonts w:asciiTheme="minorHAnsi" w:eastAsia="Arial" w:hAnsiTheme="minorHAnsi" w:cs="Arial"/>
          <w:color w:val="000000"/>
          <w:sz w:val="22"/>
          <w:szCs w:val="22"/>
          <w:lang w:eastAsia="zh-CN"/>
        </w:rPr>
        <w:fldChar w:fldCharType="end"/>
      </w:r>
      <w:r w:rsidR="00F6573E">
        <w:rPr>
          <w:rFonts w:asciiTheme="minorHAnsi" w:eastAsia="Arial" w:hAnsiTheme="minorHAnsi" w:cs="Arial"/>
          <w:color w:val="000000"/>
          <w:sz w:val="22"/>
          <w:szCs w:val="22"/>
          <w:lang w:eastAsia="zh-CN"/>
        </w:rPr>
        <w:t xml:space="preserve">. </w:t>
      </w:r>
      <w:r>
        <w:rPr>
          <w:rFonts w:asciiTheme="minorHAnsi" w:eastAsia="Arial" w:hAnsiTheme="minorHAnsi" w:cs="Arial"/>
          <w:color w:val="000000"/>
          <w:sz w:val="22"/>
          <w:szCs w:val="22"/>
          <w:lang w:eastAsia="zh-CN"/>
        </w:rPr>
        <w:t>Therefore</w:t>
      </w:r>
      <w:r w:rsidR="00F6573E">
        <w:rPr>
          <w:rFonts w:asciiTheme="minorHAnsi" w:eastAsia="Arial" w:hAnsiTheme="minorHAnsi" w:cs="Arial"/>
          <w:color w:val="000000"/>
          <w:sz w:val="22"/>
          <w:szCs w:val="22"/>
          <w:lang w:eastAsia="zh-CN"/>
        </w:rPr>
        <w:t xml:space="preserve">, the role of polysaccharides was only considered in the examination of the cell surface during biofilm formation on PVC and PETG in this chapter. </w:t>
      </w:r>
    </w:p>
    <w:p w14:paraId="249200E0" w14:textId="0616B8BD" w:rsidR="00436CD0" w:rsidRPr="00C44D8C" w:rsidRDefault="00BE5368" w:rsidP="00436CD0">
      <w:pPr>
        <w:spacing w:line="360" w:lineRule="auto"/>
        <w:ind w:firstLine="720"/>
        <w:rPr>
          <w:rFonts w:asciiTheme="minorHAnsi" w:eastAsia="Calibri" w:hAnsiTheme="minorHAnsi" w:cs="Calibri"/>
          <w:color w:val="000000"/>
          <w:sz w:val="22"/>
          <w:szCs w:val="22"/>
          <w:highlight w:val="white"/>
          <w:lang w:eastAsia="zh-CN"/>
        </w:rPr>
      </w:pPr>
      <w:r>
        <w:rPr>
          <w:rFonts w:asciiTheme="minorHAnsi" w:eastAsia="Calibri" w:hAnsiTheme="minorHAnsi" w:cs="Calibri"/>
          <w:color w:val="000000"/>
          <w:sz w:val="22"/>
          <w:szCs w:val="22"/>
          <w:highlight w:val="white"/>
          <w:lang w:eastAsia="zh-CN"/>
        </w:rPr>
        <w:t xml:space="preserve">These findings were </w:t>
      </w:r>
      <w:r w:rsidR="00436CD0" w:rsidRPr="00C44D8C">
        <w:rPr>
          <w:rFonts w:asciiTheme="minorHAnsi" w:eastAsia="Calibri" w:hAnsiTheme="minorHAnsi" w:cs="Calibri"/>
          <w:color w:val="000000"/>
          <w:sz w:val="22"/>
          <w:szCs w:val="22"/>
          <w:highlight w:val="white"/>
          <w:lang w:eastAsia="zh-CN"/>
        </w:rPr>
        <w:t xml:space="preserve">further supported by XPS spectral data, which </w:t>
      </w:r>
      <w:r>
        <w:rPr>
          <w:rFonts w:asciiTheme="minorHAnsi" w:eastAsia="Calibri" w:hAnsiTheme="minorHAnsi" w:cs="Calibri"/>
          <w:color w:val="000000"/>
          <w:sz w:val="22"/>
          <w:szCs w:val="22"/>
          <w:highlight w:val="white"/>
          <w:lang w:eastAsia="zh-CN"/>
        </w:rPr>
        <w:t xml:space="preserve">similarly </w:t>
      </w:r>
      <w:r w:rsidR="00436CD0" w:rsidRPr="00C44D8C">
        <w:rPr>
          <w:rFonts w:asciiTheme="minorHAnsi" w:eastAsia="Calibri" w:hAnsiTheme="minorHAnsi" w:cs="Calibri"/>
          <w:color w:val="000000"/>
          <w:sz w:val="22"/>
          <w:szCs w:val="22"/>
          <w:highlight w:val="white"/>
          <w:lang w:eastAsia="zh-CN"/>
        </w:rPr>
        <w:t xml:space="preserve">suggested </w:t>
      </w:r>
      <w:r>
        <w:rPr>
          <w:rFonts w:asciiTheme="minorHAnsi" w:eastAsia="Calibri" w:hAnsiTheme="minorHAnsi" w:cs="Calibri"/>
          <w:color w:val="000000"/>
          <w:sz w:val="22"/>
          <w:szCs w:val="22"/>
          <w:highlight w:val="white"/>
          <w:lang w:eastAsia="zh-CN"/>
        </w:rPr>
        <w:t xml:space="preserve">that biofilms attached to PVC had </w:t>
      </w:r>
      <w:r w:rsidR="00436CD0" w:rsidRPr="00C44D8C">
        <w:rPr>
          <w:rFonts w:asciiTheme="minorHAnsi" w:eastAsia="Calibri" w:hAnsiTheme="minorHAnsi" w:cs="Calibri"/>
          <w:color w:val="000000"/>
          <w:sz w:val="22"/>
          <w:szCs w:val="22"/>
          <w:highlight w:val="white"/>
          <w:lang w:eastAsia="zh-CN"/>
        </w:rPr>
        <w:t>increase</w:t>
      </w:r>
      <w:r>
        <w:rPr>
          <w:rFonts w:asciiTheme="minorHAnsi" w:eastAsia="Calibri" w:hAnsiTheme="minorHAnsi" w:cs="Calibri"/>
          <w:color w:val="000000"/>
          <w:sz w:val="22"/>
          <w:szCs w:val="22"/>
          <w:highlight w:val="white"/>
          <w:lang w:eastAsia="zh-CN"/>
        </w:rPr>
        <w:t>d levels of</w:t>
      </w:r>
      <w:r w:rsidR="00436CD0" w:rsidRPr="00C44D8C">
        <w:rPr>
          <w:rFonts w:asciiTheme="minorHAnsi" w:eastAsia="Calibri" w:hAnsiTheme="minorHAnsi" w:cs="Calibri"/>
          <w:color w:val="000000"/>
          <w:sz w:val="22"/>
          <w:szCs w:val="22"/>
          <w:highlight w:val="white"/>
          <w:lang w:eastAsia="zh-CN"/>
        </w:rPr>
        <w:t xml:space="preserve"> surface polysaccharides during biofilm formation</w:t>
      </w:r>
      <w:r w:rsidR="002F35FC">
        <w:rPr>
          <w:rFonts w:asciiTheme="minorHAnsi" w:eastAsia="Calibri" w:hAnsiTheme="minorHAnsi" w:cs="Calibri"/>
          <w:color w:val="000000"/>
          <w:sz w:val="22"/>
          <w:szCs w:val="22"/>
          <w:highlight w:val="white"/>
          <w:lang w:eastAsia="zh-CN"/>
        </w:rPr>
        <w:t xml:space="preserve"> (p &lt; 0.05)</w:t>
      </w:r>
      <w:r w:rsidR="00436CD0" w:rsidRPr="00C44D8C">
        <w:rPr>
          <w:rFonts w:asciiTheme="minorHAnsi" w:eastAsia="Calibri" w:hAnsiTheme="minorHAnsi" w:cs="Calibri"/>
          <w:color w:val="000000"/>
          <w:sz w:val="22"/>
          <w:szCs w:val="22"/>
          <w:highlight w:val="white"/>
          <w:lang w:eastAsia="zh-CN"/>
        </w:rPr>
        <w:t xml:space="preserve">, </w:t>
      </w:r>
      <w:bookmarkStart w:id="125" w:name="OLE_LINK3"/>
      <w:r w:rsidR="00436CD0" w:rsidRPr="00C44D8C">
        <w:rPr>
          <w:rFonts w:asciiTheme="minorHAnsi" w:eastAsia="Calibri" w:hAnsiTheme="minorHAnsi" w:cs="Calibri"/>
          <w:color w:val="000000"/>
          <w:sz w:val="22"/>
          <w:szCs w:val="22"/>
          <w:highlight w:val="white"/>
          <w:lang w:eastAsia="zh-CN"/>
        </w:rPr>
        <w:t xml:space="preserve">as evidenced by a larger weight fraction of polysaccharides in the biofilm (0.33±0.03) compared to PETG (0.25±0.04) </w:t>
      </w:r>
      <w:bookmarkEnd w:id="125"/>
      <w:r w:rsidR="00436CD0" w:rsidRPr="00C44D8C">
        <w:rPr>
          <w:rFonts w:asciiTheme="minorHAnsi" w:eastAsia="Calibri" w:hAnsiTheme="minorHAnsi" w:cs="Calibri"/>
          <w:color w:val="000000"/>
          <w:sz w:val="22"/>
          <w:szCs w:val="22"/>
          <w:highlight w:val="white"/>
          <w:lang w:eastAsia="zh-CN"/>
        </w:rPr>
        <w:t xml:space="preserve">(Table 4.1; Fig. 4.4). These results also corresponded with those from the fluorescent staining analysis, which again detected significantly higher levels </w:t>
      </w:r>
      <w:r w:rsidR="002F35FC">
        <w:rPr>
          <w:rFonts w:asciiTheme="minorHAnsi" w:eastAsia="Calibri" w:hAnsiTheme="minorHAnsi" w:cs="Calibri"/>
          <w:color w:val="000000"/>
          <w:sz w:val="22"/>
          <w:szCs w:val="22"/>
          <w:highlight w:val="white"/>
          <w:lang w:eastAsia="zh-CN"/>
        </w:rPr>
        <w:t xml:space="preserve">(p &lt; 0.05) </w:t>
      </w:r>
      <w:r w:rsidR="00436CD0" w:rsidRPr="00C44D8C">
        <w:rPr>
          <w:rFonts w:asciiTheme="minorHAnsi" w:eastAsia="Calibri" w:hAnsiTheme="minorHAnsi" w:cs="Calibri"/>
          <w:color w:val="000000"/>
          <w:sz w:val="22"/>
          <w:szCs w:val="22"/>
          <w:highlight w:val="white"/>
          <w:lang w:eastAsia="zh-CN"/>
        </w:rPr>
        <w:t xml:space="preserve">of </w:t>
      </w:r>
      <w:r>
        <w:rPr>
          <w:rFonts w:asciiTheme="minorHAnsi" w:eastAsia="Calibri" w:hAnsiTheme="minorHAnsi" w:cs="Calibri"/>
          <w:color w:val="000000"/>
          <w:sz w:val="22"/>
          <w:szCs w:val="22"/>
          <w:highlight w:val="white"/>
          <w:lang w:eastAsia="zh-CN"/>
        </w:rPr>
        <w:t xml:space="preserve">the major EPS components, </w:t>
      </w:r>
      <w:r w:rsidR="00436CD0" w:rsidRPr="00C44D8C">
        <w:rPr>
          <w:rFonts w:asciiTheme="minorHAnsi" w:eastAsia="Calibri" w:hAnsiTheme="minorHAnsi" w:cs="Calibri"/>
          <w:color w:val="000000"/>
          <w:sz w:val="22"/>
          <w:szCs w:val="22"/>
          <w:highlight w:val="white"/>
          <w:lang w:eastAsia="zh-CN"/>
        </w:rPr>
        <w:t>glu</w:t>
      </w:r>
      <w:r>
        <w:rPr>
          <w:rFonts w:asciiTheme="minorHAnsi" w:eastAsia="Calibri" w:hAnsiTheme="minorHAnsi" w:cs="Calibri"/>
          <w:color w:val="000000"/>
          <w:sz w:val="22"/>
          <w:szCs w:val="22"/>
          <w:highlight w:val="white"/>
          <w:lang w:eastAsia="zh-CN"/>
        </w:rPr>
        <w:t>cose and mannose sugar residues,</w:t>
      </w:r>
      <w:r w:rsidR="00436CD0" w:rsidRPr="00C44D8C">
        <w:rPr>
          <w:rFonts w:asciiTheme="minorHAnsi" w:eastAsia="Calibri" w:hAnsiTheme="minorHAnsi" w:cs="Calibri"/>
          <w:color w:val="000000"/>
          <w:sz w:val="22"/>
          <w:szCs w:val="22"/>
          <w:highlight w:val="white"/>
          <w:lang w:eastAsia="zh-CN"/>
        </w:rPr>
        <w:t xml:space="preserve"> in biofilms attached to PVC </w:t>
      </w:r>
      <w:r w:rsidR="00436CD0" w:rsidRPr="00C44D8C">
        <w:rPr>
          <w:rFonts w:asciiTheme="minorHAnsi" w:eastAsia="Arial" w:hAnsiTheme="minorHAnsi" w:cs="Arial"/>
          <w:color w:val="000000"/>
          <w:sz w:val="22"/>
          <w:szCs w:val="22"/>
          <w:lang w:eastAsia="zh-CN"/>
        </w:rPr>
        <w:t xml:space="preserve">(1.9% surface coverage) </w:t>
      </w:r>
      <w:r w:rsidR="00436CD0" w:rsidRPr="00C44D8C">
        <w:rPr>
          <w:rFonts w:asciiTheme="minorHAnsi" w:eastAsia="Calibri" w:hAnsiTheme="minorHAnsi" w:cs="Calibri"/>
          <w:color w:val="000000"/>
          <w:sz w:val="22"/>
          <w:szCs w:val="22"/>
          <w:highlight w:val="white"/>
          <w:lang w:eastAsia="zh-CN"/>
        </w:rPr>
        <w:t xml:space="preserve">compared to PETG </w:t>
      </w:r>
      <w:r w:rsidR="00436CD0" w:rsidRPr="00C44D8C">
        <w:rPr>
          <w:rFonts w:asciiTheme="minorHAnsi" w:eastAsia="Arial" w:hAnsiTheme="minorHAnsi" w:cs="Arial"/>
          <w:color w:val="000000"/>
          <w:sz w:val="22"/>
          <w:szCs w:val="22"/>
          <w:lang w:eastAsia="zh-CN"/>
        </w:rPr>
        <w:t>(0.2% surface coverage)</w:t>
      </w:r>
      <w:r w:rsidR="00436CD0" w:rsidRPr="00C44D8C">
        <w:rPr>
          <w:rFonts w:asciiTheme="minorHAnsi" w:eastAsia="Calibri" w:hAnsiTheme="minorHAnsi" w:cs="Calibri"/>
          <w:color w:val="000000"/>
          <w:sz w:val="22"/>
          <w:szCs w:val="22"/>
          <w:highlight w:val="white"/>
          <w:lang w:eastAsia="zh-CN"/>
        </w:rPr>
        <w:t xml:space="preserve"> (Fig. 4.6). </w:t>
      </w:r>
    </w:p>
    <w:p w14:paraId="10384FA5" w14:textId="77777777" w:rsidR="00436CD0" w:rsidRPr="00C44D8C" w:rsidRDefault="00436CD0" w:rsidP="00436CD0">
      <w:pPr>
        <w:autoSpaceDE w:val="0"/>
        <w:autoSpaceDN w:val="0"/>
        <w:adjustRightInd w:val="0"/>
        <w:spacing w:line="360" w:lineRule="auto"/>
        <w:ind w:firstLine="720"/>
        <w:rPr>
          <w:rFonts w:asciiTheme="minorHAnsi" w:eastAsia="Arial" w:hAnsiTheme="minorHAnsi" w:cs="Dutch801BT-Roman"/>
          <w:color w:val="000000"/>
          <w:sz w:val="22"/>
          <w:szCs w:val="22"/>
          <w:lang w:eastAsia="zh-CN"/>
        </w:rPr>
      </w:pPr>
      <w:r w:rsidRPr="00C44D8C">
        <w:rPr>
          <w:rFonts w:asciiTheme="minorHAnsi" w:eastAsia="Arial" w:hAnsiTheme="minorHAnsi" w:cs="Dutch801BT-Roman"/>
          <w:color w:val="000000"/>
          <w:sz w:val="22"/>
          <w:szCs w:val="22"/>
          <w:lang w:eastAsia="zh-CN"/>
        </w:rPr>
        <w:t>This suggests that the surface of PVC provided a more favourable surface for microbial attachment as shown by the higher levels of DAPI stained cells in this study (Fig. 4.6a). It can be hypothesised that the higher levels of cell attachment were associated with an increased production of polysaccharides to perhaps aid in a more irreversible attachment of cells to PVC.</w:t>
      </w:r>
    </w:p>
    <w:p w14:paraId="5B541E3E" w14:textId="69C36DAE" w:rsidR="00436CD0" w:rsidRPr="00C44D8C" w:rsidRDefault="00436CD0" w:rsidP="00436CD0">
      <w:pPr>
        <w:autoSpaceDE w:val="0"/>
        <w:autoSpaceDN w:val="0"/>
        <w:adjustRightInd w:val="0"/>
        <w:spacing w:line="360" w:lineRule="auto"/>
        <w:ind w:firstLine="720"/>
        <w:rPr>
          <w:rFonts w:asciiTheme="minorHAnsi" w:eastAsia="Arial" w:hAnsiTheme="minorHAnsi" w:cs="Dutch801BT-Roman"/>
          <w:color w:val="000000"/>
          <w:sz w:val="22"/>
          <w:szCs w:val="22"/>
          <w:lang w:eastAsia="zh-CN"/>
        </w:rPr>
      </w:pPr>
      <w:r w:rsidRPr="00C44D8C">
        <w:rPr>
          <w:rFonts w:asciiTheme="minorHAnsi" w:eastAsia="Arial" w:hAnsiTheme="minorHAnsi" w:cs="Dutch801BT-Roman"/>
          <w:color w:val="000000"/>
          <w:sz w:val="22"/>
          <w:szCs w:val="22"/>
          <w:lang w:eastAsia="zh-CN"/>
        </w:rPr>
        <w:t>Zeta potential analysis was able to identify the nature of these polysaccharides in the</w:t>
      </w:r>
      <w:r w:rsidRPr="00C44D8C">
        <w:rPr>
          <w:rFonts w:asciiTheme="minorHAnsi" w:eastAsia="Arial" w:hAnsiTheme="minorHAnsi" w:cs="Dutch801BT-Roman"/>
          <w:i/>
          <w:iCs/>
          <w:color w:val="000000"/>
          <w:sz w:val="22"/>
          <w:szCs w:val="22"/>
          <w:lang w:eastAsia="zh-CN"/>
        </w:rPr>
        <w:t xml:space="preserve"> </w:t>
      </w:r>
      <w:r w:rsidRPr="00C44D8C">
        <w:rPr>
          <w:rFonts w:asciiTheme="minorHAnsi" w:eastAsia="Arial" w:hAnsiTheme="minorHAnsi" w:cs="Dutch801BT-Roman"/>
          <w:color w:val="000000"/>
          <w:sz w:val="22"/>
          <w:szCs w:val="22"/>
          <w:lang w:eastAsia="zh-CN"/>
        </w:rPr>
        <w:t xml:space="preserve">biofilms. As the IEP of both biofilms from PVC and PETG were presumed to be less than 2, this </w:t>
      </w:r>
      <w:r w:rsidR="002F35FC">
        <w:rPr>
          <w:rFonts w:asciiTheme="minorHAnsi" w:eastAsia="Arial" w:hAnsiTheme="minorHAnsi" w:cs="Dutch801BT-Roman"/>
          <w:color w:val="000000"/>
          <w:sz w:val="22"/>
          <w:szCs w:val="22"/>
          <w:lang w:eastAsia="zh-CN"/>
        </w:rPr>
        <w:t>implies</w:t>
      </w:r>
      <w:r w:rsidRPr="00C44D8C">
        <w:rPr>
          <w:rFonts w:asciiTheme="minorHAnsi" w:eastAsia="Arial" w:hAnsiTheme="minorHAnsi" w:cs="Dutch801BT-Roman"/>
          <w:color w:val="000000"/>
          <w:sz w:val="22"/>
          <w:szCs w:val="22"/>
          <w:lang w:eastAsia="zh-CN"/>
        </w:rPr>
        <w:t xml:space="preserve"> that biofilms possessed a cell surface dominated by </w:t>
      </w:r>
      <w:r w:rsidRPr="00C44D8C">
        <w:rPr>
          <w:rFonts w:asciiTheme="minorHAnsi" w:eastAsia="Calibri" w:hAnsiTheme="minorHAnsi" w:cs="Calibri"/>
          <w:color w:val="000000"/>
          <w:sz w:val="22"/>
          <w:szCs w:val="22"/>
          <w:lang w:eastAsia="zh-CN"/>
        </w:rPr>
        <w:t xml:space="preserve">negatively charged polysaccharides associated with carboxyl and phosphate groups </w:t>
      </w:r>
      <w:r w:rsidR="00C43328">
        <w:rPr>
          <w:rFonts w:asciiTheme="minorHAnsi" w:eastAsia="Calibri" w:hAnsiTheme="minorHAnsi" w:cs="Calibri"/>
          <w:color w:val="000000"/>
          <w:sz w:val="22"/>
          <w:szCs w:val="22"/>
          <w:lang w:eastAsia="zh-CN"/>
        </w:rPr>
        <w:fldChar w:fldCharType="begin" w:fldLock="1"/>
      </w:r>
      <w:r w:rsidR="007E3308">
        <w:rPr>
          <w:rFonts w:asciiTheme="minorHAnsi" w:eastAsia="Calibri" w:hAnsiTheme="minorHAnsi" w:cs="Calibri"/>
          <w:color w:val="000000"/>
          <w:sz w:val="22"/>
          <w:szCs w:val="22"/>
          <w:lang w:eastAsia="zh-CN"/>
        </w:rPr>
        <w:instrText>ADDIN CSL_CITATION { "citationItems" : [ { "id" : "ITEM-1", "itemData" : { "DOI" : "10.1016/0927-7765(94)01164-Z", "ISBN" : "0927-7765", "ISSN" : "09277765", "abstract" : "The use of the isoelectric point (IEP) of a bacterium as a measure of the ability of bacterial surface polymers to inhibit adhesion was tested. This inhibition is attributed to repulsive steric interactions and not to electrostatic repulsion as accounted for by the DLVO theory of colloid stability. IEP values were compared with literature data on cell wall composition and with adhesion results, obtained at pH 7 and an ionic strength of 0.1 M. The literature data demonstrate that an IEP \u2264 2.8 indicates the presence of significant amounts of cell surface polysaccharides containing negatively charged phosphate and/or carboxyl groups. The experimental results showed that these polymers inhibit adhesion onto both hydrophilic (glass) and hydrophobic (Teflon) surfaces. The coryneform Rhodococcus strain C125 with an IEP of 3.0 possesses amphiphilic cell surface components which inhibit adhesion onto glass and promote deposition onto Teflon. Bacteria with an IEP \u2265 3.2 appear to be free from polymer coatings that inhibit adhesion. They adhere in large amounts onto Teflon and in slightly lower amounts onto glass. Our findings therefore indicate that the IEP is a suitable parameter complementary to hydrophobicity in predicting the affinity of bacterial surface polymers for substrata with different hydrophobicities. \u00a9 1995.", "author" : [ { "dropping-particle" : "", "family" : "Rijnaarts", "given" : "Huub H M", "non-dropping-particle" : "", "parse-names" : false, "suffix" : "" }, { "dropping-particle" : "", "family" : "Norde", "given" : "Willem", "non-dropping-particle" : "", "parse-names" : false, "suffix" : "" }, { "dropping-particle" : "", "family" : "Lyklema", "given" : "Johannes", "non-dropping-particle" : "", "parse-names" : false, "suffix" : "" }, { "dropping-particle" : "", "family" : "Zehnder", "given" : "Alexander J B", "non-dropping-particle" : "", "parse-names" : false, "suffix" : "" } ], "container-title" : "Colloids and Surfaces B: Biointerfaces", "id" : "ITEM-1", "issued" : { "date-parts" : [ [ "1995" ] ] }, "title" : "The isoelectric point of bacteria as an indicator for the presence of cell surface polymers that inhibit adhesion", "type" : "article-journal" }, "uris" : [ "http://www.mendeley.com/documents/?uuid=f1b60019-893f-3fd5-861c-4062831fa625" ] } ], "mendeley" : { "formattedCitation" : "[183]", "plainTextFormattedCitation" : "[183]", "previouslyFormattedCitation" : "[183]" }, "properties" : { "noteIndex" : 0 }, "schema" : "https://github.com/citation-style-language/schema/raw/master/csl-citation.json" }</w:instrText>
      </w:r>
      <w:r w:rsidR="00C43328">
        <w:rPr>
          <w:rFonts w:asciiTheme="minorHAnsi" w:eastAsia="Calibri" w:hAnsiTheme="minorHAnsi" w:cs="Calibri"/>
          <w:color w:val="000000"/>
          <w:sz w:val="22"/>
          <w:szCs w:val="22"/>
          <w:lang w:eastAsia="zh-CN"/>
        </w:rPr>
        <w:fldChar w:fldCharType="separate"/>
      </w:r>
      <w:r w:rsidR="007E3308" w:rsidRPr="007E3308">
        <w:rPr>
          <w:rFonts w:asciiTheme="minorHAnsi" w:eastAsia="Calibri" w:hAnsiTheme="minorHAnsi" w:cs="Calibri"/>
          <w:noProof/>
          <w:color w:val="000000"/>
          <w:sz w:val="22"/>
          <w:szCs w:val="22"/>
          <w:lang w:eastAsia="zh-CN"/>
        </w:rPr>
        <w:t>[183]</w:t>
      </w:r>
      <w:r w:rsidR="00C43328">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This conclusion is </w:t>
      </w:r>
      <w:r w:rsidR="002F35FC">
        <w:rPr>
          <w:rFonts w:asciiTheme="minorHAnsi" w:eastAsia="Calibri" w:hAnsiTheme="minorHAnsi" w:cs="Calibri"/>
          <w:color w:val="000000"/>
          <w:sz w:val="22"/>
          <w:szCs w:val="22"/>
          <w:lang w:eastAsia="zh-CN"/>
        </w:rPr>
        <w:t xml:space="preserve">also </w:t>
      </w:r>
      <w:r w:rsidRPr="00C44D8C">
        <w:rPr>
          <w:rFonts w:asciiTheme="minorHAnsi" w:eastAsia="Calibri" w:hAnsiTheme="minorHAnsi" w:cs="Calibri"/>
          <w:color w:val="000000"/>
          <w:sz w:val="22"/>
          <w:szCs w:val="22"/>
          <w:lang w:eastAsia="zh-CN"/>
        </w:rPr>
        <w:t xml:space="preserve">supported by the ConA-Rho staining, which detects only negatively charged mannose and glucose sugar residues. These sugar residues are known to be </w:t>
      </w:r>
      <w:r w:rsidRPr="00C44D8C">
        <w:rPr>
          <w:rFonts w:asciiTheme="minorHAnsi" w:eastAsia="Calibri" w:hAnsiTheme="minorHAnsi" w:cs="Calibri"/>
          <w:color w:val="000000"/>
          <w:sz w:val="22"/>
          <w:szCs w:val="22"/>
          <w:highlight w:val="white"/>
          <w:lang w:eastAsia="zh-CN"/>
        </w:rPr>
        <w:t>major polysaccharide components of EPS in archaea</w:t>
      </w:r>
      <w:r w:rsidR="00C43328">
        <w:rPr>
          <w:rFonts w:asciiTheme="minorHAnsi" w:eastAsia="Calibri" w:hAnsiTheme="minorHAnsi" w:cs="Calibri"/>
          <w:color w:val="000000"/>
          <w:sz w:val="22"/>
          <w:szCs w:val="22"/>
          <w:lang w:eastAsia="zh-CN"/>
        </w:rPr>
        <w:t xml:space="preserve"> </w:t>
      </w:r>
      <w:r w:rsidR="00C43328">
        <w:rPr>
          <w:rFonts w:asciiTheme="minorHAnsi" w:eastAsia="Calibri" w:hAnsiTheme="minorHAnsi" w:cs="Calibri"/>
          <w:color w:val="000000"/>
          <w:sz w:val="22"/>
          <w:szCs w:val="22"/>
          <w:highlight w:val="white"/>
          <w:lang w:eastAsia="zh-CN"/>
        </w:rPr>
        <w:fldChar w:fldCharType="begin" w:fldLock="1"/>
      </w:r>
      <w:r w:rsidR="00F6573E">
        <w:rPr>
          <w:rFonts w:asciiTheme="minorHAnsi" w:eastAsia="Calibri" w:hAnsiTheme="minorHAnsi" w:cs="Calibri"/>
          <w:color w:val="000000"/>
          <w:sz w:val="22"/>
          <w:szCs w:val="22"/>
          <w:highlight w:val="white"/>
          <w:lang w:eastAsia="zh-CN"/>
        </w:rPr>
        <w:instrText>ADDIN CSL_CITATION { "citationItems" : [ { "id" : "ITEM-1", "itemData" : { "DOI" : "10.3389/fmicb.2014.00353", "ISSN" : "1664-302X", "PMID" : "25071757", "abstract" : "Although in nature most microorganisms are known to occur predominantly in consortia or biofilms, data on archaeal biofilm formation are in general scarce. Here, the ability of three methanoarchaeal strains, Methanobrevibacter smithii and Methanosphaera stadtmanae, which form part of the human gut microbiota, and the Methanosarcina mazei strain G\u00f61 to grow on different surfaces and form biofilms was investigated. All three strains adhered to the substrate mica and grew predominantly as bilayers on its surface as demonstrated by confocal laser scanning microscopy analyses, though the formation of multi-layered biofilms of Methanosphaera stadtmanae and Methanobrevibacter smithii was observed as well. Stable biofilm formation was further confirmed by scanning electron microscopy analysis. Methanosarcina mazei and Methanobrevibacter smithii also formed multi-layered biofilms in uncoated plastic \u03bc-dishes(TM), which were very similar in morphology and reached a height of up to 40 \u03bcm. In contrast, biofilms formed by Methanosphaera stadtmanae reached only a height of 2 \u03bcm. Staining with the two lectins ConA and IB4 indicated that all three strains produced relatively low amounts of extracellular polysaccharides most likely containing glucose, mannose, and galactose. Taken together, this study provides the first evidence that methanoarchaea can develop and form biofilms on different substrates and thus, will contribute to our knowledge on the appearance and physiological role of Methanobrevibacter smithii and Methanosphaera stadtmanae in the human intestine.", "author" : [ { "dropping-particle" : "", "family" : "Bang", "given" : "Corinna", "non-dropping-particle" : "", "parse-names" : false, "suffix" : "" }, { "dropping-particle" : "", "family" : "Ehlers", "given" : "Claudia", "non-dropping-particle" : "", "parse-names" : false, "suffix" : "" }, { "dropping-particle" : "", "family" : "Orell", "given" : "Alvaro", "non-dropping-particle" : "", "parse-names" : false, "suffix" : "" }, { "dropping-particle" : "", "family" : "Prasse", "given" : "Daniela", "non-dropping-particle" : "", "parse-names" : false, "suffix" : "" }, { "dropping-particle" : "", "family" : "Spinner", "given" : "Marlene", "non-dropping-particle" : "", "parse-names" : false, "suffix" : "" }, { "dropping-particle" : "", "family" : "Gorb", "given" : "Stanislav N", "non-dropping-particle" : "", "parse-names" : false, "suffix" : "" }, { "dropping-particle" : "", "family" : "Albers", "given" : "Sonja-Verena", "non-dropping-particle" : "", "parse-names" : false, "suffix" : "" }, { "dropping-particle" : "", "family" : "Schmitz", "given" : "Ruth a", "non-dropping-particle" : "", "parse-names" : false, "suffix" : "" } ], "container-title" : "Frontiers in microbiology", "id" : "ITEM-1", "issue" : "July", "issued" : { "date-parts" : [ [ "2014", "1" ] ] }, "page" : "353", "title" : "Biofilm formation of mucosa-associated methanoarchaeal strains.", "type" : "article-journal", "volume" : "5" }, "uris" : [ "http://www.mendeley.com/documents/?uuid=32a7e40a-8f85-4f4b-a0bd-b51d05eda89c" ] } ], "mendeley" : { "formattedCitation" : "[57]", "plainTextFormattedCitation" : "[57]", "previouslyFormattedCitation" : "[57]" }, "properties" : { "noteIndex" : 0 }, "schema" : "https://github.com/citation-style-language/schema/raw/master/csl-citation.json" }</w:instrText>
      </w:r>
      <w:r w:rsidR="00C43328">
        <w:rPr>
          <w:rFonts w:asciiTheme="minorHAnsi" w:eastAsia="Calibri" w:hAnsiTheme="minorHAnsi" w:cs="Calibri"/>
          <w:color w:val="000000"/>
          <w:sz w:val="22"/>
          <w:szCs w:val="22"/>
          <w:highlight w:val="white"/>
          <w:lang w:eastAsia="zh-CN"/>
        </w:rPr>
        <w:fldChar w:fldCharType="separate"/>
      </w:r>
      <w:r w:rsidR="003250CB" w:rsidRPr="003250CB">
        <w:rPr>
          <w:rFonts w:asciiTheme="minorHAnsi" w:eastAsia="Calibri" w:hAnsiTheme="minorHAnsi" w:cs="Calibri"/>
          <w:noProof/>
          <w:color w:val="000000"/>
          <w:sz w:val="22"/>
          <w:szCs w:val="22"/>
          <w:highlight w:val="white"/>
          <w:lang w:eastAsia="zh-CN"/>
        </w:rPr>
        <w:t>[57]</w:t>
      </w:r>
      <w:r w:rsidR="00C43328">
        <w:rPr>
          <w:rFonts w:asciiTheme="minorHAnsi" w:eastAsia="Calibri" w:hAnsiTheme="minorHAnsi" w:cs="Calibri"/>
          <w:color w:val="000000"/>
          <w:sz w:val="22"/>
          <w:szCs w:val="22"/>
          <w:highlight w:val="white"/>
          <w:lang w:eastAsia="zh-CN"/>
        </w:rPr>
        <w:fldChar w:fldCharType="end"/>
      </w:r>
      <w:r w:rsidRPr="00C44D8C">
        <w:rPr>
          <w:rFonts w:asciiTheme="minorHAnsi" w:eastAsia="Calibri" w:hAnsiTheme="minorHAnsi" w:cs="Calibri"/>
          <w:color w:val="000000"/>
          <w:sz w:val="22"/>
          <w:szCs w:val="22"/>
          <w:lang w:eastAsia="zh-CN"/>
        </w:rPr>
        <w:t xml:space="preserve">, and </w:t>
      </w:r>
      <w:r w:rsidR="002F35FC">
        <w:rPr>
          <w:rFonts w:asciiTheme="minorHAnsi" w:eastAsia="Calibri" w:hAnsiTheme="minorHAnsi" w:cs="Calibri"/>
          <w:color w:val="000000"/>
          <w:sz w:val="22"/>
          <w:szCs w:val="22"/>
          <w:lang w:eastAsia="zh-CN"/>
        </w:rPr>
        <w:t xml:space="preserve">their increased levels in PVC-biofilms </w:t>
      </w:r>
      <w:r w:rsidRPr="00C44D8C">
        <w:rPr>
          <w:rFonts w:asciiTheme="minorHAnsi" w:eastAsia="Calibri" w:hAnsiTheme="minorHAnsi" w:cs="Calibri"/>
          <w:color w:val="000000"/>
          <w:sz w:val="22"/>
          <w:szCs w:val="22"/>
          <w:lang w:eastAsia="zh-CN"/>
        </w:rPr>
        <w:t>suggest</w:t>
      </w:r>
      <w:r w:rsidR="002F35FC">
        <w:rPr>
          <w:rFonts w:asciiTheme="minorHAnsi" w:eastAsia="Calibri" w:hAnsiTheme="minorHAnsi" w:cs="Calibri"/>
          <w:color w:val="000000"/>
          <w:sz w:val="22"/>
          <w:szCs w:val="22"/>
          <w:lang w:eastAsia="zh-CN"/>
        </w:rPr>
        <w:t>s</w:t>
      </w:r>
      <w:r w:rsidRPr="00C44D8C">
        <w:rPr>
          <w:rFonts w:asciiTheme="minorHAnsi" w:eastAsia="Calibri" w:hAnsiTheme="minorHAnsi" w:cs="Calibri"/>
          <w:color w:val="000000"/>
          <w:sz w:val="22"/>
          <w:szCs w:val="22"/>
          <w:lang w:eastAsia="zh-CN"/>
        </w:rPr>
        <w:t xml:space="preserve"> a </w:t>
      </w:r>
      <w:r w:rsidR="002F35FC">
        <w:rPr>
          <w:rFonts w:asciiTheme="minorHAnsi" w:eastAsia="Calibri" w:hAnsiTheme="minorHAnsi" w:cs="Calibri"/>
          <w:color w:val="000000"/>
          <w:sz w:val="22"/>
          <w:szCs w:val="22"/>
          <w:lang w:eastAsia="zh-CN"/>
        </w:rPr>
        <w:t xml:space="preserve">biofilm-specific adaptation. </w:t>
      </w:r>
    </w:p>
    <w:p w14:paraId="45191E4B" w14:textId="728A506C" w:rsidR="00436CD0" w:rsidRPr="00C44D8C" w:rsidRDefault="00436CD0" w:rsidP="00436CD0">
      <w:pPr>
        <w:autoSpaceDE w:val="0"/>
        <w:autoSpaceDN w:val="0"/>
        <w:adjustRightInd w:val="0"/>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lastRenderedPageBreak/>
        <w:t>These observed changes in cell surface properties in res</w:t>
      </w:r>
      <w:r w:rsidR="00C00071">
        <w:rPr>
          <w:rFonts w:asciiTheme="minorHAnsi" w:eastAsia="Calibri" w:hAnsiTheme="minorHAnsi" w:cs="Calibri"/>
          <w:color w:val="000000"/>
          <w:sz w:val="22"/>
          <w:szCs w:val="22"/>
          <w:lang w:eastAsia="zh-CN"/>
        </w:rPr>
        <w:t xml:space="preserve">ponse to environmental factors </w:t>
      </w:r>
      <w:r w:rsidRPr="00C44D8C">
        <w:rPr>
          <w:rFonts w:asciiTheme="minorHAnsi" w:eastAsia="Calibri" w:hAnsiTheme="minorHAnsi" w:cs="Calibri"/>
          <w:color w:val="000000"/>
          <w:sz w:val="22"/>
          <w:szCs w:val="22"/>
          <w:lang w:eastAsia="zh-CN"/>
        </w:rPr>
        <w:t xml:space="preserve">have been reported in previous studies, and often in comparison to planktonic cells. For example, the cell surface of biofilm cells of </w:t>
      </w:r>
      <w:r w:rsidRPr="00C44D8C">
        <w:rPr>
          <w:rFonts w:asciiTheme="minorHAnsi" w:eastAsia="Calibri" w:hAnsiTheme="minorHAnsi" w:cs="Calibri"/>
          <w:i/>
          <w:iCs/>
          <w:color w:val="000000"/>
          <w:sz w:val="22"/>
          <w:szCs w:val="22"/>
          <w:lang w:eastAsia="zh-CN"/>
        </w:rPr>
        <w:t xml:space="preserve">B. cereus </w:t>
      </w:r>
      <w:r w:rsidRPr="00C44D8C">
        <w:rPr>
          <w:rFonts w:asciiTheme="minorHAnsi" w:eastAsia="Calibri" w:hAnsiTheme="minorHAnsi" w:cs="Calibri"/>
          <w:color w:val="000000"/>
          <w:sz w:val="22"/>
          <w:szCs w:val="22"/>
          <w:lang w:eastAsia="zh-CN"/>
        </w:rPr>
        <w:t xml:space="preserve">was found to be more hydrophilic and had increased levels of polysaccharides compared to their planktonic counterparts </w:t>
      </w:r>
      <w:r w:rsidR="00C43328">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"author" : [ { "dropping-particle" : "", "family" : "Mukherjee, J., Karunakaran, E., Biggs", "given" : "C.A.", "non-dropping-particle" : "", "parse-names" : false, "suffix" : "" } ], "container-title" : "Biofouling", "id" : "ITEM-1", "issued" : { "date-parts" : [ [ "2012" ] ] }, "page" : "1-14", "title" : "Using a multi-facteted approach to determine the changes in bacterial cell surface properties influenced by a biofilm lifestyle", "type" : "article-journal", "volume" : "28" }, "uris" : [ "http://www.mendeley.com/documents/?uuid=92d1e10d-b753-40e3-9b93-d3ef602a986e" ] } ], "mendeley" : { "formattedCitation" : "[92]", "plainTextFormattedCitation" : "[92]", "previouslyFormattedCitation" : "[92]" }, "properties" : { "noteIndex" : 0 }, "schema" : "https://github.com/citation-style-language/schema/raw/master/csl-citation.json" }</w:instrText>
      </w:r>
      <w:r w:rsidR="00C43328">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[92]</w:t>
      </w:r>
      <w:r w:rsidR="00C43328">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Similarly, biofilms of </w:t>
      </w:r>
      <w:r w:rsidRPr="00C44D8C">
        <w:rPr>
          <w:rFonts w:asciiTheme="minorHAnsi" w:eastAsia="Calibri" w:hAnsiTheme="minorHAnsi" w:cs="Calibri"/>
          <w:i/>
          <w:color w:val="000000"/>
          <w:sz w:val="22"/>
          <w:szCs w:val="22"/>
          <w:lang w:eastAsia="zh-CN"/>
        </w:rPr>
        <w:t>S. acidocaldarius</w:t>
      </w:r>
      <w:r w:rsidRPr="00C44D8C">
        <w:rPr>
          <w:rFonts w:asciiTheme="minorHAnsi" w:eastAsia="Calibri" w:hAnsiTheme="minorHAnsi" w:cs="Calibri"/>
          <w:color w:val="000000"/>
          <w:sz w:val="22"/>
          <w:szCs w:val="22"/>
          <w:lang w:eastAsia="zh-CN"/>
        </w:rPr>
        <w:t xml:space="preserve">, </w:t>
      </w:r>
      <w:r w:rsidRPr="00C44D8C">
        <w:rPr>
          <w:rFonts w:asciiTheme="minorHAnsi" w:eastAsia="Calibri" w:hAnsiTheme="minorHAnsi" w:cs="Calibri"/>
          <w:i/>
          <w:color w:val="000000"/>
          <w:sz w:val="22"/>
          <w:szCs w:val="22"/>
          <w:lang w:eastAsia="zh-CN"/>
        </w:rPr>
        <w:t>S. solfataricus</w:t>
      </w:r>
      <w:r w:rsidRPr="00C44D8C">
        <w:rPr>
          <w:rFonts w:asciiTheme="minorHAnsi" w:eastAsia="Calibri" w:hAnsiTheme="minorHAnsi" w:cs="Calibri"/>
          <w:color w:val="000000"/>
          <w:sz w:val="22"/>
          <w:szCs w:val="22"/>
          <w:lang w:eastAsia="zh-CN"/>
        </w:rPr>
        <w:t xml:space="preserve"> and </w:t>
      </w:r>
      <w:r w:rsidRPr="00C44D8C">
        <w:rPr>
          <w:rFonts w:asciiTheme="minorHAnsi" w:eastAsia="Calibri" w:hAnsiTheme="minorHAnsi" w:cs="Calibri"/>
          <w:i/>
          <w:color w:val="000000"/>
          <w:sz w:val="22"/>
          <w:szCs w:val="22"/>
          <w:lang w:eastAsia="zh-CN"/>
        </w:rPr>
        <w:t>S. tokodaii</w:t>
      </w:r>
      <w:r w:rsidRPr="00C44D8C">
        <w:rPr>
          <w:rFonts w:asciiTheme="minorHAnsi" w:eastAsia="Calibri" w:hAnsiTheme="minorHAnsi" w:cs="Calibri"/>
          <w:color w:val="000000"/>
          <w:sz w:val="22"/>
          <w:szCs w:val="22"/>
          <w:lang w:eastAsia="zh-CN"/>
        </w:rPr>
        <w:t xml:space="preserve"> produced significantly different surface profiles compared to their planktonic counterparts, having increased levels of polysaccharide moieties on the cell surface</w:t>
      </w:r>
      <w:r w:rsidR="00C43328">
        <w:rPr>
          <w:rFonts w:asciiTheme="minorHAnsi" w:eastAsia="Calibri" w:hAnsiTheme="minorHAnsi" w:cs="Calibri"/>
          <w:color w:val="000000"/>
          <w:sz w:val="22"/>
          <w:szCs w:val="22"/>
          <w:lang w:eastAsia="zh-CN"/>
        </w:rPr>
        <w:t xml:space="preserve"> </w:t>
      </w:r>
      <w:r w:rsidR="00C43328">
        <w:rPr>
          <w:rFonts w:asciiTheme="minorHAnsi" w:eastAsia="Calibri" w:hAnsiTheme="minorHAnsi" w:cs="Calibri"/>
          <w:color w:val="000000"/>
          <w:sz w:val="22"/>
          <w:szCs w:val="22"/>
          <w:lang w:eastAsia="zh-CN"/>
        </w:rPr>
        <w:fldChar w:fldCharType="begin" w:fldLock="1"/>
      </w:r>
      <w:r w:rsidR="00AF47D2">
        <w:rPr>
          <w:rFonts w:asciiTheme="minorHAnsi" w:eastAsia="Calibri" w:hAnsiTheme="minorHAnsi" w:cs="Calibri"/>
          <w:color w:val="000000"/>
          <w:sz w:val="22"/>
          <w:szCs w:val="22"/>
          <w:lang w:eastAsia="zh-CN"/>
        </w:rPr>
        <w:instrText>ADDIN CSL_CITATION { "citationItems" : [ { "id" : "ITEM-1", "itemData" : { "DOI" : "10.1371/journal.pone.0014104", "ISSN" : "1932-6203", "PMID" : "21124788", "abstract" : "BACKGROUND: Biofilm formation has been studied in much detail for a variety of bacterial species, as it plays a major role in the pathogenicity of bacteria. However, only limited information is available for the development of archaeal communities that are frequently found in many natural environments.\n\nMETHODOLOGY: We have analyzed biofilm formation in three closely related hyperthermophilic crenarchaeotes: Sulfolobus acidocaldarius, S. solfataricus and S. tokodaii. We established a microtitre plate assay adapted to high temperatures to determine how pH and temperature influence biofilm formation in these organisms. Biofilm analysis by confocal laser scanning microscopy demonstrated that the three strains form very different communities ranging from simple carpet-like structures in S. solfataricus to high density tower-like structures in S. acidocaldarius in static systems. Lectin staining indicated that all three strains produced extracellular polysaccharides containing glucose, galactose, mannose and N-acetylglucosamine once biofilm formation was initiated. While flagella mutants had no phenotype in two days old static biofilms of S. solfataricus, a UV-induced pili deletion mutant showed decreased attachment of cells.\n\nCONCLUSION: The study gives first insights into formation and development of crenarchaeal biofilms in extreme environments.", "author" : [ { "dropping-particle" : "", "family" : "Koerdt", "given" : "Andrea", "non-dropping-particle" : "", "parse-names" : false, "suffix" : "" }, { "dropping-particle" : "", "family" : "G\u00f6deke", "given" : "Julia", "non-dropping-particle" : "", "parse-names" : false, "suffix" : "" }, { "dropping-particle" : "", "family" : "Berger", "given" : "J\u00fcrgen", "non-dropping-particle" : "", "parse-names" : false, "suffix" : "" }, { "dropping-particle" : "", "family" : "Thormann", "given" : "Kai M", "non-dropping-particle" : "", "parse-names" : false, "suffix" : "" }, { "dropping-particle" : "", "family" : "Albers", "given" : "Sonja-Verena", "non-dropping-particle" : "", "parse-names" : false, "suffix" : "" } ], "container-title" : "PloS one", "id" : "ITEM-1", "issue" : "11", "issued" : { "date-parts" : [ [ "2010", "1" ] ] }, "page" : "e14104", "title" : "Crenarchaeal biofilm formation under extreme conditions.", "type" : "article-journal", "volume" : "5" }, "uris" : [ "http://www.mendeley.com/documents/?uuid=9262f2e8-09a6-421b-bdaf-0d81a060cadd" ] } ], "mendeley" : { "formattedCitation" : "[64]", "plainTextFormattedCitation" : "[64]", "previouslyFormattedCitation" : "[64]" }, "properties" : { "noteIndex" : 0 }, "schema" : "https://github.com/citation-style-language/schema/raw/master/csl-citation.json" }</w:instrText>
      </w:r>
      <w:r w:rsidR="00C43328">
        <w:rPr>
          <w:rFonts w:asciiTheme="minorHAnsi" w:eastAsia="Calibri" w:hAnsiTheme="minorHAnsi" w:cs="Calibr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[64]</w:t>
      </w:r>
      <w:r w:rsidR="00C43328">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r w:rsidR="00BC4626">
        <w:rPr>
          <w:rFonts w:asciiTheme="minorHAnsi" w:eastAsia="Calibri" w:hAnsiTheme="minorHAnsi" w:cs="Calibri"/>
          <w:color w:val="000000"/>
          <w:sz w:val="22"/>
          <w:szCs w:val="22"/>
          <w:lang w:eastAsia="zh-CN"/>
        </w:rPr>
        <w:t xml:space="preserve">Phenotypic and physiological differences are commonly observed between </w:t>
      </w:r>
      <w:r w:rsidR="002F35FC">
        <w:rPr>
          <w:rFonts w:asciiTheme="minorHAnsi" w:eastAsia="Calibri" w:hAnsiTheme="minorHAnsi" w:cs="Calibri"/>
          <w:color w:val="000000"/>
          <w:sz w:val="22"/>
          <w:szCs w:val="22"/>
          <w:lang w:eastAsia="zh-CN"/>
        </w:rPr>
        <w:t>biofilm and planktonic cells</w:t>
      </w:r>
      <w:r w:rsidR="00BC4626">
        <w:rPr>
          <w:rFonts w:asciiTheme="minorHAnsi" w:eastAsia="Calibri" w:hAnsiTheme="minorHAnsi" w:cs="Calibri"/>
          <w:color w:val="000000"/>
          <w:sz w:val="22"/>
          <w:szCs w:val="22"/>
          <w:lang w:eastAsia="zh-CN"/>
        </w:rPr>
        <w:t xml:space="preserve"> owing to the adhesive requirements of the biofilm [22]. This study has also shown that different</w:t>
      </w:r>
      <w:r w:rsidRPr="00C44D8C">
        <w:rPr>
          <w:rFonts w:asciiTheme="minorHAnsi" w:eastAsia="Calibri" w:hAnsiTheme="minorHAnsi" w:cs="Calibri"/>
          <w:color w:val="000000"/>
          <w:sz w:val="22"/>
          <w:szCs w:val="22"/>
          <w:lang w:eastAsia="zh-CN"/>
        </w:rPr>
        <w:t xml:space="preserve"> </w:t>
      </w:r>
      <w:r w:rsidR="00C00071">
        <w:rPr>
          <w:rFonts w:asciiTheme="minorHAnsi" w:eastAsia="Calibri" w:hAnsiTheme="minorHAnsi" w:cs="Calibri"/>
          <w:color w:val="000000"/>
          <w:sz w:val="22"/>
          <w:szCs w:val="22"/>
          <w:lang w:eastAsia="zh-CN"/>
        </w:rPr>
        <w:t xml:space="preserve">phenotypic and physiological differences can exist between biofilm populations attached to different </w:t>
      </w:r>
      <w:r w:rsidRPr="00C44D8C">
        <w:rPr>
          <w:rFonts w:asciiTheme="minorHAnsi" w:eastAsia="Calibri" w:hAnsiTheme="minorHAnsi" w:cs="Calibri"/>
          <w:color w:val="000000"/>
          <w:sz w:val="22"/>
          <w:szCs w:val="22"/>
          <w:lang w:eastAsia="zh-CN"/>
        </w:rPr>
        <w:t>abiotic surface</w:t>
      </w:r>
      <w:r w:rsidR="00BC4626">
        <w:rPr>
          <w:rFonts w:asciiTheme="minorHAnsi" w:eastAsia="Calibri" w:hAnsiTheme="minorHAnsi" w:cs="Calibri"/>
          <w:color w:val="000000"/>
          <w:sz w:val="22"/>
          <w:szCs w:val="22"/>
          <w:lang w:eastAsia="zh-CN"/>
        </w:rPr>
        <w:t>s</w:t>
      </w:r>
      <w:r w:rsidR="00C00071">
        <w:rPr>
          <w:rFonts w:asciiTheme="minorHAnsi" w:eastAsia="Calibri" w:hAnsiTheme="minorHAnsi" w:cs="Calibri"/>
          <w:color w:val="000000"/>
          <w:sz w:val="22"/>
          <w:szCs w:val="22"/>
          <w:lang w:eastAsia="zh-CN"/>
        </w:rPr>
        <w:t xml:space="preserve">, owing to the different </w:t>
      </w:r>
      <w:r w:rsidR="00BC4626">
        <w:rPr>
          <w:rFonts w:asciiTheme="minorHAnsi" w:eastAsia="Calibri" w:hAnsiTheme="minorHAnsi" w:cs="Calibri"/>
          <w:color w:val="000000"/>
          <w:sz w:val="22"/>
          <w:szCs w:val="22"/>
          <w:lang w:eastAsia="zh-CN"/>
        </w:rPr>
        <w:t xml:space="preserve">adhesive </w:t>
      </w:r>
      <w:r w:rsidR="00C00071">
        <w:rPr>
          <w:rFonts w:asciiTheme="minorHAnsi" w:eastAsia="Calibri" w:hAnsiTheme="minorHAnsi" w:cs="Calibri"/>
          <w:color w:val="000000"/>
          <w:sz w:val="22"/>
          <w:szCs w:val="22"/>
          <w:lang w:eastAsia="zh-CN"/>
        </w:rPr>
        <w:t>requirements from an abiotic surface. This is testament to the ability of microorganisms to readily adapt to changing environments, such as growth on PVC or PETG, and highlights the importance of the abiotic surface</w:t>
      </w:r>
      <w:r w:rsidR="00C00071">
        <w:rPr>
          <w:rFonts w:asciiTheme="minorHAnsi" w:eastAsia="Calibri" w:hAnsiTheme="minorHAnsi" w:cs="Calibri"/>
          <w:i/>
          <w:color w:val="000000"/>
          <w:sz w:val="22"/>
          <w:szCs w:val="22"/>
          <w:lang w:eastAsia="zh-CN"/>
        </w:rPr>
        <w:t xml:space="preserve"> </w:t>
      </w:r>
      <w:r w:rsidR="00C00071">
        <w:rPr>
          <w:rFonts w:asciiTheme="minorHAnsi" w:eastAsia="Calibri" w:hAnsiTheme="minorHAnsi" w:cs="Calibri"/>
          <w:color w:val="000000"/>
          <w:sz w:val="22"/>
          <w:szCs w:val="22"/>
          <w:lang w:eastAsia="zh-CN"/>
        </w:rPr>
        <w:t xml:space="preserve">as a key </w:t>
      </w:r>
      <w:r w:rsidRPr="00C44D8C">
        <w:rPr>
          <w:rFonts w:asciiTheme="minorHAnsi" w:eastAsia="Calibri" w:hAnsiTheme="minorHAnsi" w:cs="Calibri"/>
          <w:color w:val="000000"/>
          <w:sz w:val="22"/>
          <w:szCs w:val="22"/>
          <w:lang w:eastAsia="zh-CN"/>
        </w:rPr>
        <w:t>environment</w:t>
      </w:r>
      <w:r w:rsidR="00C00071">
        <w:rPr>
          <w:rFonts w:asciiTheme="minorHAnsi" w:eastAsia="Calibri" w:hAnsiTheme="minorHAnsi" w:cs="Calibri"/>
          <w:color w:val="000000"/>
          <w:sz w:val="22"/>
          <w:szCs w:val="22"/>
          <w:lang w:eastAsia="zh-CN"/>
        </w:rPr>
        <w:t>al factor for biofilm formation</w:t>
      </w:r>
      <w:r w:rsidRPr="00C44D8C">
        <w:rPr>
          <w:rFonts w:asciiTheme="minorHAnsi" w:eastAsia="Calibri" w:hAnsiTheme="minorHAnsi" w:cs="Calibri"/>
          <w:color w:val="000000"/>
          <w:sz w:val="22"/>
          <w:szCs w:val="22"/>
          <w:lang w:eastAsia="zh-CN"/>
        </w:rPr>
        <w:t xml:space="preserve">.  </w:t>
      </w:r>
    </w:p>
    <w:p w14:paraId="6FAC010E" w14:textId="03F6EB44" w:rsidR="00436CD0" w:rsidRPr="00C44D8C" w:rsidRDefault="00436CD0" w:rsidP="008D018C">
      <w:pPr>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It is feasible that biofilm formation in </w:t>
      </w:r>
      <w:r w:rsidRPr="00C44D8C">
        <w:rPr>
          <w:rFonts w:asciiTheme="minorHAnsi" w:eastAsia="Calibri" w:hAnsiTheme="minorHAnsi" w:cs="Calibri"/>
          <w:i/>
          <w:iCs/>
          <w:color w:val="000000"/>
          <w:sz w:val="22"/>
          <w:szCs w:val="22"/>
          <w:lang w:eastAsia="zh-CN"/>
        </w:rPr>
        <w:t>M. barkeri</w:t>
      </w:r>
      <w:r w:rsidRPr="00C44D8C">
        <w:rPr>
          <w:rFonts w:asciiTheme="minorHAnsi" w:eastAsia="Calibri" w:hAnsiTheme="minorHAnsi" w:cs="Calibri"/>
          <w:color w:val="000000"/>
          <w:sz w:val="22"/>
          <w:szCs w:val="22"/>
          <w:lang w:eastAsia="zh-CN"/>
        </w:rPr>
        <w:t xml:space="preserve"> may proceed in a similar fashion to bacteria, in which the initial attachment of cells to a surface induces key cell surface changes, such as the production of </w:t>
      </w:r>
      <w:r w:rsidR="00BE5368">
        <w:rPr>
          <w:rFonts w:asciiTheme="minorHAnsi" w:eastAsia="Calibri" w:hAnsiTheme="minorHAnsi" w:cs="Calibri"/>
          <w:color w:val="000000"/>
          <w:sz w:val="22"/>
          <w:szCs w:val="22"/>
          <w:lang w:eastAsia="zh-CN"/>
        </w:rPr>
        <w:t>exo</w:t>
      </w:r>
      <w:r w:rsidRPr="00C44D8C">
        <w:rPr>
          <w:rFonts w:asciiTheme="minorHAnsi" w:eastAsia="Calibri" w:hAnsiTheme="minorHAnsi" w:cs="Calibri"/>
          <w:color w:val="000000"/>
          <w:sz w:val="22"/>
          <w:szCs w:val="22"/>
          <w:lang w:eastAsia="zh-CN"/>
        </w:rPr>
        <w:t>polysaccharides to facilitate irreversible attachment</w:t>
      </w:r>
      <w:r w:rsidR="00C43328">
        <w:rPr>
          <w:rFonts w:asciiTheme="minorHAnsi" w:eastAsia="Calibri" w:hAnsiTheme="minorHAnsi" w:cs="Calibri"/>
          <w:color w:val="000000"/>
          <w:sz w:val="22"/>
          <w:szCs w:val="22"/>
          <w:lang w:eastAsia="zh-CN"/>
        </w:rPr>
        <w:t xml:space="preserve"> </w:t>
      </w:r>
      <w:r w:rsidR="00C43328">
        <w:rPr>
          <w:rFonts w:asciiTheme="minorHAnsi" w:eastAsia="Calibri" w:hAnsiTheme="minorHAnsi" w:cs="Calibri"/>
          <w:color w:val="000000"/>
          <w:sz w:val="22"/>
          <w:szCs w:val="22"/>
          <w:lang w:eastAsia="zh-CN"/>
        </w:rPr>
        <w:fldChar w:fldCharType="begin" w:fldLock="1"/>
      </w:r>
      <w:r w:rsidR="00AB0CFE">
        <w:rPr>
          <w:rFonts w:asciiTheme="minorHAnsi" w:eastAsia="Calibri" w:hAnsiTheme="minorHAnsi" w:cs="Calibri"/>
          <w:color w:val="000000"/>
          <w:sz w:val="22"/>
          <w:szCs w:val="22"/>
          <w:lang w:eastAsia="zh-CN"/>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"id" : "ITEM-2", "itemData" : { "ISSN" : "1350-0872", "PMID" : "11160795", "author" : [ { "dropping-particle" : "", "family" : "Sutherland", "given" : "I", "non-dropping-particle" : "", "parse-names" : false, "suffix" : "" } ], "container-title" : "Microbiology (Reading, England)", "id" : "ITEM-2", "issue" : "Pt 1", "issued" : { "date-parts" : [ [ "2001", "1" ] ] }, "page" : "3-9", "title" : "Biofilm exopolysaccharides: a strong and sticky framework.", "type" : "article-journal", "volume" : "147" }, "uris" : [ "http://www.mendeley.com/documents/?uuid=f90cdf2e-6f01-4f64-9182-74521c4abfe9" ] } ], "mendeley" : { "formattedCitation" : "[22,85]", "plainTextFormattedCitation" : "[22,85]", "previouslyFormattedCitation" : "[22,85]" }, "properties" : { "noteIndex" : 0 }, "schema" : "https://github.com/citation-style-language/schema/raw/master/csl-citation.json" }</w:instrText>
      </w:r>
      <w:r w:rsidR="00C43328">
        <w:rPr>
          <w:rFonts w:asciiTheme="minorHAnsi" w:eastAsia="Calibri" w:hAnsiTheme="minorHAnsi" w:cs="Calibri"/>
          <w:color w:val="000000"/>
          <w:sz w:val="22"/>
          <w:szCs w:val="22"/>
          <w:lang w:eastAsia="zh-CN"/>
        </w:rPr>
        <w:fldChar w:fldCharType="separate"/>
      </w:r>
      <w:r w:rsidR="00BB3D6F" w:rsidRPr="00BB3D6F">
        <w:rPr>
          <w:rFonts w:asciiTheme="minorHAnsi" w:eastAsia="Calibri" w:hAnsiTheme="minorHAnsi" w:cs="Calibri"/>
          <w:noProof/>
          <w:color w:val="000000"/>
          <w:sz w:val="22"/>
          <w:szCs w:val="22"/>
          <w:lang w:eastAsia="zh-CN"/>
        </w:rPr>
        <w:t>[22,85]</w:t>
      </w:r>
      <w:r w:rsidR="00C43328">
        <w:rPr>
          <w:rFonts w:asciiTheme="minorHAnsi" w:eastAsia="Calibri" w:hAnsiTheme="minorHAnsi" w:cs="Calibri"/>
          <w:color w:val="000000"/>
          <w:sz w:val="22"/>
          <w:szCs w:val="22"/>
          <w:lang w:eastAsia="zh-CN"/>
        </w:rPr>
        <w:fldChar w:fldCharType="end"/>
      </w:r>
      <w:r w:rsidR="00C43328">
        <w:rPr>
          <w:rFonts w:asciiTheme="minorHAnsi" w:eastAsia="Calibri" w:hAnsiTheme="minorHAnsi" w:cs="Calibri"/>
          <w:color w:val="000000"/>
          <w:sz w:val="22"/>
          <w:szCs w:val="22"/>
          <w:lang w:eastAsia="zh-CN"/>
        </w:rPr>
        <w:t>.</w:t>
      </w:r>
      <w:r w:rsidRPr="00C44D8C">
        <w:rPr>
          <w:rFonts w:asciiTheme="minorHAnsi" w:eastAsia="Calibri" w:hAnsiTheme="minorHAnsi" w:cs="Calibri"/>
          <w:color w:val="000000"/>
          <w:sz w:val="22"/>
          <w:szCs w:val="22"/>
          <w:lang w:eastAsia="zh-CN"/>
        </w:rPr>
        <w:t xml:space="preserve"> </w:t>
      </w:r>
      <w:r w:rsidR="00C43328">
        <w:rPr>
          <w:rFonts w:asciiTheme="minorHAnsi" w:eastAsia="Calibri" w:hAnsiTheme="minorHAnsi" w:cs="Calibri"/>
          <w:color w:val="000000"/>
          <w:sz w:val="22"/>
          <w:szCs w:val="22"/>
          <w:lang w:eastAsia="zh-CN"/>
        </w:rPr>
        <w:t>I</w:t>
      </w:r>
      <w:r w:rsidRPr="00C44D8C">
        <w:rPr>
          <w:rFonts w:asciiTheme="minorHAnsi" w:eastAsia="Calibri" w:hAnsiTheme="minorHAnsi" w:cs="Calibri"/>
          <w:color w:val="000000"/>
          <w:sz w:val="22"/>
          <w:szCs w:val="22"/>
          <w:lang w:eastAsia="zh-CN"/>
        </w:rPr>
        <w:t xml:space="preserve">ndeed, a mechanism of biological adaptation to abiotic surfaces is the production of EPS in response to attachment to a surface, and this is well known </w:t>
      </w:r>
      <w:r w:rsidR="00C43328">
        <w:rPr>
          <w:rFonts w:asciiTheme="minorHAnsi" w:eastAsia="Calibri" w:hAnsiTheme="minorHAnsi" w:cs="Calibri"/>
          <w:color w:val="000000"/>
          <w:sz w:val="22"/>
          <w:szCs w:val="22"/>
          <w:lang w:eastAsia="zh-CN"/>
        </w:rPr>
        <w:fldChar w:fldCharType="begin" w:fldLock="1"/>
      </w:r>
      <w:r w:rsidR="00C43328">
        <w:rPr>
          <w:rFonts w:asciiTheme="minorHAnsi" w:eastAsia="Calibri" w:hAnsiTheme="minorHAnsi" w:cs="Calibri"/>
          <w:color w:val="000000"/>
          <w:sz w:val="22"/>
          <w:szCs w:val="22"/>
          <w:lang w:eastAsia="zh-CN"/>
        </w:rPr>
        <w:instrText>ADDIN CSL_CITATION { "citationItems" : [ { "id" : "ITEM-1", "itemData" : { "DOI" : "10.1038/nrmicro2415", "ISSN" : "1740-1534", "PMID" : "20676145", "abstract" :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 "author" : [ { "dropping-particle" : "", "family" : "Flemming", "given" : "Hans-Curt", "non-dropping-particle" : "", "parse-names" : false, "suffix" : "" }, { "dropping-particle" : "", "family" : "Wingender", "given" : "Jost", "non-dropping-particle" : "", "parse-names" : false, "suffix" : "" } ], "container-title" : "Nature reviews. Microbiology", "id" : "ITEM-1", "issue" : "9", "issued" : { "date-parts" : [ [ "2010", "9" ] ] }, "page" : "623-33", "publisher" : "Nature Publishing Group", "title" : "The biofilm matrix.", "type" : "article-journal", "volume" : "8" }, "uris" : [ "http://www.mendeley.com/documents/?uuid=fe9f960b-59a2-4bd8-8a0d-3a3ef1a6a342" ] } ], "mendeley" : { "formattedCitation" : "[23]", "plainTextFormattedCitation" : "[23]", "previouslyFormattedCitation" : "[23]" }, "properties" : { "noteIndex" : 0 }, "schema" : "https://github.com/citation-style-language/schema/raw/master/csl-citation.json" }</w:instrText>
      </w:r>
      <w:r w:rsidR="00C43328">
        <w:rPr>
          <w:rFonts w:asciiTheme="minorHAnsi" w:eastAsia="Calibri" w:hAnsiTheme="minorHAnsi" w:cs="Calibri"/>
          <w:color w:val="000000"/>
          <w:sz w:val="22"/>
          <w:szCs w:val="22"/>
          <w:lang w:eastAsia="zh-CN"/>
        </w:rPr>
        <w:fldChar w:fldCharType="separate"/>
      </w:r>
      <w:r w:rsidR="00C43328" w:rsidRPr="00C43328">
        <w:rPr>
          <w:rFonts w:asciiTheme="minorHAnsi" w:eastAsia="Calibri" w:hAnsiTheme="minorHAnsi" w:cs="Calibri"/>
          <w:noProof/>
          <w:color w:val="000000"/>
          <w:sz w:val="22"/>
          <w:szCs w:val="22"/>
          <w:lang w:eastAsia="zh-CN"/>
        </w:rPr>
        <w:t>[23]</w:t>
      </w:r>
      <w:r w:rsidR="00C43328">
        <w:rPr>
          <w:rFonts w:asciiTheme="minorHAnsi" w:eastAsia="Calibri" w:hAnsiTheme="minorHAnsi" w:cs="Calibri"/>
          <w:color w:val="000000"/>
          <w:sz w:val="22"/>
          <w:szCs w:val="22"/>
          <w:lang w:eastAsia="zh-CN"/>
        </w:rPr>
        <w:fldChar w:fldCharType="end"/>
      </w:r>
      <w:r w:rsidRPr="00C44D8C">
        <w:rPr>
          <w:rFonts w:asciiTheme="minorHAnsi" w:eastAsia="Calibri" w:hAnsiTheme="minorHAnsi" w:cs="Calibri"/>
          <w:color w:val="000000"/>
          <w:sz w:val="22"/>
          <w:szCs w:val="22"/>
          <w:lang w:eastAsia="zh-CN"/>
        </w:rPr>
        <w:t xml:space="preserve">. </w:t>
      </w:r>
      <w:r w:rsidRPr="00C44D8C">
        <w:rPr>
          <w:rFonts w:asciiTheme="minorHAnsi" w:eastAsia="Arial" w:hAnsiTheme="minorHAnsi" w:cs="Arial"/>
          <w:color w:val="000000"/>
          <w:sz w:val="22"/>
          <w:szCs w:val="22"/>
          <w:lang w:eastAsia="zh-CN"/>
        </w:rPr>
        <w:t xml:space="preserve">Exopolysaccharides are known to interact with themselves, multivalent cations, cell surface proteins and glycoproteins to produce a biological layer that interacts with the external environment </w:t>
      </w:r>
      <w:r w:rsidR="00C43328">
        <w:rPr>
          <w:rFonts w:asciiTheme="minorHAnsi" w:eastAsia="Arial" w:hAnsiTheme="minorHAnsi" w:cs="Arial"/>
          <w:color w:val="000000"/>
          <w:sz w:val="22"/>
          <w:szCs w:val="22"/>
          <w:lang w:eastAsia="zh-CN"/>
        </w:rPr>
        <w:fldChar w:fldCharType="begin" w:fldLock="1"/>
      </w:r>
      <w:r w:rsidR="00AB0CFE">
        <w:rPr>
          <w:rFonts w:asciiTheme="minorHAnsi" w:eastAsia="Arial" w:hAnsiTheme="minorHAnsi" w:cs="Arial"/>
          <w:color w:val="000000"/>
          <w:sz w:val="22"/>
          <w:szCs w:val="22"/>
          <w:lang w:eastAsia="zh-CN"/>
        </w:rPr>
        <w:instrText>ADDIN CSL_CITATION { "citationItems" : [ { "id" : "ITEM-1", "itemData" : { "ISSN" : "1350-0872", "PMID" : "11160795", "author" : [ { "dropping-particle" : "", "family" : "Sutherland", "given" : "I", "non-dropping-particle" : "", "parse-names" : false, "suffix" : "" } ], "container-title" : "Microbiology (Reading, England)", "id" : "ITEM-1", "issue" : "Pt 1", "issued" : { "date-parts" : [ [ "2001", "1" ] ] }, "page" : "3-9", "title" : "Biofilm exopolysaccharides: a strong and sticky framework.", "type" : "article-journal", "volume" : "147" }, "uris" : [ "http://www.mendeley.com/documents/?uuid=f90cdf2e-6f01-4f64-9182-74521c4abfe9" ] } ], "mendeley" : { "formattedCitation" : "[85]", "plainTextFormattedCitation" : "[85]", "previouslyFormattedCitation" : "[85]" }, "properties" : { "noteIndex" : 0 }, "schema" : "https://github.com/citation-style-language/schema/raw/master/csl-citation.json" }</w:instrText>
      </w:r>
      <w:r w:rsidR="00C43328">
        <w:rPr>
          <w:rFonts w:asciiTheme="minorHAnsi" w:eastAsia="Arial" w:hAnsiTheme="minorHAnsi" w:cs="Arial"/>
          <w:color w:val="000000"/>
          <w:sz w:val="22"/>
          <w:szCs w:val="22"/>
          <w:lang w:eastAsia="zh-CN"/>
        </w:rPr>
        <w:fldChar w:fldCharType="separate"/>
      </w:r>
      <w:r w:rsidR="00BB3D6F" w:rsidRPr="00BB3D6F">
        <w:rPr>
          <w:rFonts w:asciiTheme="minorHAnsi" w:eastAsia="Arial" w:hAnsiTheme="minorHAnsi" w:cs="Arial"/>
          <w:noProof/>
          <w:color w:val="000000"/>
          <w:sz w:val="22"/>
          <w:szCs w:val="22"/>
          <w:lang w:eastAsia="zh-CN"/>
        </w:rPr>
        <w:t>[85]</w:t>
      </w:r>
      <w:r w:rsidR="00C43328">
        <w:rPr>
          <w:rFonts w:asciiTheme="minorHAnsi" w:eastAsia="Arial" w:hAnsiTheme="minorHAnsi" w:cs="Arial"/>
          <w:color w:val="000000"/>
          <w:sz w:val="22"/>
          <w:szCs w:val="22"/>
          <w:lang w:eastAsia="zh-CN"/>
        </w:rPr>
        <w:fldChar w:fldCharType="end"/>
      </w:r>
      <w:r w:rsidRPr="00C44D8C">
        <w:rPr>
          <w:rFonts w:asciiTheme="minorHAnsi" w:eastAsia="Arial" w:hAnsiTheme="minorHAnsi" w:cs="Arial"/>
          <w:color w:val="000000"/>
          <w:sz w:val="22"/>
          <w:szCs w:val="22"/>
          <w:lang w:eastAsia="zh-CN"/>
        </w:rPr>
        <w:t>, and form</w:t>
      </w:r>
      <w:r w:rsidR="00BE5368">
        <w:rPr>
          <w:rFonts w:asciiTheme="minorHAnsi" w:eastAsia="Arial" w:hAnsiTheme="minorHAnsi" w:cs="Arial"/>
          <w:color w:val="000000"/>
          <w:sz w:val="22"/>
          <w:szCs w:val="22"/>
          <w:lang w:eastAsia="zh-CN"/>
        </w:rPr>
        <w:t>s</w:t>
      </w:r>
      <w:r w:rsidRPr="00C44D8C">
        <w:rPr>
          <w:rFonts w:asciiTheme="minorHAnsi" w:eastAsia="Arial" w:hAnsiTheme="minorHAnsi" w:cs="Arial"/>
          <w:color w:val="000000"/>
          <w:sz w:val="22"/>
          <w:szCs w:val="22"/>
          <w:lang w:eastAsia="zh-CN"/>
        </w:rPr>
        <w:t xml:space="preserve"> an important physiological response to a surface-associated lifestyle</w:t>
      </w:r>
      <w:r w:rsidR="00C43328">
        <w:rPr>
          <w:rFonts w:asciiTheme="minorHAnsi" w:eastAsia="Arial" w:hAnsiTheme="minorHAnsi" w:cs="Arial"/>
          <w:color w:val="000000"/>
          <w:sz w:val="22"/>
          <w:szCs w:val="22"/>
          <w:lang w:eastAsia="zh-CN"/>
        </w:rPr>
        <w:t xml:space="preserve"> </w:t>
      </w:r>
      <w:r w:rsidR="00C43328">
        <w:rPr>
          <w:rFonts w:asciiTheme="minorHAnsi" w:eastAsia="Arial" w:hAnsiTheme="minorHAnsi" w:cs="Arial"/>
          <w:color w:val="000000"/>
          <w:sz w:val="22"/>
          <w:szCs w:val="22"/>
          <w:lang w:eastAsia="zh-CN"/>
        </w:rPr>
        <w:fldChar w:fldCharType="begin" w:fldLock="1"/>
      </w:r>
      <w:r w:rsidR="007E3308">
        <w:rPr>
          <w:rFonts w:asciiTheme="minorHAnsi" w:eastAsia="Arial" w:hAnsiTheme="minorHAnsi" w:cs="Arial"/>
          <w:color w:val="000000"/>
          <w:sz w:val="22"/>
          <w:szCs w:val="22"/>
          <w:lang w:eastAsia="zh-CN"/>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"id" : "ITEM-2", "itemData" : { "DOI" : "10.1016/S1369-5274(00)00206-X", "ISBN" : "1369-5274", "ISSN" : "13695274", "PMID" : "11378482", "abstract" : "Population level studies demonstrate that bacterial colonization of surfaces and subsequent biofilm architecture are controlled by a variety of factors that include the hydrodynamics, surface chemistry and genotype of the cell. New molecular tools now extend our ability to investigate among bacterial cells within a surface-associated population subtle phenotypic differences that do not involve changes in genotype. Such resolution has led to new discoveries in relationships between bacterial cells and their environment. ?? 2001 Elsevier Science Ltd.", "author" : [ { "dropping-particle" : "", "family" : "Geesey", "given" : "Gill G.", "non-dropping-particle" : "", "parse-names" : false, "suffix" : "" } ], "container-title" : "Current Opinion in Microbiology", "id" : "ITEM-2", "issue" : "3", "issued" : { "date-parts" : [ [ "2001" ] ] }, "page" : "296-300", "title" : "Bacterial behavior at surfaces", "type" : "article-journal", "volume" : "4" }, "uris" : [ "http://www.mendeley.com/documents/?uuid=8b23d0fb-a060-45fb-af80-0307544695d5" ] } ], "mendeley" : { "formattedCitation" : "[22,194]", "plainTextFormattedCitation" : "[22,194]", "previouslyFormattedCitation" : "[22,194]" }, "properties" : { "noteIndex" : 0 }, "schema" : "https://github.com/citation-style-language/schema/raw/master/csl-citation.json" }</w:instrText>
      </w:r>
      <w:r w:rsidR="00C43328">
        <w:rPr>
          <w:rFonts w:asciiTheme="minorHAnsi" w:eastAsia="Arial" w:hAnsiTheme="minorHAnsi" w:cs="Arial"/>
          <w:color w:val="000000"/>
          <w:sz w:val="22"/>
          <w:szCs w:val="22"/>
          <w:lang w:eastAsia="zh-CN"/>
        </w:rPr>
        <w:fldChar w:fldCharType="separate"/>
      </w:r>
      <w:r w:rsidR="007E3308" w:rsidRPr="007E3308">
        <w:rPr>
          <w:rFonts w:asciiTheme="minorHAnsi" w:eastAsia="Arial" w:hAnsiTheme="minorHAnsi" w:cs="Arial"/>
          <w:noProof/>
          <w:color w:val="000000"/>
          <w:sz w:val="22"/>
          <w:szCs w:val="22"/>
          <w:lang w:eastAsia="zh-CN"/>
        </w:rPr>
        <w:t>[22,194]</w:t>
      </w:r>
      <w:r w:rsidR="00C43328">
        <w:rPr>
          <w:rFonts w:asciiTheme="minorHAnsi" w:eastAsia="Arial" w:hAnsiTheme="minorHAnsi" w:cs="Arial"/>
          <w:color w:val="000000"/>
          <w:sz w:val="22"/>
          <w:szCs w:val="22"/>
          <w:lang w:eastAsia="zh-CN"/>
        </w:rPr>
        <w:fldChar w:fldCharType="end"/>
      </w:r>
      <w:r w:rsidRPr="00C44D8C">
        <w:rPr>
          <w:rFonts w:asciiTheme="minorHAnsi" w:eastAsia="Arial" w:hAnsiTheme="minorHAnsi" w:cs="Arial"/>
          <w:color w:val="000000"/>
          <w:sz w:val="22"/>
          <w:szCs w:val="22"/>
          <w:lang w:eastAsia="zh-CN"/>
        </w:rPr>
        <w:t>. Fluorescent staining</w:t>
      </w:r>
      <w:r w:rsidR="00BE5368">
        <w:rPr>
          <w:rFonts w:asciiTheme="minorHAnsi" w:eastAsia="Arial" w:hAnsiTheme="minorHAnsi" w:cs="Arial"/>
          <w:color w:val="000000"/>
          <w:sz w:val="22"/>
          <w:szCs w:val="22"/>
          <w:lang w:eastAsia="zh-CN"/>
        </w:rPr>
        <w:t xml:space="preserve"> </w:t>
      </w:r>
      <w:r w:rsidR="00BE5368" w:rsidRPr="00C44D8C">
        <w:rPr>
          <w:rFonts w:asciiTheme="minorHAnsi" w:eastAsia="Arial" w:hAnsiTheme="minorHAnsi" w:cs="Arial"/>
          <w:color w:val="000000"/>
          <w:sz w:val="22"/>
          <w:szCs w:val="22"/>
          <w:lang w:eastAsia="zh-CN"/>
        </w:rPr>
        <w:t xml:space="preserve">of </w:t>
      </w:r>
      <w:r w:rsidR="00BE5368">
        <w:rPr>
          <w:rFonts w:asciiTheme="minorHAnsi" w:eastAsia="Arial" w:hAnsiTheme="minorHAnsi" w:cs="Arial"/>
          <w:color w:val="000000"/>
          <w:sz w:val="22"/>
          <w:szCs w:val="22"/>
          <w:lang w:eastAsia="zh-CN"/>
        </w:rPr>
        <w:t xml:space="preserve">the </w:t>
      </w:r>
      <w:r w:rsidR="00BE5368" w:rsidRPr="00C44D8C">
        <w:rPr>
          <w:rFonts w:asciiTheme="minorHAnsi" w:eastAsia="Arial" w:hAnsiTheme="minorHAnsi" w:cs="Arial"/>
          <w:color w:val="000000"/>
          <w:sz w:val="22"/>
          <w:szCs w:val="22"/>
          <w:lang w:eastAsia="zh-CN"/>
        </w:rPr>
        <w:t xml:space="preserve">major </w:t>
      </w:r>
      <w:r w:rsidR="00BE5368">
        <w:rPr>
          <w:rFonts w:asciiTheme="minorHAnsi" w:eastAsia="Arial" w:hAnsiTheme="minorHAnsi" w:cs="Arial"/>
          <w:color w:val="000000"/>
          <w:sz w:val="22"/>
          <w:szCs w:val="22"/>
          <w:lang w:eastAsia="zh-CN"/>
        </w:rPr>
        <w:t xml:space="preserve">EPS components, </w:t>
      </w:r>
      <w:r w:rsidR="00BE5368" w:rsidRPr="00C44D8C">
        <w:rPr>
          <w:rFonts w:asciiTheme="minorHAnsi" w:eastAsia="Arial" w:hAnsiTheme="minorHAnsi" w:cs="Arial"/>
          <w:color w:val="000000"/>
          <w:sz w:val="22"/>
          <w:szCs w:val="22"/>
          <w:lang w:eastAsia="zh-CN"/>
        </w:rPr>
        <w:t>mannose and glucose residues</w:t>
      </w:r>
      <w:r w:rsidR="00390744">
        <w:rPr>
          <w:rFonts w:asciiTheme="minorHAnsi" w:eastAsia="Arial" w:hAnsiTheme="minorHAnsi" w:cs="Arial"/>
          <w:color w:val="000000"/>
          <w:sz w:val="22"/>
          <w:szCs w:val="22"/>
          <w:lang w:eastAsia="zh-CN"/>
        </w:rPr>
        <w:t xml:space="preserve">, </w:t>
      </w:r>
      <w:r w:rsidR="00390744" w:rsidRPr="00C44D8C">
        <w:rPr>
          <w:rFonts w:asciiTheme="minorHAnsi" w:eastAsia="Arial" w:hAnsiTheme="minorHAnsi" w:cs="Arial"/>
          <w:color w:val="000000"/>
          <w:sz w:val="22"/>
          <w:szCs w:val="22"/>
          <w:lang w:eastAsia="zh-CN"/>
        </w:rPr>
        <w:t>with ConA</w:t>
      </w:r>
      <w:r w:rsidR="00390744">
        <w:rPr>
          <w:rFonts w:asciiTheme="minorHAnsi" w:eastAsia="Arial" w:hAnsiTheme="minorHAnsi" w:cs="Arial"/>
          <w:color w:val="000000"/>
          <w:sz w:val="22"/>
          <w:szCs w:val="22"/>
          <w:lang w:eastAsia="zh-CN"/>
        </w:rPr>
        <w:t xml:space="preserve">, </w:t>
      </w:r>
      <w:r w:rsidR="00BE5368">
        <w:rPr>
          <w:rFonts w:asciiTheme="minorHAnsi" w:eastAsia="Arial" w:hAnsiTheme="minorHAnsi" w:cs="Arial"/>
          <w:color w:val="000000"/>
          <w:sz w:val="22"/>
          <w:szCs w:val="22"/>
          <w:lang w:eastAsia="zh-CN"/>
        </w:rPr>
        <w:t xml:space="preserve">have shown </w:t>
      </w:r>
      <w:r w:rsidRPr="00C44D8C">
        <w:rPr>
          <w:rFonts w:asciiTheme="minorHAnsi" w:eastAsia="Arial" w:hAnsiTheme="minorHAnsi" w:cs="Arial"/>
          <w:color w:val="000000"/>
          <w:sz w:val="22"/>
          <w:szCs w:val="22"/>
          <w:lang w:eastAsia="zh-CN"/>
        </w:rPr>
        <w:t xml:space="preserve">the production of </w:t>
      </w:r>
      <w:r w:rsidR="00390744">
        <w:rPr>
          <w:rFonts w:asciiTheme="minorHAnsi" w:eastAsia="Arial" w:hAnsiTheme="minorHAnsi" w:cs="Arial"/>
          <w:color w:val="000000"/>
          <w:sz w:val="22"/>
          <w:szCs w:val="22"/>
          <w:lang w:eastAsia="zh-CN"/>
        </w:rPr>
        <w:t>these sugar</w:t>
      </w:r>
      <w:r w:rsidRPr="00C44D8C">
        <w:rPr>
          <w:rFonts w:asciiTheme="minorHAnsi" w:eastAsia="Arial" w:hAnsiTheme="minorHAnsi" w:cs="Arial"/>
          <w:color w:val="000000"/>
          <w:sz w:val="22"/>
          <w:szCs w:val="22"/>
          <w:lang w:eastAsia="zh-CN"/>
        </w:rPr>
        <w:t xml:space="preserve"> residues in </w:t>
      </w:r>
      <w:r w:rsidR="007B7AA5" w:rsidRPr="00C44D8C">
        <w:rPr>
          <w:rFonts w:asciiTheme="minorHAnsi" w:eastAsia="Calibri" w:hAnsiTheme="minorHAnsi" w:cs="Calibri"/>
          <w:i/>
          <w:color w:val="000000"/>
          <w:sz w:val="22"/>
          <w:szCs w:val="22"/>
          <w:lang w:eastAsia="zh-CN"/>
        </w:rPr>
        <w:t>S. acidocaldarius</w:t>
      </w:r>
      <w:r w:rsidR="007B7AA5" w:rsidRPr="00C44D8C">
        <w:rPr>
          <w:rFonts w:asciiTheme="minorHAnsi" w:eastAsia="Calibri" w:hAnsiTheme="minorHAnsi" w:cs="Calibri"/>
          <w:color w:val="000000"/>
          <w:sz w:val="22"/>
          <w:szCs w:val="22"/>
          <w:lang w:eastAsia="zh-CN"/>
        </w:rPr>
        <w:t xml:space="preserve">, </w:t>
      </w:r>
      <w:r w:rsidR="007B7AA5" w:rsidRPr="00C44D8C">
        <w:rPr>
          <w:rFonts w:asciiTheme="minorHAnsi" w:eastAsia="Calibri" w:hAnsiTheme="minorHAnsi" w:cs="Calibri"/>
          <w:i/>
          <w:color w:val="000000"/>
          <w:sz w:val="22"/>
          <w:szCs w:val="22"/>
          <w:lang w:eastAsia="zh-CN"/>
        </w:rPr>
        <w:t>S. solfataricus</w:t>
      </w:r>
      <w:r w:rsidR="007B7AA5" w:rsidRPr="00C44D8C">
        <w:rPr>
          <w:rFonts w:asciiTheme="minorHAnsi" w:eastAsia="Calibri" w:hAnsiTheme="minorHAnsi" w:cs="Calibri"/>
          <w:color w:val="000000"/>
          <w:sz w:val="22"/>
          <w:szCs w:val="22"/>
          <w:lang w:eastAsia="zh-CN"/>
        </w:rPr>
        <w:t xml:space="preserve"> and </w:t>
      </w:r>
      <w:r w:rsidR="007B7AA5" w:rsidRPr="00C44D8C">
        <w:rPr>
          <w:rFonts w:asciiTheme="minorHAnsi" w:eastAsia="Calibri" w:hAnsiTheme="minorHAnsi" w:cs="Calibri"/>
          <w:i/>
          <w:color w:val="000000"/>
          <w:sz w:val="22"/>
          <w:szCs w:val="22"/>
          <w:lang w:eastAsia="zh-CN"/>
        </w:rPr>
        <w:t xml:space="preserve">S. tokodaii </w:t>
      </w:r>
      <w:r w:rsidR="007B7AA5">
        <w:rPr>
          <w:rFonts w:asciiTheme="minorHAnsi" w:eastAsia="Calibri" w:hAnsiTheme="minorHAnsi" w:cs="Calibri"/>
          <w:i/>
          <w:color w:val="000000"/>
          <w:sz w:val="22"/>
          <w:szCs w:val="22"/>
          <w:lang w:eastAsia="zh-CN"/>
        </w:rPr>
        <w:fldChar w:fldCharType="begin" w:fldLock="1"/>
      </w:r>
      <w:r w:rsidR="00AF47D2">
        <w:rPr>
          <w:rFonts w:asciiTheme="minorHAnsi" w:eastAsia="Calibri" w:hAnsiTheme="minorHAnsi" w:cs="Calibri"/>
          <w:i/>
          <w:color w:val="000000"/>
          <w:sz w:val="22"/>
          <w:szCs w:val="22"/>
          <w:lang w:eastAsia="zh-CN"/>
        </w:rPr>
        <w:instrText>ADDIN CSL_CITATION { "citationItems" : [ { "id" : "ITEM-1", "itemData" : { "DOI" : "10.1371/journal.pone.0014104", "ISSN" : "1932-6203", "PMID" : "21124788", "abstract" : "BACKGROUND: Biofilm formation has been studied in much detail for a variety of bacterial species, as it plays a major role in the pathogenicity of bacteria. However, only limited information is available for the development of archaeal communities that are frequently found in many natural environments.\n\nMETHODOLOGY: We have analyzed biofilm formation in three closely related hyperthermophilic crenarchaeotes: Sulfolobus acidocaldarius, S. solfataricus and S. tokodaii. We established a microtitre plate assay adapted to high temperatures to determine how pH and temperature influence biofilm formation in these organisms. Biofilm analysis by confocal laser scanning microscopy demonstrated that the three strains form very different communities ranging from simple carpet-like structures in S. solfataricus to high density tower-like structures in S. acidocaldarius in static systems. Lectin staining indicated that all three strains produced extracellular polysaccharides containing glucose, galactose, mannose and N-acetylglucosamine once biofilm formation was initiated. While flagella mutants had no phenotype in two days old static biofilms of S. solfataricus, a UV-induced pili deletion mutant showed decreased attachment of cells.\n\nCONCLUSION: The study gives first insights into formation and development of crenarchaeal biofilms in extreme environments.", "author" : [ { "dropping-particle" : "", "family" : "Koerdt", "given" : "Andrea", "non-dropping-particle" : "", "parse-names" : false, "suffix" : "" }, { "dropping-particle" : "", "family" : "G\u00f6deke", "given" : "Julia", "non-dropping-particle" : "", "parse-names" : false, "suffix" : "" }, { "dropping-particle" : "", "family" : "Berger", "given" : "J\u00fcrgen", "non-dropping-particle" : "", "parse-names" : false, "suffix" : "" }, { "dropping-particle" : "", "family" : "Thormann", "given" : "Kai M", "non-dropping-particle" : "", "parse-names" : false, "suffix" : "" }, { "dropping-particle" : "", "family" : "Albers", "given" : "Sonja-Verena", "non-dropping-particle" : "", "parse-names" : false, "suffix" : "" } ], "container-title" : "PloS one", "id" : "ITEM-1", "issue" : "11", "issued" : { "date-parts" : [ [ "2010", "1" ] ] }, "page" : "e14104", "title" : "Crenarchaeal biofilm formation under extreme conditions.", "type" : "article-journal", "volume" : "5" }, "uris" : [ "http://www.mendeley.com/documents/?uuid=9262f2e8-09a6-421b-bdaf-0d81a060cadd" ] } ], "mendeley" : { "formattedCitation" : "[64]", "plainTextFormattedCitation" : "[64]", "previouslyFormattedCitation" : "[64]" }, "properties" : { "noteIndex" : 0 }, "schema" : "https://github.com/citation-style-language/schema/raw/master/csl-citation.json" }</w:instrText>
      </w:r>
      <w:r w:rsidR="007B7AA5">
        <w:rPr>
          <w:rFonts w:asciiTheme="minorHAnsi" w:eastAsia="Calibri" w:hAnsiTheme="minorHAnsi" w:cs="Calibri"/>
          <w:i/>
          <w:color w:val="000000"/>
          <w:sz w:val="22"/>
          <w:szCs w:val="22"/>
          <w:lang w:eastAsia="zh-CN"/>
        </w:rPr>
        <w:fldChar w:fldCharType="separate"/>
      </w:r>
      <w:r w:rsidR="00AF47D2" w:rsidRPr="00AF47D2">
        <w:rPr>
          <w:rFonts w:asciiTheme="minorHAnsi" w:eastAsia="Calibri" w:hAnsiTheme="minorHAnsi" w:cs="Calibri"/>
          <w:noProof/>
          <w:color w:val="000000"/>
          <w:sz w:val="22"/>
          <w:szCs w:val="22"/>
          <w:lang w:eastAsia="zh-CN"/>
        </w:rPr>
        <w:t>[64]</w:t>
      </w:r>
      <w:r w:rsidR="007B7AA5">
        <w:rPr>
          <w:rFonts w:asciiTheme="minorHAnsi" w:eastAsia="Calibri" w:hAnsiTheme="minorHAnsi" w:cs="Calibri"/>
          <w:i/>
          <w:color w:val="000000"/>
          <w:sz w:val="22"/>
          <w:szCs w:val="22"/>
          <w:lang w:eastAsia="zh-CN"/>
        </w:rPr>
        <w:fldChar w:fldCharType="end"/>
      </w:r>
      <w:r w:rsidR="007B7AA5" w:rsidRPr="00C44D8C">
        <w:rPr>
          <w:rFonts w:asciiTheme="minorHAnsi" w:eastAsia="Calibri" w:hAnsiTheme="minorHAnsi" w:cs="Calibri"/>
          <w:iCs/>
          <w:color w:val="000000"/>
          <w:sz w:val="22"/>
          <w:szCs w:val="22"/>
          <w:lang w:eastAsia="zh-CN"/>
        </w:rPr>
        <w:t xml:space="preserve">, and in the methanogens, </w:t>
      </w:r>
      <w:r w:rsidR="007B7AA5">
        <w:rPr>
          <w:rFonts w:asciiTheme="minorHAnsi" w:eastAsia="Calibri" w:hAnsiTheme="minorHAnsi" w:cs="Calibri"/>
          <w:i/>
          <w:color w:val="000000"/>
          <w:sz w:val="22"/>
          <w:szCs w:val="22"/>
          <w:lang w:eastAsia="zh-CN"/>
        </w:rPr>
        <w:t>M.</w:t>
      </w:r>
      <w:r w:rsidR="007B7AA5" w:rsidRPr="00C44D8C">
        <w:rPr>
          <w:rFonts w:asciiTheme="minorHAnsi" w:eastAsia="Calibri" w:hAnsiTheme="minorHAnsi" w:cs="Calibri"/>
          <w:i/>
          <w:color w:val="000000"/>
          <w:sz w:val="22"/>
          <w:szCs w:val="22"/>
          <w:lang w:eastAsia="zh-CN"/>
        </w:rPr>
        <w:t xml:space="preserve"> stadtmanae</w:t>
      </w:r>
      <w:r w:rsidR="007B7AA5" w:rsidRPr="00C44D8C">
        <w:rPr>
          <w:rFonts w:asciiTheme="minorHAnsi" w:eastAsia="Calibri" w:hAnsiTheme="minorHAnsi" w:cs="Calibri"/>
          <w:color w:val="000000"/>
          <w:sz w:val="22"/>
          <w:szCs w:val="22"/>
          <w:lang w:eastAsia="zh-CN"/>
        </w:rPr>
        <w:t xml:space="preserve"> and </w:t>
      </w:r>
      <w:r w:rsidR="007B7AA5" w:rsidRPr="00C44D8C">
        <w:rPr>
          <w:rFonts w:asciiTheme="minorHAnsi" w:eastAsia="Calibri" w:hAnsiTheme="minorHAnsi" w:cs="Calibri"/>
          <w:i/>
          <w:color w:val="000000"/>
          <w:sz w:val="22"/>
          <w:szCs w:val="22"/>
          <w:lang w:eastAsia="zh-CN"/>
        </w:rPr>
        <w:t>M</w:t>
      </w:r>
      <w:r w:rsidR="007B7AA5">
        <w:rPr>
          <w:rFonts w:asciiTheme="minorHAnsi" w:eastAsia="Calibri" w:hAnsiTheme="minorHAnsi" w:cs="Calibri"/>
          <w:i/>
          <w:color w:val="000000"/>
          <w:sz w:val="22"/>
          <w:szCs w:val="22"/>
          <w:lang w:eastAsia="zh-CN"/>
        </w:rPr>
        <w:t>.</w:t>
      </w:r>
      <w:r w:rsidR="007B7AA5" w:rsidRPr="00C44D8C">
        <w:rPr>
          <w:rFonts w:asciiTheme="minorHAnsi" w:eastAsia="Calibri" w:hAnsiTheme="minorHAnsi" w:cs="Calibri"/>
          <w:i/>
          <w:color w:val="000000"/>
          <w:sz w:val="22"/>
          <w:szCs w:val="22"/>
          <w:lang w:eastAsia="zh-CN"/>
        </w:rPr>
        <w:t xml:space="preserve"> smithii</w:t>
      </w:r>
      <w:r w:rsidR="007B7AA5" w:rsidRPr="00C44D8C">
        <w:rPr>
          <w:rFonts w:asciiTheme="minorHAnsi" w:eastAsia="Calibri" w:hAnsiTheme="minorHAnsi" w:cs="Calibri"/>
          <w:color w:val="000000"/>
          <w:sz w:val="22"/>
          <w:szCs w:val="22"/>
          <w:lang w:eastAsia="zh-CN"/>
        </w:rPr>
        <w:t xml:space="preserve"> </w:t>
      </w:r>
      <w:r w:rsidR="007B7AA5">
        <w:rPr>
          <w:rFonts w:asciiTheme="minorHAnsi" w:eastAsia="Calibri" w:hAnsiTheme="minorHAnsi" w:cs="Calibri"/>
          <w:color w:val="000000"/>
          <w:sz w:val="22"/>
          <w:szCs w:val="22"/>
          <w:lang w:eastAsia="zh-CN"/>
        </w:rPr>
        <w:fldChar w:fldCharType="begin" w:fldLock="1"/>
      </w:r>
      <w:r w:rsidR="00F6573E">
        <w:rPr>
          <w:rFonts w:asciiTheme="minorHAnsi" w:eastAsia="Calibri" w:hAnsiTheme="minorHAnsi" w:cs="Calibri"/>
          <w:color w:val="000000"/>
          <w:sz w:val="22"/>
          <w:szCs w:val="22"/>
          <w:lang w:eastAsia="zh-CN"/>
        </w:rPr>
        <w:instrText>ADDIN CSL_CITATION { "citationItems" : [ { "id" : "ITEM-1", "itemData" : { "DOI" : "10.3389/fmicb.2014.00353", "ISSN" : "1664-302X", "PMID" : "25071757", "abstract" : "Although in nature most microorganisms are known to occur predominantly in consortia or biofilms, data on archaeal biofilm formation are in general scarce. Here, the ability of three methanoarchaeal strains, Methanobrevibacter smithii and Methanosphaera stadtmanae, which form part of the human gut microbiota, and the Methanosarcina mazei strain G\u00f61 to grow on different surfaces and form biofilms was investigated. All three strains adhered to the substrate mica and grew predominantly as bilayers on its surface as demonstrated by confocal laser scanning microscopy analyses, though the formation of multi-layered biofilms of Methanosphaera stadtmanae and Methanobrevibacter smithii was observed as well. Stable biofilm formation was further confirmed by scanning electron microscopy analysis. Methanosarcina mazei and Methanobrevibacter smithii also formed multi-layered biofilms in uncoated plastic \u03bc-dishes(TM), which were very similar in morphology and reached a height of up to 40 \u03bcm. In contrast, biofilms formed by Methanosphaera stadtmanae reached only a height of 2 \u03bcm. Staining with the two lectins ConA and IB4 indicated that all three strains produced relatively low amounts of extracellular polysaccharides most likely containing glucose, mannose, and galactose. Taken together, this study provides the first evidence that methanoarchaea can develop and form biofilms on different substrates and thus, will contribute to our knowledge on the appearance and physiological role of Methanobrevibacter smithii and Methanosphaera stadtmanae in the human intestine.", "author" : [ { "dropping-particle" : "", "family" : "Bang", "given" : "Corinna", "non-dropping-particle" : "", "parse-names" : false, "suffix" : "" }, { "dropping-particle" : "", "family" : "Ehlers", "given" : "Claudia", "non-dropping-particle" : "", "parse-names" : false, "suffix" : "" }, { "dropping-particle" : "", "family" : "Orell", "given" : "Alvaro", "non-dropping-particle" : "", "parse-names" : false, "suffix" : "" }, { "dropping-particle" : "", "family" : "Prasse", "given" : "Daniela", "non-dropping-particle" : "", "parse-names" : false, "suffix" : "" }, { "dropping-particle" : "", "family" : "Spinner", "given" : "Marlene", "non-dropping-particle" : "", "parse-names" : false, "suffix" : "" }, { "dropping-particle" : "", "family" : "Gorb", "given" : "Stanislav N", "non-dropping-particle" : "", "parse-names" : false, "suffix" : "" }, { "dropping-particle" : "", "family" : "Albers", "given" : "Sonja-Verena", "non-dropping-particle" : "", "parse-names" : false, "suffix" : "" }, { "dropping-particle" : "", "family" : "Schmitz", "given" : "Ruth a", "non-dropping-particle" : "", "parse-names" : false, "suffix" : "" } ], "container-title" : "Frontiers in microbiology", "id" : "ITEM-1", "issue" : "July", "issued" : { "date-parts" : [ [ "2014", "1" ] ] }, "page" : "353", "title" : "Biofilm formation of mucosa-associated methanoarchaeal strains.", "type" : "article-journal", "volume" : "5" }, "uris" : [ "http://www.mendeley.com/documents/?uuid=32a7e40a-8f85-4f4b-a0bd-b51d05eda89c" ] } ], "mendeley" : { "formattedCitation" : "[57]", "plainTextFormattedCitation" : "[57]", "previouslyFormattedCitation" : "[57]" }, "properties" : { "noteIndex" : 0 }, "schema" : "https://github.com/citation-style-language/schema/raw/master/csl-citation.json" }</w:instrText>
      </w:r>
      <w:r w:rsidR="007B7AA5">
        <w:rPr>
          <w:rFonts w:asciiTheme="minorHAnsi" w:eastAsia="Calibri" w:hAnsiTheme="minorHAnsi" w:cs="Calibri"/>
          <w:color w:val="000000"/>
          <w:sz w:val="22"/>
          <w:szCs w:val="22"/>
          <w:lang w:eastAsia="zh-CN"/>
        </w:rPr>
        <w:fldChar w:fldCharType="separate"/>
      </w:r>
      <w:r w:rsidR="007B7AA5" w:rsidRPr="003250CB">
        <w:rPr>
          <w:rFonts w:asciiTheme="minorHAnsi" w:eastAsia="Calibri" w:hAnsiTheme="minorHAnsi" w:cs="Calibri"/>
          <w:noProof/>
          <w:color w:val="000000"/>
          <w:sz w:val="22"/>
          <w:szCs w:val="22"/>
          <w:lang w:eastAsia="zh-CN"/>
        </w:rPr>
        <w:t>[57]</w:t>
      </w:r>
      <w:r w:rsidR="007B7AA5">
        <w:rPr>
          <w:rFonts w:asciiTheme="minorHAnsi" w:eastAsia="Calibri" w:hAnsiTheme="minorHAnsi" w:cs="Calibri"/>
          <w:color w:val="000000"/>
          <w:sz w:val="22"/>
          <w:szCs w:val="22"/>
          <w:lang w:eastAsia="zh-CN"/>
        </w:rPr>
        <w:fldChar w:fldCharType="end"/>
      </w:r>
      <w:r w:rsidR="008D018C">
        <w:rPr>
          <w:rFonts w:asciiTheme="minorHAnsi" w:eastAsia="Calibri" w:hAnsiTheme="minorHAnsi" w:cs="Calibri"/>
          <w:color w:val="000000"/>
          <w:sz w:val="22"/>
          <w:szCs w:val="22"/>
          <w:lang w:eastAsia="zh-CN"/>
        </w:rPr>
        <w:t xml:space="preserve"> </w:t>
      </w:r>
      <w:r w:rsidRPr="00C44D8C">
        <w:rPr>
          <w:rFonts w:asciiTheme="minorHAnsi" w:eastAsia="Arial" w:hAnsiTheme="minorHAnsi" w:cs="Arial"/>
          <w:color w:val="000000"/>
          <w:sz w:val="22"/>
          <w:szCs w:val="22"/>
          <w:lang w:eastAsia="zh-CN"/>
        </w:rPr>
        <w:t>after i</w:t>
      </w:r>
      <w:r w:rsidR="008D018C">
        <w:rPr>
          <w:rFonts w:asciiTheme="minorHAnsi" w:eastAsia="Arial" w:hAnsiTheme="minorHAnsi" w:cs="Arial"/>
          <w:color w:val="000000"/>
          <w:sz w:val="22"/>
          <w:szCs w:val="22"/>
          <w:lang w:eastAsia="zh-CN"/>
        </w:rPr>
        <w:t>nitial attachment to a surface.</w:t>
      </w:r>
      <w:r w:rsidR="002639DE">
        <w:rPr>
          <w:rFonts w:asciiTheme="minorHAnsi" w:eastAsia="Arial" w:hAnsiTheme="minorHAnsi" w:cs="Arial"/>
          <w:color w:val="000000"/>
          <w:sz w:val="22"/>
          <w:szCs w:val="22"/>
          <w:lang w:eastAsia="zh-CN"/>
        </w:rPr>
        <w:t xml:space="preserve"> </w:t>
      </w:r>
    </w:p>
    <w:p w14:paraId="71B71534" w14:textId="73EA7CB7" w:rsidR="00520F3B" w:rsidRPr="00C44D8C" w:rsidRDefault="00436CD0" w:rsidP="00520F3B">
      <w:pPr>
        <w:spacing w:line="360" w:lineRule="auto"/>
        <w:ind w:firstLine="720"/>
        <w:rPr>
          <w:rFonts w:asciiTheme="minorHAnsi" w:eastAsia="Arial" w:hAnsiTheme="minorHAnsi" w:cs="Dutch801BT-Italic"/>
          <w:iCs/>
          <w:color w:val="000000"/>
          <w:sz w:val="22"/>
          <w:szCs w:val="22"/>
          <w:lang w:eastAsia="zh-CN"/>
        </w:rPr>
      </w:pPr>
      <w:r w:rsidRPr="00C44D8C">
        <w:rPr>
          <w:rFonts w:asciiTheme="minorHAnsi" w:eastAsia="Arial" w:hAnsiTheme="minorHAnsi" w:cs="Arial"/>
          <w:color w:val="000000"/>
          <w:sz w:val="22"/>
          <w:szCs w:val="22"/>
          <w:lang w:eastAsia="zh-CN"/>
        </w:rPr>
        <w:t>Therefore, it</w:t>
      </w:r>
      <w:r w:rsidRPr="00C44D8C">
        <w:rPr>
          <w:rFonts w:asciiTheme="minorHAnsi" w:eastAsia="Calibri" w:hAnsiTheme="minorHAnsi" w:cs="Calibri"/>
          <w:color w:val="000000"/>
          <w:sz w:val="22"/>
          <w:szCs w:val="22"/>
          <w:lang w:eastAsia="zh-CN"/>
        </w:rPr>
        <w:t xml:space="preserve"> is feasible that the </w:t>
      </w:r>
      <w:r w:rsidRPr="00C44D8C">
        <w:rPr>
          <w:rFonts w:asciiTheme="minorHAnsi" w:eastAsia="Arial" w:hAnsiTheme="minorHAnsi" w:cs="Dutch801BT-Italic"/>
          <w:iCs/>
          <w:color w:val="000000"/>
          <w:sz w:val="22"/>
          <w:szCs w:val="22"/>
          <w:lang w:eastAsia="zh-CN"/>
        </w:rPr>
        <w:t xml:space="preserve">preferential attachment of </w:t>
      </w:r>
      <w:r w:rsidRPr="00C44D8C">
        <w:rPr>
          <w:rFonts w:asciiTheme="minorHAnsi" w:eastAsia="Arial" w:hAnsiTheme="minorHAnsi" w:cs="Dutch801BT-Italic"/>
          <w:i/>
          <w:iCs/>
          <w:color w:val="000000"/>
          <w:sz w:val="22"/>
          <w:szCs w:val="22"/>
          <w:lang w:eastAsia="zh-CN"/>
        </w:rPr>
        <w:t xml:space="preserve">M. barkeri </w:t>
      </w:r>
      <w:r w:rsidRPr="00C44D8C">
        <w:rPr>
          <w:rFonts w:asciiTheme="minorHAnsi" w:eastAsia="Arial" w:hAnsiTheme="minorHAnsi" w:cs="Dutch801BT-Italic"/>
          <w:iCs/>
          <w:color w:val="000000"/>
          <w:sz w:val="22"/>
          <w:szCs w:val="22"/>
          <w:lang w:eastAsia="zh-CN"/>
        </w:rPr>
        <w:t>to PVC in this study triggers an early production of surface polysaccharides for irreversible cell attachment, which could be regarded as a</w:t>
      </w:r>
      <w:r w:rsidR="008D018C">
        <w:rPr>
          <w:rFonts w:asciiTheme="minorHAnsi" w:eastAsia="Arial" w:hAnsiTheme="minorHAnsi" w:cs="Dutch801BT-Italic"/>
          <w:iCs/>
          <w:color w:val="000000"/>
          <w:sz w:val="22"/>
          <w:szCs w:val="22"/>
          <w:lang w:eastAsia="zh-CN"/>
        </w:rPr>
        <w:t>n adaptive response</w:t>
      </w:r>
      <w:r w:rsidRPr="00C44D8C">
        <w:rPr>
          <w:rFonts w:asciiTheme="minorHAnsi" w:eastAsia="Arial" w:hAnsiTheme="minorHAnsi" w:cs="Dutch801BT-Italic"/>
          <w:iCs/>
          <w:color w:val="000000"/>
          <w:sz w:val="22"/>
          <w:szCs w:val="22"/>
          <w:lang w:eastAsia="zh-CN"/>
        </w:rPr>
        <w:t xml:space="preserve"> </w:t>
      </w:r>
      <w:r w:rsidR="008D018C">
        <w:rPr>
          <w:rFonts w:asciiTheme="minorHAnsi" w:eastAsia="Arial" w:hAnsiTheme="minorHAnsi" w:cs="Dutch801BT-Italic"/>
          <w:iCs/>
          <w:color w:val="000000"/>
          <w:sz w:val="22"/>
          <w:szCs w:val="22"/>
          <w:lang w:eastAsia="zh-CN"/>
        </w:rPr>
        <w:t>for biofilm development on PVC</w:t>
      </w:r>
      <w:r w:rsidRPr="00C44D8C">
        <w:rPr>
          <w:rFonts w:asciiTheme="minorHAnsi" w:eastAsia="Arial" w:hAnsiTheme="minorHAnsi" w:cs="Dutch801BT-Italic"/>
          <w:iCs/>
          <w:color w:val="000000"/>
          <w:sz w:val="22"/>
          <w:szCs w:val="22"/>
          <w:lang w:eastAsia="zh-CN"/>
        </w:rPr>
        <w:t xml:space="preserve">.  </w:t>
      </w:r>
    </w:p>
    <w:p w14:paraId="13B56D6E" w14:textId="20C14261" w:rsidR="00436CD0" w:rsidRDefault="00436CD0" w:rsidP="00436CD0">
      <w:pPr>
        <w:spacing w:line="360" w:lineRule="auto"/>
        <w:ind w:firstLine="720"/>
        <w:rPr>
          <w:rFonts w:asciiTheme="minorHAnsi" w:eastAsia="Arial" w:hAnsiTheme="minorHAnsi" w:cs="Dutch801BT-Italic"/>
          <w:iCs/>
          <w:color w:val="000000"/>
          <w:sz w:val="22"/>
          <w:szCs w:val="22"/>
          <w:lang w:eastAsia="zh-CN"/>
        </w:rPr>
      </w:pPr>
      <w:r w:rsidRPr="00C44D8C">
        <w:rPr>
          <w:rFonts w:asciiTheme="minorHAnsi" w:eastAsia="Arial" w:hAnsiTheme="minorHAnsi" w:cs="Dutch801BT-Italic"/>
          <w:iCs/>
          <w:color w:val="000000"/>
          <w:sz w:val="22"/>
          <w:szCs w:val="22"/>
          <w:lang w:eastAsia="zh-CN"/>
        </w:rPr>
        <w:t xml:space="preserve">However, the poor microbial attachment to PETG could </w:t>
      </w:r>
      <w:r w:rsidR="00390744">
        <w:rPr>
          <w:rFonts w:asciiTheme="minorHAnsi" w:eastAsia="Arial" w:hAnsiTheme="minorHAnsi" w:cs="Dutch801BT-Italic"/>
          <w:iCs/>
          <w:color w:val="000000"/>
          <w:sz w:val="22"/>
          <w:szCs w:val="22"/>
          <w:lang w:eastAsia="zh-CN"/>
        </w:rPr>
        <w:t xml:space="preserve">be associated with </w:t>
      </w:r>
      <w:r w:rsidRPr="00C44D8C">
        <w:rPr>
          <w:rFonts w:asciiTheme="minorHAnsi" w:eastAsia="Arial" w:hAnsiTheme="minorHAnsi" w:cs="Dutch801BT-Italic"/>
          <w:iCs/>
          <w:color w:val="000000"/>
          <w:sz w:val="22"/>
          <w:szCs w:val="22"/>
          <w:lang w:eastAsia="zh-CN"/>
        </w:rPr>
        <w:t>a lag phase in polysaccharide production, as observed in this study (Figs 4.3, 4.4</w:t>
      </w:r>
      <w:r w:rsidR="00390744">
        <w:rPr>
          <w:rFonts w:asciiTheme="minorHAnsi" w:eastAsia="Arial" w:hAnsiTheme="minorHAnsi" w:cs="Dutch801BT-Italic"/>
          <w:iCs/>
          <w:color w:val="000000"/>
          <w:sz w:val="22"/>
          <w:szCs w:val="22"/>
          <w:lang w:eastAsia="zh-CN"/>
        </w:rPr>
        <w:t xml:space="preserve">, 4.6). </w:t>
      </w:r>
      <w:r w:rsidRPr="00C44D8C">
        <w:rPr>
          <w:rFonts w:asciiTheme="minorHAnsi" w:eastAsia="Arial" w:hAnsiTheme="minorHAnsi" w:cs="Dutch801BT-Italic"/>
          <w:iCs/>
          <w:color w:val="000000"/>
          <w:sz w:val="22"/>
          <w:szCs w:val="22"/>
          <w:lang w:eastAsia="zh-CN"/>
        </w:rPr>
        <w:t xml:space="preserve">As PETG elicits slower biofilm development from </w:t>
      </w:r>
      <w:r w:rsidRPr="00C44D8C">
        <w:rPr>
          <w:rFonts w:asciiTheme="minorHAnsi" w:eastAsia="Arial" w:hAnsiTheme="minorHAnsi" w:cs="Dutch801BT-Italic"/>
          <w:i/>
          <w:color w:val="000000"/>
          <w:sz w:val="22"/>
          <w:szCs w:val="22"/>
          <w:lang w:eastAsia="zh-CN"/>
        </w:rPr>
        <w:t>M. barkeri</w:t>
      </w:r>
      <w:r w:rsidR="00390744">
        <w:rPr>
          <w:rFonts w:asciiTheme="minorHAnsi" w:eastAsia="Arial" w:hAnsiTheme="minorHAnsi" w:cs="Dutch801BT-Italic"/>
          <w:iCs/>
          <w:color w:val="000000"/>
          <w:sz w:val="22"/>
          <w:szCs w:val="22"/>
          <w:lang w:eastAsia="zh-CN"/>
        </w:rPr>
        <w:t xml:space="preserve">, which was determined from chapter 3 as being a result of its electrostatically repulsive surface properties, </w:t>
      </w:r>
      <w:r w:rsidRPr="00C44D8C">
        <w:rPr>
          <w:rFonts w:asciiTheme="minorHAnsi" w:eastAsia="Arial" w:hAnsiTheme="minorHAnsi" w:cs="Dutch801BT-Italic"/>
          <w:iCs/>
          <w:color w:val="000000"/>
          <w:sz w:val="22"/>
          <w:szCs w:val="22"/>
          <w:lang w:eastAsia="zh-CN"/>
        </w:rPr>
        <w:t xml:space="preserve">a less developed biofilm </w:t>
      </w:r>
      <w:r w:rsidR="00390744">
        <w:rPr>
          <w:rFonts w:asciiTheme="minorHAnsi" w:eastAsia="Arial" w:hAnsiTheme="minorHAnsi" w:cs="Dutch801BT-Italic"/>
          <w:iCs/>
          <w:color w:val="000000"/>
          <w:sz w:val="22"/>
          <w:szCs w:val="22"/>
          <w:lang w:eastAsia="zh-CN"/>
        </w:rPr>
        <w:lastRenderedPageBreak/>
        <w:t>is expected compared to PVC. As such, c</w:t>
      </w:r>
      <w:r w:rsidRPr="00C44D8C">
        <w:rPr>
          <w:rFonts w:asciiTheme="minorHAnsi" w:eastAsia="Arial" w:hAnsiTheme="minorHAnsi" w:cs="Dutch801BT-Italic"/>
          <w:iCs/>
          <w:color w:val="000000"/>
          <w:sz w:val="22"/>
          <w:szCs w:val="22"/>
          <w:lang w:eastAsia="zh-CN"/>
        </w:rPr>
        <w:t>ell attachment to PETG is not expected to trigger the same programme of cell surface changes as observed in cells attached to PVC</w:t>
      </w:r>
      <w:r w:rsidR="00A148E2">
        <w:rPr>
          <w:rFonts w:asciiTheme="minorHAnsi" w:eastAsia="Arial" w:hAnsiTheme="minorHAnsi" w:cs="Dutch801BT-Italic"/>
          <w:iCs/>
          <w:color w:val="000000"/>
          <w:sz w:val="22"/>
          <w:szCs w:val="22"/>
          <w:lang w:eastAsia="zh-CN"/>
        </w:rPr>
        <w:t xml:space="preserve"> </w:t>
      </w:r>
      <w:r w:rsidR="00A148E2">
        <w:rPr>
          <w:rFonts w:asciiTheme="minorHAnsi" w:eastAsia="Arial" w:hAnsiTheme="minorHAnsi" w:cs="Dutch801BT-Italic"/>
          <w:iCs/>
          <w:color w:val="000000"/>
          <w:sz w:val="22"/>
          <w:szCs w:val="22"/>
          <w:lang w:eastAsia="zh-CN"/>
        </w:rPr>
        <w:fldChar w:fldCharType="begin" w:fldLock="1"/>
      </w:r>
      <w:r w:rsidR="00AF47D2">
        <w:rPr>
          <w:rFonts w:asciiTheme="minorHAnsi" w:eastAsia="Arial" w:hAnsiTheme="minorHAnsi" w:cs="Dutch801BT-Italic"/>
          <w:iCs/>
          <w:color w:val="000000"/>
          <w:sz w:val="22"/>
          <w:szCs w:val="22"/>
          <w:lang w:eastAsia="zh-CN"/>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"id" : "ITEM-2", "itemData" : { "DOI" : "10.1016/S0958-1669(02)00318-X", "ISBN" : "0958-1669", "ISSN" : "09581669", "PMID" : "12180097", "abstract" : "Sophisticated molecular and microscopic methods used to study biofilm formation are rapidly broadening our understanding of surface-attached microbial communities in a wide variety of organisms. Regulatory mechanisms involved in the attachment and subsequent development of mature biofilms are being elucidated. Common themes are beginning to emerge, providing promise for the development of sophisticated control strategies.", "author" : [ { "dropping-particle" : "", "family" : "Hall-Stoodley", "given" : "Luanne", "non-dropping-particle" : "", "parse-names" : false, "suffix" : "" }, { "dropping-particle" : "", "family" : "Stoodley", "given" : "Paul", "non-dropping-particle" : "", "parse-names" : false, "suffix" : "" } ], "container-title" : "Current Opinion in Biotechnology", "id" : "ITEM-2", "issue" : "3", "issued" : { "date-parts" : [ [ "2002" ] ] }, "page" : "228-233", "title" : "Developmental regulation of microbial biofilms", "type" : "article-journal", "volume" : "13" }, "uris" : [ "http://www.mendeley.com/documents/?uuid=27d0e551-b7db-46d6-bfba-0bddef4c0814" ] } ], "mendeley" : { "formattedCitation" : "[22,62]", "plainTextFormattedCitation" : "[22,62]", "previouslyFormattedCitation" : "[22,62]" }, "properties" : { "noteIndex" : 0 }, "schema" : "https://github.com/citation-style-language/schema/raw/master/csl-citation.json" }</w:instrText>
      </w:r>
      <w:r w:rsidR="00A148E2">
        <w:rPr>
          <w:rFonts w:asciiTheme="minorHAnsi" w:eastAsia="Arial" w:hAnsiTheme="minorHAnsi" w:cs="Dutch801BT-Italic"/>
          <w:iCs/>
          <w:color w:val="000000"/>
          <w:sz w:val="22"/>
          <w:szCs w:val="22"/>
          <w:lang w:eastAsia="zh-CN"/>
        </w:rPr>
        <w:fldChar w:fldCharType="separate"/>
      </w:r>
      <w:r w:rsidR="00AF47D2" w:rsidRPr="00AF47D2">
        <w:rPr>
          <w:rFonts w:asciiTheme="minorHAnsi" w:eastAsia="Arial" w:hAnsiTheme="minorHAnsi" w:cs="Dutch801BT-Italic"/>
          <w:iCs/>
          <w:noProof/>
          <w:color w:val="000000"/>
          <w:sz w:val="22"/>
          <w:szCs w:val="22"/>
          <w:lang w:eastAsia="zh-CN"/>
        </w:rPr>
        <w:t>[22,62]</w:t>
      </w:r>
      <w:r w:rsidR="00A148E2">
        <w:rPr>
          <w:rFonts w:asciiTheme="minorHAnsi" w:eastAsia="Arial" w:hAnsiTheme="minorHAnsi" w:cs="Dutch801BT-Italic"/>
          <w:iCs/>
          <w:color w:val="000000"/>
          <w:sz w:val="22"/>
          <w:szCs w:val="22"/>
          <w:lang w:eastAsia="zh-CN"/>
        </w:rPr>
        <w:fldChar w:fldCharType="end"/>
      </w:r>
      <w:r w:rsidR="00A148E2">
        <w:rPr>
          <w:rFonts w:asciiTheme="minorHAnsi" w:eastAsia="Arial" w:hAnsiTheme="minorHAnsi" w:cs="Dutch801BT-Italic"/>
          <w:iCs/>
          <w:color w:val="000000"/>
          <w:sz w:val="22"/>
          <w:szCs w:val="22"/>
          <w:lang w:eastAsia="zh-CN"/>
        </w:rPr>
        <w:t>.</w:t>
      </w:r>
    </w:p>
    <w:p w14:paraId="05BF64E8" w14:textId="78A3EFEB" w:rsidR="00520F3B" w:rsidRPr="00520F3B" w:rsidRDefault="00520F3B" w:rsidP="00436CD0">
      <w:pPr>
        <w:spacing w:line="360" w:lineRule="auto"/>
        <w:ind w:firstLine="720"/>
        <w:rPr>
          <w:rFonts w:asciiTheme="minorHAnsi" w:eastAsia="Arial" w:hAnsiTheme="minorHAnsi" w:cs="Dutch801BT-Italic"/>
          <w:iCs/>
          <w:color w:val="000000"/>
          <w:sz w:val="22"/>
          <w:szCs w:val="22"/>
          <w:lang w:eastAsia="zh-CN"/>
        </w:rPr>
      </w:pPr>
      <w:r>
        <w:rPr>
          <w:rFonts w:asciiTheme="minorHAnsi" w:eastAsia="Arial" w:hAnsiTheme="minorHAnsi" w:cs="Dutch801BT-Italic"/>
          <w:iCs/>
          <w:color w:val="000000"/>
          <w:sz w:val="22"/>
          <w:szCs w:val="22"/>
          <w:lang w:eastAsia="zh-CN"/>
        </w:rPr>
        <w:t xml:space="preserve">This study has compared the two different biofilms of </w:t>
      </w:r>
      <w:r>
        <w:rPr>
          <w:rFonts w:asciiTheme="minorHAnsi" w:eastAsia="Arial" w:hAnsiTheme="minorHAnsi" w:cs="Dutch801BT-Italic"/>
          <w:i/>
          <w:iCs/>
          <w:color w:val="000000"/>
          <w:sz w:val="22"/>
          <w:szCs w:val="22"/>
          <w:lang w:eastAsia="zh-CN"/>
        </w:rPr>
        <w:t xml:space="preserve">M. barkeri </w:t>
      </w:r>
      <w:r>
        <w:rPr>
          <w:rFonts w:asciiTheme="minorHAnsi" w:eastAsia="Arial" w:hAnsiTheme="minorHAnsi" w:cs="Dutch801BT-Italic"/>
          <w:iCs/>
          <w:color w:val="000000"/>
          <w:sz w:val="22"/>
          <w:szCs w:val="22"/>
          <w:lang w:eastAsia="zh-CN"/>
        </w:rPr>
        <w:t xml:space="preserve">after 96 h on two different support materials. A valuable validation of whether the production of exopolysaccharides from </w:t>
      </w:r>
      <w:r>
        <w:rPr>
          <w:rFonts w:asciiTheme="minorHAnsi" w:eastAsia="Arial" w:hAnsiTheme="minorHAnsi" w:cs="Dutch801BT-Italic"/>
          <w:i/>
          <w:iCs/>
          <w:color w:val="000000"/>
          <w:sz w:val="22"/>
          <w:szCs w:val="22"/>
          <w:lang w:eastAsia="zh-CN"/>
        </w:rPr>
        <w:t xml:space="preserve">M. barkeri </w:t>
      </w:r>
      <w:r>
        <w:rPr>
          <w:rFonts w:asciiTheme="minorHAnsi" w:eastAsia="Arial" w:hAnsiTheme="minorHAnsi" w:cs="Dutch801BT-Italic"/>
          <w:iCs/>
          <w:color w:val="000000"/>
          <w:sz w:val="22"/>
          <w:szCs w:val="22"/>
          <w:lang w:eastAsia="zh-CN"/>
        </w:rPr>
        <w:t xml:space="preserve">on PVC during this timeframe was a result of preferential adhesion from </w:t>
      </w:r>
      <w:r>
        <w:rPr>
          <w:rFonts w:asciiTheme="minorHAnsi" w:eastAsia="Arial" w:hAnsiTheme="minorHAnsi" w:cs="Dutch801BT-Italic"/>
          <w:i/>
          <w:iCs/>
          <w:color w:val="000000"/>
          <w:sz w:val="22"/>
          <w:szCs w:val="22"/>
          <w:lang w:eastAsia="zh-CN"/>
        </w:rPr>
        <w:t>M. barkeri</w:t>
      </w:r>
      <w:r>
        <w:rPr>
          <w:rFonts w:asciiTheme="minorHAnsi" w:eastAsia="Arial" w:hAnsiTheme="minorHAnsi" w:cs="Dutch801BT-Italic"/>
          <w:iCs/>
          <w:color w:val="000000"/>
          <w:sz w:val="22"/>
          <w:szCs w:val="22"/>
          <w:lang w:eastAsia="zh-CN"/>
        </w:rPr>
        <w:t>, future work could focus on comparing these biofilms with a planktonic culture as control.</w:t>
      </w:r>
    </w:p>
    <w:p w14:paraId="3233D7A6" w14:textId="77777777" w:rsidR="00436CD0" w:rsidRPr="00C44D8C" w:rsidRDefault="00436CD0" w:rsidP="00436CD0">
      <w:pPr>
        <w:autoSpaceDE w:val="0"/>
        <w:autoSpaceDN w:val="0"/>
        <w:adjustRightInd w:val="0"/>
        <w:spacing w:line="360" w:lineRule="auto"/>
        <w:rPr>
          <w:rFonts w:asciiTheme="minorHAnsi" w:eastAsia="Calibri" w:hAnsiTheme="minorHAnsi" w:cs="Calibri"/>
          <w:color w:val="000000"/>
          <w:sz w:val="22"/>
          <w:szCs w:val="22"/>
          <w:lang w:eastAsia="zh-CN"/>
        </w:rPr>
      </w:pPr>
    </w:p>
    <w:p w14:paraId="09E4C81C" w14:textId="69AC34C1" w:rsidR="00436CD0" w:rsidRPr="00C44D8C" w:rsidRDefault="00436CD0" w:rsidP="002B69BD">
      <w:pPr>
        <w:pStyle w:val="Heading1"/>
        <w:rPr>
          <w:lang w:eastAsia="zh-CN"/>
        </w:rPr>
      </w:pPr>
      <w:bookmarkStart w:id="126" w:name="_Toc462575336"/>
      <w:r w:rsidRPr="00C44D8C">
        <w:rPr>
          <w:lang w:eastAsia="zh-CN"/>
        </w:rPr>
        <w:t>4.5. Conclusions</w:t>
      </w:r>
      <w:bookmarkEnd w:id="126"/>
    </w:p>
    <w:p w14:paraId="28DD949E" w14:textId="0A3A085B" w:rsidR="00436CD0" w:rsidRPr="00C44D8C" w:rsidRDefault="00436CD0" w:rsidP="00436CD0">
      <w:pPr>
        <w:autoSpaceDE w:val="0"/>
        <w:autoSpaceDN w:val="0"/>
        <w:adjustRightInd w:val="0"/>
        <w:spacing w:line="360" w:lineRule="auto"/>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A variety of surface characterisation methods were used to assess changes in the cell surface of </w:t>
      </w:r>
      <w:r w:rsidRPr="00C44D8C">
        <w:rPr>
          <w:rFonts w:asciiTheme="minorHAnsi" w:eastAsia="Calibri" w:hAnsiTheme="minorHAnsi" w:cs="Calibri"/>
          <w:i/>
          <w:iCs/>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during biofilm formation on PVC and PETG. This study showed that during biofilm formation, </w:t>
      </w:r>
      <w:r w:rsidRPr="00C44D8C">
        <w:rPr>
          <w:rFonts w:asciiTheme="minorHAnsi" w:eastAsia="Calibri" w:hAnsiTheme="minorHAnsi" w:cs="Calibri"/>
          <w:i/>
          <w:iCs/>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actively changed the chemical properties of its surface in response to PVC and PETG. Biofilms were shown to increase the levels of polysaccharides on their cell surface in response to attachment to PVC, as evidenced from FTIR, XPS, zeta potential and fluorescence microscopy analysis. The increased levels of </w:t>
      </w:r>
      <w:r w:rsidR="00390744">
        <w:rPr>
          <w:rFonts w:asciiTheme="minorHAnsi" w:eastAsia="Calibri" w:hAnsiTheme="minorHAnsi" w:cs="Calibri"/>
          <w:color w:val="000000"/>
          <w:sz w:val="22"/>
          <w:szCs w:val="22"/>
          <w:lang w:eastAsia="zh-CN"/>
        </w:rPr>
        <w:t xml:space="preserve">surface </w:t>
      </w:r>
      <w:r w:rsidRPr="00C44D8C">
        <w:rPr>
          <w:rFonts w:asciiTheme="minorHAnsi" w:eastAsia="Calibri" w:hAnsiTheme="minorHAnsi" w:cs="Calibri"/>
          <w:color w:val="000000"/>
          <w:sz w:val="22"/>
          <w:szCs w:val="22"/>
          <w:lang w:eastAsia="zh-CN"/>
        </w:rPr>
        <w:t>polysaccharide</w:t>
      </w:r>
      <w:r w:rsidR="00390744">
        <w:rPr>
          <w:rFonts w:asciiTheme="minorHAnsi" w:eastAsia="Calibri" w:hAnsiTheme="minorHAnsi" w:cs="Calibri"/>
          <w:color w:val="000000"/>
          <w:sz w:val="22"/>
          <w:szCs w:val="22"/>
          <w:lang w:eastAsia="zh-CN"/>
        </w:rPr>
        <w:t>s</w:t>
      </w:r>
      <w:r w:rsidRPr="00C44D8C">
        <w:rPr>
          <w:rFonts w:asciiTheme="minorHAnsi" w:eastAsia="Calibri" w:hAnsiTheme="minorHAnsi" w:cs="Calibri"/>
          <w:color w:val="000000"/>
          <w:sz w:val="22"/>
          <w:szCs w:val="22"/>
          <w:lang w:eastAsia="zh-CN"/>
        </w:rPr>
        <w:t xml:space="preserve"> are likely to be </w:t>
      </w:r>
      <w:r w:rsidR="00390744">
        <w:rPr>
          <w:rFonts w:asciiTheme="minorHAnsi" w:eastAsia="Calibri" w:hAnsiTheme="minorHAnsi" w:cs="Calibri"/>
          <w:color w:val="000000"/>
          <w:sz w:val="22"/>
          <w:szCs w:val="22"/>
          <w:lang w:eastAsia="zh-CN"/>
        </w:rPr>
        <w:t>associated with</w:t>
      </w:r>
      <w:r w:rsidRPr="00C44D8C">
        <w:rPr>
          <w:rFonts w:asciiTheme="minorHAnsi" w:eastAsia="Calibri" w:hAnsiTheme="minorHAnsi" w:cs="Calibri"/>
          <w:color w:val="000000"/>
          <w:sz w:val="22"/>
          <w:szCs w:val="22"/>
          <w:lang w:eastAsia="zh-CN"/>
        </w:rPr>
        <w:t xml:space="preserve"> the higher levels of cell adhesion to </w:t>
      </w:r>
      <w:r w:rsidR="00390744">
        <w:rPr>
          <w:rFonts w:asciiTheme="minorHAnsi" w:eastAsia="Calibri" w:hAnsiTheme="minorHAnsi" w:cs="Calibri"/>
          <w:color w:val="000000"/>
          <w:sz w:val="22"/>
          <w:szCs w:val="22"/>
          <w:lang w:eastAsia="zh-CN"/>
        </w:rPr>
        <w:t>PVC</w:t>
      </w:r>
      <w:r w:rsidRPr="00C44D8C">
        <w:rPr>
          <w:rFonts w:asciiTheme="minorHAnsi" w:eastAsia="Calibri" w:hAnsiTheme="minorHAnsi" w:cs="Calibri"/>
          <w:color w:val="000000"/>
          <w:sz w:val="22"/>
          <w:szCs w:val="22"/>
          <w:lang w:eastAsia="zh-CN"/>
        </w:rPr>
        <w:t xml:space="preserve">, and suggest a key role of surface polysaccharides in the irreversible attachment of </w:t>
      </w:r>
      <w:r w:rsidRPr="00C44D8C">
        <w:rPr>
          <w:rFonts w:asciiTheme="minorHAnsi" w:eastAsia="Calibri" w:hAnsiTheme="minorHAnsi" w:cs="Calibri"/>
          <w:i/>
          <w:iCs/>
          <w:color w:val="000000"/>
          <w:sz w:val="22"/>
          <w:szCs w:val="22"/>
          <w:lang w:eastAsia="zh-CN"/>
        </w:rPr>
        <w:t xml:space="preserve">M. barkeri </w:t>
      </w:r>
      <w:r w:rsidRPr="00C44D8C">
        <w:rPr>
          <w:rFonts w:asciiTheme="minorHAnsi" w:eastAsia="Calibri" w:hAnsiTheme="minorHAnsi" w:cs="Calibri"/>
          <w:color w:val="000000"/>
          <w:sz w:val="22"/>
          <w:szCs w:val="22"/>
          <w:lang w:eastAsia="zh-CN"/>
        </w:rPr>
        <w:t>cells during biofilm development.</w:t>
      </w:r>
    </w:p>
    <w:p w14:paraId="579B3EF3" w14:textId="731E7A0C" w:rsidR="00436CD0" w:rsidRPr="00C44D8C" w:rsidRDefault="00436CD0" w:rsidP="00436CD0">
      <w:pPr>
        <w:autoSpaceDE w:val="0"/>
        <w:autoSpaceDN w:val="0"/>
        <w:adjustRightInd w:val="0"/>
        <w:spacing w:line="360" w:lineRule="auto"/>
        <w:ind w:firstLine="720"/>
        <w:rPr>
          <w:rFonts w:asciiTheme="minorHAnsi" w:eastAsia="Calibri" w:hAnsiTheme="minorHAnsi" w:cs="Calibri"/>
          <w:color w:val="000000"/>
          <w:sz w:val="22"/>
          <w:szCs w:val="22"/>
          <w:lang w:eastAsia="zh-CN"/>
        </w:rPr>
      </w:pPr>
      <w:r w:rsidRPr="00C44D8C">
        <w:rPr>
          <w:rFonts w:asciiTheme="minorHAnsi" w:eastAsia="Calibri" w:hAnsiTheme="minorHAnsi" w:cs="Calibri"/>
          <w:color w:val="000000"/>
          <w:sz w:val="22"/>
          <w:szCs w:val="22"/>
          <w:lang w:eastAsia="zh-CN"/>
        </w:rPr>
        <w:t xml:space="preserve">However, PETG elicited lower levels of cell attachment and </w:t>
      </w:r>
      <w:r w:rsidR="00390744">
        <w:rPr>
          <w:rFonts w:asciiTheme="minorHAnsi" w:eastAsia="Calibri" w:hAnsiTheme="minorHAnsi" w:cs="Calibri"/>
          <w:color w:val="000000"/>
          <w:sz w:val="22"/>
          <w:szCs w:val="22"/>
          <w:lang w:eastAsia="zh-CN"/>
        </w:rPr>
        <w:t xml:space="preserve">surface </w:t>
      </w:r>
      <w:r w:rsidRPr="00C44D8C">
        <w:rPr>
          <w:rFonts w:asciiTheme="minorHAnsi" w:eastAsia="Calibri" w:hAnsiTheme="minorHAnsi" w:cs="Calibri"/>
          <w:color w:val="000000"/>
          <w:sz w:val="22"/>
          <w:szCs w:val="22"/>
          <w:lang w:eastAsia="zh-CN"/>
        </w:rPr>
        <w:t>polysaccharide</w:t>
      </w:r>
      <w:r w:rsidR="00390744">
        <w:rPr>
          <w:rFonts w:asciiTheme="minorHAnsi" w:eastAsia="Calibri" w:hAnsiTheme="minorHAnsi" w:cs="Calibri"/>
          <w:color w:val="000000"/>
          <w:sz w:val="22"/>
          <w:szCs w:val="22"/>
          <w:lang w:eastAsia="zh-CN"/>
        </w:rPr>
        <w:t>s</w:t>
      </w:r>
      <w:r w:rsidRPr="00C44D8C">
        <w:rPr>
          <w:rFonts w:asciiTheme="minorHAnsi" w:eastAsia="Calibri" w:hAnsiTheme="minorHAnsi" w:cs="Calibri"/>
          <w:color w:val="000000"/>
          <w:sz w:val="22"/>
          <w:szCs w:val="22"/>
          <w:lang w:eastAsia="zh-CN"/>
        </w:rPr>
        <w:t xml:space="preserve"> from </w:t>
      </w:r>
      <w:r w:rsidRPr="00C44D8C">
        <w:rPr>
          <w:rFonts w:asciiTheme="minorHAnsi" w:eastAsia="Calibri" w:hAnsiTheme="minorHAnsi" w:cs="Calibri"/>
          <w:i/>
          <w:iCs/>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This cell surface phenotype could imply a less developed biofilm on PETG compared to PVC. Taken together, the results from this study show that </w:t>
      </w:r>
      <w:r w:rsidRPr="00C44D8C">
        <w:rPr>
          <w:rFonts w:asciiTheme="minorHAnsi" w:eastAsia="Calibri" w:hAnsiTheme="minorHAnsi" w:cs="Calibri"/>
          <w:i/>
          <w:color w:val="000000"/>
          <w:sz w:val="22"/>
          <w:szCs w:val="22"/>
          <w:lang w:eastAsia="zh-CN"/>
        </w:rPr>
        <w:t xml:space="preserve">M. barkeri </w:t>
      </w:r>
      <w:r w:rsidRPr="00C44D8C">
        <w:rPr>
          <w:rFonts w:asciiTheme="minorHAnsi" w:eastAsia="Calibri" w:hAnsiTheme="minorHAnsi" w:cs="Calibri"/>
          <w:color w:val="000000"/>
          <w:sz w:val="22"/>
          <w:szCs w:val="22"/>
          <w:lang w:eastAsia="zh-CN"/>
        </w:rPr>
        <w:t xml:space="preserve">is able to sense and </w:t>
      </w:r>
      <w:r w:rsidR="008D018C">
        <w:rPr>
          <w:rFonts w:asciiTheme="minorHAnsi" w:eastAsia="Calibri" w:hAnsiTheme="minorHAnsi" w:cs="Calibri"/>
          <w:color w:val="000000"/>
          <w:sz w:val="22"/>
          <w:szCs w:val="22"/>
          <w:lang w:eastAsia="zh-CN"/>
        </w:rPr>
        <w:t>readily respond to an abiotic surface</w:t>
      </w:r>
      <w:r w:rsidR="00DD25F4">
        <w:rPr>
          <w:rFonts w:asciiTheme="minorHAnsi" w:eastAsia="Calibri" w:hAnsiTheme="minorHAnsi" w:cs="Calibri"/>
          <w:color w:val="000000"/>
          <w:sz w:val="22"/>
          <w:szCs w:val="22"/>
          <w:lang w:eastAsia="zh-CN"/>
        </w:rPr>
        <w:t>. It is clear that the choice of support material not only influences the physicochemical interactions for initial adhesion, but also the cell surface composition of adherent cells.</w:t>
      </w:r>
      <w:r w:rsidRPr="00C44D8C">
        <w:rPr>
          <w:rFonts w:asciiTheme="minorHAnsi" w:eastAsia="Calibri" w:hAnsiTheme="minorHAnsi" w:cs="Calibri"/>
          <w:color w:val="000000"/>
          <w:sz w:val="22"/>
          <w:szCs w:val="22"/>
          <w:lang w:eastAsia="zh-CN"/>
        </w:rPr>
        <w:t xml:space="preserve">  </w:t>
      </w:r>
    </w:p>
    <w:p w14:paraId="5592A15A" w14:textId="733D1438" w:rsidR="0058312F" w:rsidRDefault="00390744" w:rsidP="00436CD0">
      <w:pPr>
        <w:spacing w:line="360" w:lineRule="auto"/>
        <w:ind w:firstLine="720"/>
        <w:textAlignment w:val="baseline"/>
        <w:rPr>
          <w:rFonts w:asciiTheme="minorHAnsi" w:eastAsia="Calibri" w:hAnsiTheme="minorHAnsi" w:cs="Calibri"/>
          <w:sz w:val="22"/>
          <w:szCs w:val="22"/>
          <w:lang w:eastAsia="en-GB"/>
        </w:rPr>
        <w:sectPr w:rsidR="0058312F" w:rsidSect="00DF337D">
          <w:pgSz w:w="11906" w:h="16838"/>
          <w:pgMar w:top="1418" w:right="1418" w:bottom="1418" w:left="2268" w:header="708" w:footer="708" w:gutter="0"/>
          <w:cols w:space="708"/>
          <w:docGrid w:linePitch="360"/>
        </w:sectPr>
      </w:pPr>
      <w:r>
        <w:rPr>
          <w:rFonts w:asciiTheme="minorHAnsi" w:eastAsia="Calibri" w:hAnsiTheme="minorHAnsi" w:cs="Calibri"/>
          <w:sz w:val="22"/>
          <w:szCs w:val="22"/>
          <w:lang w:eastAsia="en-GB"/>
        </w:rPr>
        <w:t xml:space="preserve">The biological mechanisms underlying these </w:t>
      </w:r>
      <w:r w:rsidR="008D018C">
        <w:rPr>
          <w:rFonts w:asciiTheme="minorHAnsi" w:eastAsia="Calibri" w:hAnsiTheme="minorHAnsi" w:cs="Calibri"/>
          <w:sz w:val="22"/>
          <w:szCs w:val="22"/>
          <w:lang w:eastAsia="en-GB"/>
        </w:rPr>
        <w:t xml:space="preserve">observable </w:t>
      </w:r>
      <w:r>
        <w:rPr>
          <w:rFonts w:asciiTheme="minorHAnsi" w:eastAsia="Calibri" w:hAnsiTheme="minorHAnsi" w:cs="Calibri"/>
          <w:sz w:val="22"/>
          <w:szCs w:val="22"/>
          <w:lang w:eastAsia="en-GB"/>
        </w:rPr>
        <w:t xml:space="preserve">cell surface modifications in </w:t>
      </w:r>
      <w:r>
        <w:rPr>
          <w:rFonts w:asciiTheme="minorHAnsi" w:eastAsia="Calibri" w:hAnsiTheme="minorHAnsi" w:cs="Calibri"/>
          <w:i/>
          <w:sz w:val="22"/>
          <w:szCs w:val="22"/>
          <w:lang w:eastAsia="en-GB"/>
        </w:rPr>
        <w:t xml:space="preserve">M. barkeri </w:t>
      </w:r>
      <w:r>
        <w:rPr>
          <w:rFonts w:asciiTheme="minorHAnsi" w:eastAsia="Calibri" w:hAnsiTheme="minorHAnsi" w:cs="Calibri"/>
          <w:sz w:val="22"/>
          <w:szCs w:val="22"/>
          <w:lang w:eastAsia="en-GB"/>
        </w:rPr>
        <w:t>during biofilm formation are not well understood</w:t>
      </w:r>
      <w:r w:rsidR="00436CD0" w:rsidRPr="00C44D8C">
        <w:rPr>
          <w:rFonts w:asciiTheme="minorHAnsi" w:eastAsia="Calibri" w:hAnsiTheme="minorHAnsi" w:cs="Calibri"/>
          <w:sz w:val="22"/>
          <w:szCs w:val="22"/>
          <w:lang w:eastAsia="en-GB"/>
        </w:rPr>
        <w:t xml:space="preserve">, and further work is needed to address </w:t>
      </w:r>
      <w:r>
        <w:rPr>
          <w:rFonts w:asciiTheme="minorHAnsi" w:eastAsia="Calibri" w:hAnsiTheme="minorHAnsi" w:cs="Calibri"/>
          <w:sz w:val="22"/>
          <w:szCs w:val="22"/>
          <w:lang w:eastAsia="en-GB"/>
        </w:rPr>
        <w:t>this question</w:t>
      </w:r>
      <w:r w:rsidR="00436CD0" w:rsidRPr="00C44D8C">
        <w:rPr>
          <w:rFonts w:asciiTheme="minorHAnsi" w:eastAsia="Calibri" w:hAnsiTheme="minorHAnsi" w:cs="Calibri"/>
          <w:sz w:val="22"/>
          <w:szCs w:val="22"/>
          <w:lang w:eastAsia="en-GB"/>
        </w:rPr>
        <w:t>.</w:t>
      </w:r>
      <w:r w:rsidR="00DD25F4">
        <w:rPr>
          <w:rFonts w:asciiTheme="minorHAnsi" w:eastAsia="Calibri" w:hAnsiTheme="minorHAnsi" w:cs="Calibri"/>
          <w:sz w:val="22"/>
          <w:szCs w:val="22"/>
          <w:lang w:eastAsia="en-GB"/>
        </w:rPr>
        <w:t xml:space="preserve"> This information would provide a much more comprehensive framework in which to better understand the effect of the support material on the biofilm-forming capabilities of </w:t>
      </w:r>
      <w:r w:rsidR="00DD25F4">
        <w:rPr>
          <w:rFonts w:asciiTheme="minorHAnsi" w:eastAsia="Calibri" w:hAnsiTheme="minorHAnsi" w:cs="Calibri"/>
          <w:i/>
          <w:sz w:val="22"/>
          <w:szCs w:val="22"/>
          <w:lang w:eastAsia="en-GB"/>
        </w:rPr>
        <w:t xml:space="preserve">M. barkeri, </w:t>
      </w:r>
      <w:r w:rsidR="00DD25F4">
        <w:rPr>
          <w:rFonts w:asciiTheme="minorHAnsi" w:eastAsia="Calibri" w:hAnsiTheme="minorHAnsi" w:cs="Calibri"/>
          <w:sz w:val="22"/>
          <w:szCs w:val="22"/>
          <w:lang w:eastAsia="en-GB"/>
        </w:rPr>
        <w:t xml:space="preserve">and could guide the selection of appropriate support materials for the immobilisation of </w:t>
      </w:r>
      <w:r w:rsidR="00DD25F4">
        <w:rPr>
          <w:rFonts w:asciiTheme="minorHAnsi" w:eastAsia="Calibri" w:hAnsiTheme="minorHAnsi" w:cs="Calibri"/>
          <w:i/>
          <w:sz w:val="22"/>
          <w:szCs w:val="22"/>
          <w:lang w:eastAsia="en-GB"/>
        </w:rPr>
        <w:t xml:space="preserve">Methanosarcina </w:t>
      </w:r>
      <w:r w:rsidR="00DD25F4">
        <w:rPr>
          <w:rFonts w:asciiTheme="minorHAnsi" w:eastAsia="Calibri" w:hAnsiTheme="minorHAnsi" w:cs="Calibri"/>
          <w:sz w:val="22"/>
          <w:szCs w:val="22"/>
          <w:lang w:eastAsia="en-GB"/>
        </w:rPr>
        <w:t>within AD reactors. Therefore, t</w:t>
      </w:r>
      <w:r w:rsidR="00436CD0" w:rsidRPr="00C44D8C">
        <w:rPr>
          <w:rFonts w:asciiTheme="minorHAnsi" w:eastAsia="Calibri" w:hAnsiTheme="minorHAnsi" w:cs="Calibri"/>
          <w:sz w:val="22"/>
          <w:szCs w:val="22"/>
          <w:lang w:eastAsia="en-GB"/>
        </w:rPr>
        <w:t xml:space="preserve">he next chapter examines </w:t>
      </w:r>
      <w:r w:rsidR="00DD25F4">
        <w:rPr>
          <w:rFonts w:asciiTheme="minorHAnsi" w:eastAsia="Calibri" w:hAnsiTheme="minorHAnsi" w:cs="Calibri"/>
          <w:sz w:val="22"/>
          <w:szCs w:val="22"/>
          <w:lang w:eastAsia="en-GB"/>
        </w:rPr>
        <w:t xml:space="preserve">these biological mechanisms for biofilm development in more detail by </w:t>
      </w:r>
      <w:r w:rsidR="00436CD0" w:rsidRPr="00C44D8C">
        <w:rPr>
          <w:rFonts w:asciiTheme="minorHAnsi" w:eastAsia="Calibri" w:hAnsiTheme="minorHAnsi" w:cs="Calibri"/>
          <w:sz w:val="22"/>
          <w:szCs w:val="22"/>
          <w:lang w:eastAsia="en-GB"/>
        </w:rPr>
        <w:t xml:space="preserve">investigating the </w:t>
      </w:r>
      <w:r w:rsidR="00DD25F4">
        <w:rPr>
          <w:rFonts w:asciiTheme="minorHAnsi" w:eastAsia="Calibri" w:hAnsiTheme="minorHAnsi" w:cs="Calibri"/>
          <w:sz w:val="22"/>
          <w:szCs w:val="22"/>
          <w:lang w:eastAsia="en-GB"/>
        </w:rPr>
        <w:t>proteomic profiles</w:t>
      </w:r>
      <w:r w:rsidR="00436CD0" w:rsidRPr="00C44D8C">
        <w:rPr>
          <w:rFonts w:asciiTheme="minorHAnsi" w:eastAsia="Calibri" w:hAnsiTheme="minorHAnsi" w:cs="Calibri"/>
          <w:sz w:val="22"/>
          <w:szCs w:val="22"/>
          <w:lang w:eastAsia="en-GB"/>
        </w:rPr>
        <w:t xml:space="preserve"> of </w:t>
      </w:r>
      <w:r w:rsidR="00436CD0" w:rsidRPr="00C44D8C">
        <w:rPr>
          <w:rFonts w:asciiTheme="minorHAnsi" w:eastAsia="Calibri" w:hAnsiTheme="minorHAnsi" w:cs="Calibri"/>
          <w:i/>
          <w:iCs/>
          <w:sz w:val="22"/>
          <w:szCs w:val="22"/>
          <w:lang w:eastAsia="en-GB"/>
        </w:rPr>
        <w:t xml:space="preserve">M. barkeri </w:t>
      </w:r>
      <w:r w:rsidR="00436CD0" w:rsidRPr="00C44D8C">
        <w:rPr>
          <w:rFonts w:asciiTheme="minorHAnsi" w:eastAsia="Calibri" w:hAnsiTheme="minorHAnsi" w:cs="Calibri"/>
          <w:sz w:val="22"/>
          <w:szCs w:val="22"/>
          <w:lang w:eastAsia="en-GB"/>
        </w:rPr>
        <w:t xml:space="preserve">biofilms </w:t>
      </w:r>
      <w:r w:rsidR="00DD25F4">
        <w:rPr>
          <w:rFonts w:asciiTheme="minorHAnsi" w:eastAsia="Calibri" w:hAnsiTheme="minorHAnsi" w:cs="Calibri"/>
          <w:sz w:val="22"/>
          <w:szCs w:val="22"/>
          <w:lang w:eastAsia="en-GB"/>
        </w:rPr>
        <w:t>upon attachment</w:t>
      </w:r>
      <w:r w:rsidR="00436CD0" w:rsidRPr="00C44D8C">
        <w:rPr>
          <w:rFonts w:asciiTheme="minorHAnsi" w:eastAsia="Calibri" w:hAnsiTheme="minorHAnsi" w:cs="Calibri"/>
          <w:sz w:val="22"/>
          <w:szCs w:val="22"/>
          <w:lang w:eastAsia="en-GB"/>
        </w:rPr>
        <w:t xml:space="preserve"> to PVC and PETG. </w:t>
      </w:r>
    </w:p>
    <w:p w14:paraId="59A00109" w14:textId="60ACADC5" w:rsidR="002B69BD" w:rsidRPr="002B69BD" w:rsidRDefault="002B69BD" w:rsidP="002B69BD">
      <w:pPr>
        <w:pStyle w:val="Heading2"/>
        <w:jc w:val="right"/>
      </w:pPr>
      <w:bookmarkStart w:id="127" w:name="_Toc462575337"/>
      <w:r w:rsidRPr="002B69BD">
        <w:lastRenderedPageBreak/>
        <w:t>Chapter 5</w:t>
      </w:r>
      <w:bookmarkEnd w:id="127"/>
    </w:p>
    <w:p w14:paraId="6A549BF2" w14:textId="77777777" w:rsidR="002B69BD" w:rsidRPr="00C44D8C" w:rsidRDefault="002B69BD" w:rsidP="002B69BD">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b/>
          <w:color w:val="000000"/>
          <w:sz w:val="22"/>
          <w:szCs w:val="22"/>
          <w:lang w:eastAsia="zh-CN"/>
        </w:rPr>
        <w:t>____________________________________________________________________</w:t>
      </w:r>
      <w:r>
        <w:rPr>
          <w:rFonts w:asciiTheme="minorHAnsi" w:eastAsia="Calibri" w:hAnsiTheme="minorHAnsi" w:cs="Calibri"/>
          <w:b/>
          <w:color w:val="000000"/>
          <w:sz w:val="22"/>
          <w:szCs w:val="22"/>
          <w:lang w:eastAsia="zh-CN"/>
        </w:rPr>
        <w:t>_______</w:t>
      </w:r>
    </w:p>
    <w:p w14:paraId="32A94E8E" w14:textId="4E46CA13" w:rsidR="00436CD0" w:rsidRPr="00C44D8C" w:rsidRDefault="00436CD0" w:rsidP="002B69BD">
      <w:pPr>
        <w:pStyle w:val="Heading5"/>
        <w:rPr>
          <w:rFonts w:eastAsia="Calibri" w:cs="Arial"/>
        </w:rPr>
      </w:pPr>
      <w:bookmarkStart w:id="128" w:name="_Toc462574749"/>
      <w:bookmarkStart w:id="129" w:name="_Toc462575338"/>
      <w:r w:rsidRPr="00C44D8C">
        <w:rPr>
          <w:rFonts w:eastAsia="Calibri"/>
        </w:rPr>
        <w:t xml:space="preserve">Influence of a biofilm lifestyle on the functional proteome of </w:t>
      </w:r>
      <w:r w:rsidRPr="00C44D8C">
        <w:rPr>
          <w:rFonts w:eastAsia="Calibri"/>
          <w:i/>
        </w:rPr>
        <w:t>Methanosarcina barkeri</w:t>
      </w:r>
      <w:r w:rsidRPr="00C44D8C">
        <w:rPr>
          <w:rFonts w:eastAsia="Calibri"/>
        </w:rPr>
        <w:t xml:space="preserve"> as a function of support material</w:t>
      </w:r>
      <w:bookmarkEnd w:id="128"/>
      <w:bookmarkEnd w:id="129"/>
    </w:p>
    <w:p w14:paraId="243775EE" w14:textId="77777777" w:rsidR="00436CD0" w:rsidRPr="00C44D8C" w:rsidRDefault="00436CD0" w:rsidP="00436CD0">
      <w:pPr>
        <w:spacing w:line="360" w:lineRule="auto"/>
        <w:rPr>
          <w:rFonts w:asciiTheme="minorHAnsi" w:hAnsiTheme="minorHAnsi"/>
          <w:sz w:val="22"/>
          <w:szCs w:val="22"/>
          <w:lang w:eastAsia="en-GB"/>
        </w:rPr>
      </w:pPr>
    </w:p>
    <w:p w14:paraId="7EB3E4DA" w14:textId="6A55CD3A" w:rsidR="00436CD0" w:rsidRPr="00C44D8C" w:rsidRDefault="00436CD0" w:rsidP="002B69BD">
      <w:pPr>
        <w:pStyle w:val="Heading1"/>
        <w:rPr>
          <w:lang w:eastAsia="en-GB"/>
        </w:rPr>
      </w:pPr>
      <w:bookmarkStart w:id="130" w:name="_Toc462575339"/>
      <w:r w:rsidRPr="00C44D8C">
        <w:rPr>
          <w:lang w:eastAsia="en-GB"/>
        </w:rPr>
        <w:t>5.1. Introduction</w:t>
      </w:r>
      <w:bookmarkEnd w:id="130"/>
    </w:p>
    <w:p w14:paraId="565F84A4" w14:textId="1AC30080" w:rsidR="00436CD0" w:rsidRPr="00C44D8C" w:rsidRDefault="00436CD0" w:rsidP="00436CD0">
      <w:pPr>
        <w:spacing w:line="360" w:lineRule="auto"/>
        <w:rPr>
          <w:rFonts w:asciiTheme="minorHAnsi" w:hAnsiTheme="minorHAnsi"/>
          <w:bCs/>
          <w:color w:val="000000"/>
          <w:sz w:val="22"/>
          <w:szCs w:val="22"/>
          <w:lang w:eastAsia="en-GB"/>
        </w:rPr>
      </w:pPr>
      <w:r w:rsidRPr="00C44D8C">
        <w:rPr>
          <w:rFonts w:asciiTheme="minorHAnsi" w:hAnsiTheme="minorHAnsi"/>
          <w:bCs/>
          <w:color w:val="000000"/>
          <w:sz w:val="22"/>
          <w:szCs w:val="22"/>
          <w:lang w:eastAsia="en-GB"/>
        </w:rPr>
        <w:t xml:space="preserve">Distinct adaptive differences in the </w:t>
      </w:r>
      <w:r w:rsidR="00C27E23">
        <w:rPr>
          <w:rFonts w:asciiTheme="minorHAnsi" w:hAnsiTheme="minorHAnsi"/>
          <w:bCs/>
          <w:color w:val="000000"/>
          <w:sz w:val="22"/>
          <w:szCs w:val="22"/>
          <w:lang w:eastAsia="en-GB"/>
        </w:rPr>
        <w:t xml:space="preserve">cell adhesion and </w:t>
      </w:r>
      <w:r w:rsidRPr="00C44D8C">
        <w:rPr>
          <w:rFonts w:asciiTheme="minorHAnsi" w:hAnsiTheme="minorHAnsi"/>
          <w:bCs/>
          <w:color w:val="000000"/>
          <w:sz w:val="22"/>
          <w:szCs w:val="22"/>
          <w:lang w:eastAsia="en-GB"/>
        </w:rPr>
        <w:t xml:space="preserve">cell surface characteristics between biofilms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 xml:space="preserve">to PVC and PETG have been established in the previous chapters. The different physicochemical properties of PVC and PETG have been influential in the process of initial adhesion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 xml:space="preserve">to these surfaces, and have elicited distinctly different phenotypical characteristics and biofilm behaviour from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 xml:space="preserve">It is apparent that the nature of the support material is an important environmental </w:t>
      </w:r>
      <w:r w:rsidR="00ED7487">
        <w:rPr>
          <w:rFonts w:asciiTheme="minorHAnsi" w:hAnsiTheme="minorHAnsi"/>
          <w:bCs/>
          <w:color w:val="000000"/>
          <w:sz w:val="22"/>
          <w:szCs w:val="22"/>
          <w:lang w:eastAsia="en-GB"/>
        </w:rPr>
        <w:t>factor that can promote</w:t>
      </w:r>
      <w:r w:rsidRPr="00C44D8C">
        <w:rPr>
          <w:rFonts w:asciiTheme="minorHAnsi" w:hAnsiTheme="minorHAnsi"/>
          <w:bCs/>
          <w:color w:val="000000"/>
          <w:sz w:val="22"/>
          <w:szCs w:val="22"/>
          <w:lang w:eastAsia="en-GB"/>
        </w:rPr>
        <w:t xml:space="preserve"> unique metabolic and physiological changes during biofilm formation, and that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is able to carry out abiotic surface sensing</w:t>
      </w:r>
      <w:r w:rsidRPr="00C44D8C">
        <w:rPr>
          <w:rFonts w:asciiTheme="minorHAnsi" w:hAnsiTheme="minorHAnsi"/>
          <w:bCs/>
          <w:i/>
          <w:color w:val="000000"/>
          <w:sz w:val="22"/>
          <w:szCs w:val="22"/>
          <w:lang w:eastAsia="en-GB"/>
        </w:rPr>
        <w:t xml:space="preserve">. </w:t>
      </w:r>
      <w:r w:rsidRPr="00C44D8C">
        <w:rPr>
          <w:rFonts w:asciiTheme="minorHAnsi" w:hAnsiTheme="minorHAnsi"/>
          <w:bCs/>
          <w:color w:val="000000"/>
          <w:sz w:val="22"/>
          <w:szCs w:val="22"/>
          <w:lang w:eastAsia="en-GB"/>
        </w:rPr>
        <w:t xml:space="preserve">Therefore, an examination of the </w:t>
      </w:r>
      <w:r w:rsidR="00ED7487">
        <w:rPr>
          <w:rFonts w:asciiTheme="minorHAnsi" w:hAnsiTheme="minorHAnsi"/>
          <w:bCs/>
          <w:color w:val="000000"/>
          <w:sz w:val="22"/>
          <w:szCs w:val="22"/>
          <w:lang w:eastAsia="en-GB"/>
        </w:rPr>
        <w:t>biological mechanisms that are</w:t>
      </w:r>
      <w:r w:rsidRPr="00C44D8C">
        <w:rPr>
          <w:rFonts w:asciiTheme="minorHAnsi" w:hAnsiTheme="minorHAnsi"/>
          <w:bCs/>
          <w:color w:val="000000"/>
          <w:sz w:val="22"/>
          <w:szCs w:val="22"/>
          <w:lang w:eastAsia="en-GB"/>
        </w:rPr>
        <w:t xml:space="preserve"> occurring whilst </w:t>
      </w:r>
      <w:r w:rsidRPr="00C44D8C">
        <w:rPr>
          <w:rFonts w:asciiTheme="minorHAnsi" w:hAnsiTheme="minorHAnsi"/>
          <w:bCs/>
          <w:i/>
          <w:color w:val="000000"/>
          <w:sz w:val="22"/>
          <w:szCs w:val="22"/>
          <w:lang w:eastAsia="en-GB"/>
        </w:rPr>
        <w:t>M. barkeri</w:t>
      </w:r>
      <w:r w:rsidRPr="00C44D8C">
        <w:rPr>
          <w:rFonts w:asciiTheme="minorHAnsi" w:hAnsiTheme="minorHAnsi"/>
          <w:bCs/>
          <w:color w:val="000000"/>
          <w:sz w:val="22"/>
          <w:szCs w:val="22"/>
          <w:lang w:eastAsia="en-GB"/>
        </w:rPr>
        <w:t xml:space="preserve"> is adapting to a biofilm lifestyle on PVC or PETG is desirable in order to provide a comprehensive understanding of the biological factors underlying biofilm formation in this methanogen.</w:t>
      </w:r>
    </w:p>
    <w:p w14:paraId="297074C0" w14:textId="7FA9D5B8" w:rsidR="00436CD0" w:rsidRPr="00C44D8C" w:rsidRDefault="00436CD0" w:rsidP="00436CD0">
      <w:pPr>
        <w:spacing w:line="360" w:lineRule="auto"/>
        <w:rPr>
          <w:rFonts w:asciiTheme="minorHAnsi" w:hAnsiTheme="minorHAnsi"/>
          <w:bCs/>
          <w:color w:val="000000"/>
          <w:sz w:val="22"/>
          <w:szCs w:val="22"/>
          <w:lang w:eastAsia="en-GB"/>
        </w:rPr>
      </w:pPr>
      <w:r w:rsidRPr="00C44D8C">
        <w:rPr>
          <w:rFonts w:asciiTheme="minorHAnsi" w:hAnsiTheme="minorHAnsi"/>
          <w:bCs/>
          <w:color w:val="000000"/>
          <w:sz w:val="22"/>
          <w:szCs w:val="22"/>
          <w:lang w:eastAsia="en-GB"/>
        </w:rPr>
        <w:tab/>
        <w:t xml:space="preserve">Biofilm research reached a pinnacle with the advent of proteomic analysis, and it is now possible to determine all the expressed proteins of a cell, or the functional proteome, in order to understand cellular behaviour in different environmental conditions </w:t>
      </w:r>
      <w:r w:rsidR="00DD00BB">
        <w:rPr>
          <w:rFonts w:asciiTheme="minorHAnsi" w:hAnsiTheme="minorHAnsi"/>
          <w:bCs/>
          <w:color w:val="000000"/>
          <w:sz w:val="22"/>
          <w:szCs w:val="22"/>
          <w:lang w:eastAsia="en-GB"/>
        </w:rPr>
        <w:fldChar w:fldCharType="begin" w:fldLock="1"/>
      </w:r>
      <w:r w:rsidR="00AB0CFE">
        <w:rPr>
          <w:rFonts w:asciiTheme="minorHAnsi" w:hAnsiTheme="minorHAnsi"/>
          <w:bCs/>
          <w:color w:val="000000"/>
          <w:sz w:val="22"/>
          <w:szCs w:val="22"/>
          <w:lang w:eastAsia="en-GB"/>
        </w:rPr>
        <w:instrText>ADDIN CSL_CITATION { "citationItems" : [ { "id" : "ITEM-1", "itemData" : { "author" : [ { "dropping-particle" : "", "family" : "Graves", "given" : "P.R.", "non-dropping-particle" : "", "parse-names" : false, "suffix" : "" }, { "dropping-particle" : "", "family" : "Haystead", "given" : "T.A.J.", "non-dropping-particle" : "", "parse-names" : false, "suffix" : "" } ], "container-title" : "Microbiology and Molecular Biology Reviews", "id" : "ITEM-1", "issued" : { "date-parts" : [ [ "2002" ] ] }, "page" : "39-63", "title" : "Molecular Biologist\u2019s Guide to Proteomics", "type" : "article-journal", "volume" : "66" }, "uris" : [ "http://www.mendeley.com/documents/?uuid=52365586-e7ff-358b-90e7-642bf4ddf4d2" ] } ], "mendeley" : { "formattedCitation" : "[142]", "plainTextFormattedCitation" : "[142]", "previouslyFormattedCitation" : "[142]" }, "properties" : { "noteIndex" : 0 }, "schema" : "https://github.com/citation-style-language/schema/raw/master/csl-citation.json" }</w:instrText>
      </w:r>
      <w:r w:rsidR="00DD00BB">
        <w:rPr>
          <w:rFonts w:asciiTheme="minorHAnsi" w:hAnsiTheme="minorHAnsi"/>
          <w:bCs/>
          <w:color w:val="000000"/>
          <w:sz w:val="22"/>
          <w:szCs w:val="22"/>
          <w:lang w:eastAsia="en-GB"/>
        </w:rPr>
        <w:fldChar w:fldCharType="separate"/>
      </w:r>
      <w:r w:rsidR="00BB3D6F" w:rsidRPr="00BB3D6F">
        <w:rPr>
          <w:rFonts w:asciiTheme="minorHAnsi" w:hAnsiTheme="minorHAnsi"/>
          <w:bCs/>
          <w:noProof/>
          <w:color w:val="000000"/>
          <w:sz w:val="22"/>
          <w:szCs w:val="22"/>
          <w:lang w:eastAsia="en-GB"/>
        </w:rPr>
        <w:t>[142]</w:t>
      </w:r>
      <w:r w:rsidR="00DD00BB">
        <w:rPr>
          <w:rFonts w:asciiTheme="minorHAnsi" w:hAnsiTheme="minorHAnsi"/>
          <w:bCs/>
          <w:color w:val="000000"/>
          <w:sz w:val="22"/>
          <w:szCs w:val="22"/>
          <w:lang w:eastAsia="en-GB"/>
        </w:rPr>
        <w:fldChar w:fldCharType="end"/>
      </w:r>
      <w:r w:rsidRPr="00C44D8C">
        <w:rPr>
          <w:rFonts w:asciiTheme="minorHAnsi" w:hAnsiTheme="minorHAnsi"/>
          <w:bCs/>
          <w:color w:val="000000"/>
          <w:sz w:val="22"/>
          <w:szCs w:val="22"/>
          <w:lang w:eastAsia="en-GB"/>
        </w:rPr>
        <w:t xml:space="preserve">. Quantitative proteomics has proven to be a powerful and potent tool that has provided insight into the inner workings of a wide range of biological matter </w:t>
      </w:r>
      <w:r w:rsidR="00DD00BB">
        <w:rPr>
          <w:rFonts w:asciiTheme="minorHAnsi" w:hAnsiTheme="minorHAnsi"/>
          <w:bCs/>
          <w:color w:val="000000"/>
          <w:sz w:val="22"/>
          <w:szCs w:val="22"/>
          <w:lang w:eastAsia="en-GB"/>
        </w:rPr>
        <w:fldChar w:fldCharType="begin" w:fldLock="1"/>
      </w:r>
      <w:r w:rsidR="00AB0CFE">
        <w:rPr>
          <w:rFonts w:asciiTheme="minorHAnsi" w:hAnsiTheme="minorHAnsi"/>
          <w:bCs/>
          <w:color w:val="000000"/>
          <w:sz w:val="22"/>
          <w:szCs w:val="22"/>
          <w:lang w:eastAsia="en-GB"/>
        </w:rPr>
        <w:instrText>ADDIN CSL_CITATION { "citationItems" : [ { "id" : "ITEM-1", "itemData" : { "DOI" : "10.1038/nrm1468", "ISBN" : "1471-0072 (Print)", "ISSN" : "1471-0072", "PMID" : "15340378", "abstract" : "Proteomics is an increasingly powerful and indispensable technology in molecular cell biology. It can be used to identify the components of small protein complexes and large organelles, to determine post-translational modifications and in sophisticated functional screens. The key - but little understood - technology in mass-spectrometry-based proteomics is peptide sequencing, which we describe and review here in an easily accessible format.", "author" : [ { "dropping-particle" : "", "family" : "Steen", "given" : "Hanno", "non-dropping-particle" : "", "parse-names" : false, "suffix" : "" }, { "dropping-particle" : "", "family" : "Mann", "given" : "Matthias", "non-dropping-particle" : "", "parse-names" : false, "suffix" : "" } ], "container-title" : "Nature reviews. Molecular cell biology", "id" : "ITEM-1", "issue" : "September", "issued" : { "date-parts" : [ [ "2004" ] ] }, "page" : "699-711", "title" : "The ABC's (and XYZ's) of peptide sequencing.", "type" : "article-journal", "volume" : "5" }, "uris" : [ "http://www.mendeley.com/documents/?uuid=2d36a031-1cab-4496-b044-20fa3b282c07" ] } ], "mendeley" : { "formattedCitation" : "[144]", "plainTextFormattedCitation" : "[144]", "previouslyFormattedCitation" : "[144]" }, "properties" : { "noteIndex" : 0 }, "schema" : "https://github.com/citation-style-language/schema/raw/master/csl-citation.json" }</w:instrText>
      </w:r>
      <w:r w:rsidR="00DD00BB">
        <w:rPr>
          <w:rFonts w:asciiTheme="minorHAnsi" w:hAnsiTheme="minorHAnsi"/>
          <w:bCs/>
          <w:color w:val="000000"/>
          <w:sz w:val="22"/>
          <w:szCs w:val="22"/>
          <w:lang w:eastAsia="en-GB"/>
        </w:rPr>
        <w:fldChar w:fldCharType="separate"/>
      </w:r>
      <w:r w:rsidR="00BB3D6F" w:rsidRPr="00BB3D6F">
        <w:rPr>
          <w:rFonts w:asciiTheme="minorHAnsi" w:hAnsiTheme="minorHAnsi"/>
          <w:bCs/>
          <w:noProof/>
          <w:color w:val="000000"/>
          <w:sz w:val="22"/>
          <w:szCs w:val="22"/>
          <w:lang w:eastAsia="en-GB"/>
        </w:rPr>
        <w:t>[144]</w:t>
      </w:r>
      <w:r w:rsidR="00DD00BB">
        <w:rPr>
          <w:rFonts w:asciiTheme="minorHAnsi" w:hAnsiTheme="minorHAnsi"/>
          <w:bCs/>
          <w:color w:val="000000"/>
          <w:sz w:val="22"/>
          <w:szCs w:val="22"/>
          <w:lang w:eastAsia="en-GB"/>
        </w:rPr>
        <w:fldChar w:fldCharType="end"/>
      </w:r>
      <w:r w:rsidRPr="00C44D8C">
        <w:rPr>
          <w:rFonts w:asciiTheme="minorHAnsi" w:hAnsiTheme="minorHAnsi"/>
          <w:bCs/>
          <w:color w:val="000000"/>
          <w:sz w:val="22"/>
          <w:szCs w:val="22"/>
          <w:lang w:eastAsia="en-GB"/>
        </w:rPr>
        <w:t>. Since its inception in 2004</w:t>
      </w:r>
      <w:r w:rsidR="00DD00BB">
        <w:rPr>
          <w:rFonts w:asciiTheme="minorHAnsi" w:hAnsiTheme="minorHAnsi"/>
          <w:bCs/>
          <w:color w:val="000000"/>
          <w:sz w:val="22"/>
          <w:szCs w:val="22"/>
          <w:lang w:eastAsia="en-GB"/>
        </w:rPr>
        <w:t xml:space="preserve"> </w:t>
      </w:r>
      <w:r w:rsidR="00DD00BB">
        <w:rPr>
          <w:rFonts w:asciiTheme="minorHAnsi" w:hAnsiTheme="minorHAnsi"/>
          <w:bCs/>
          <w:color w:val="000000"/>
          <w:sz w:val="22"/>
          <w:szCs w:val="22"/>
          <w:lang w:eastAsia="en-GB"/>
        </w:rPr>
        <w:fldChar w:fldCharType="begin" w:fldLock="1"/>
      </w:r>
      <w:r w:rsidR="007E3308">
        <w:rPr>
          <w:rFonts w:asciiTheme="minorHAnsi" w:hAnsiTheme="minorHAnsi"/>
          <w:bCs/>
          <w:color w:val="000000"/>
          <w:sz w:val="22"/>
          <w:szCs w:val="22"/>
          <w:lang w:eastAsia="en-GB"/>
        </w:rPr>
        <w:instrText>ADDIN CSL_CITATION { "citationItems" : [ { "id" : "ITEM-1", "itemData" : { "DOI" : "10.1074/mcp.M400129-MCP200", "ISSN" : "1535-9476", "PMID" : "15385600", "abstract" : "We describe here a multiplexed protein quantitation strategy that provides relative and absolute measurements of proteins in complex mixtures. At the core of this methodology is a multiplexed set of isobaric reagents that yield amine-derivatized peptides. The derivatized peptides are indistinguishable in MS, but exhibit intense low-mass MS/MS signature ions that support quantitation. In this study, we have examined the global protein expression of a wild-type yeast strain and the isogenic upf1Delta and xrn1Delta mutant strains that are defective in the nonsense-mediated mRNA decay and the general 5' to 3' decay pathways, respectively. We also demonstrate the use of 4-fold multiplexing to enable relative protein measurements simultaneously with determination of absolute levels of a target protein using synthetic isobaric peptide standards. We find that inactivation of Upf1p and Xrn1p causes common as well as unique effects on protein expression.", "author" : [ { "dropping-particle" : "", "family" : "Ross", "given" : "Philip L.", "non-dropping-particle" : "", "parse-names" : false, "suffix" : "" }, { "dropping-particle" : "", "family" : "Huang", "given" : "Yulin N.", "non-dropping-particle" : "", "parse-names" : false, "suffix" : "" }, { "dropping-particle" : "", "family" : "Marchese", "given" : "Jason N.", "non-dropping-particle" : "", "parse-names" : false, "suffix" : "" }, { "dropping-particle" : "", "family" : "Williamson", "given" : "Brian", "non-dropping-particle" : "", "parse-names" : false, "suffix" : "" }, { "dropping-particle" : "", "family" : "Parker", "given" : "Kenneth", "non-dropping-particle" : "", "parse-names" : false, "suffix" : "" }, { "dropping-particle" : "", "family" : "Hattan", "given" : "Stephen", "non-dropping-particle" : "", "parse-names" : false, "suffix" : "" }, { "dropping-particle" : "", "family" : "Khainovski", "given" : "Nikita", "non-dropping-particle" : "", "parse-names" : false, "suffix" : "" }, { "dropping-particle" : "", "family" : "Pillai", "given" : "Sasi", "non-dropping-particle" : "", "parse-names" : false, "suffix" : "" }, { "dropping-particle" : "", "family" : "Dey", "given" : "Subhakar", "non-dropping-particle" : "", "parse-names" : false, "suffix" : "" }, { "dropping-particle" : "", "family" : "Daniels", "given" : "Scott", "non-dropping-particle" : "", "parse-names" : false, "suffix" : "" }, { "dropping-particle" : "", "family" : "Purkayastha", "given" : "Subhasish", "non-dropping-particle" : "", "parse-names" : false, "suffix" : "" }, { "dropping-particle" : "", "family" : "Juhasz", "given" : "Peter", "non-dropping-particle" : "", "parse-names" : false, "suffix" : "" }, { "dropping-particle" : "", "family" : "Martin", "given" : "Stephen", "non-dropping-particle" : "", "parse-names" : false, "suffix" : "" }, { "dropping-particle" : "", "family" : "Bartlet-Jones", "given" : "Michael", "non-dropping-particle" : "", "parse-names" : false, "suffix" : "" }, { "dropping-particle" : "", "family" : "He", "given" : "Feng", "non-dropping-particle" : "", "parse-names" : false, "suffix" : "" }, { "dropping-particle" : "", "family" : "Jacobson", "given" : "Allan", "non-dropping-particle" : "", "parse-names" : false, "suffix" : "" }, { "dropping-particle" : "", "family" : "Pappin", "given" : "Darryl", "non-dropping-particle" : "", "parse-names" : false, "suffix" : "" } ], "container-title" : "Molecular &amp; Cellular Proteomics", "id" : "ITEM-1", "issued" : { "date-parts" : [ [ "2004" ] ] }, "page" : "1154-1169", "title" : "Multiplexed Protein Quantitation in Saccharomyces cerevisiae Using Amine-reactive Isobaric Tagging Reagents", "type" : "article-journal", "volume" : "3" }, "uris" : [ "http://www.mendeley.com/documents/?uuid=c99af10d-100b-4b2c-844b-de4c57526fc3" ] } ], "mendeley" : { "formattedCitation" : "[195]", "plainTextFormattedCitation" : "[195]", "previouslyFormattedCitation" : "[195]" }, "properties" : { "noteIndex" : 0 }, "schema" : "https://github.com/citation-style-language/schema/raw/master/csl-citation.json" }</w:instrText>
      </w:r>
      <w:r w:rsidR="00DD00BB">
        <w:rPr>
          <w:rFonts w:asciiTheme="minorHAnsi" w:hAnsiTheme="minorHAnsi"/>
          <w:bCs/>
          <w:color w:val="000000"/>
          <w:sz w:val="22"/>
          <w:szCs w:val="22"/>
          <w:lang w:eastAsia="en-GB"/>
        </w:rPr>
        <w:fldChar w:fldCharType="separate"/>
      </w:r>
      <w:r w:rsidR="007E3308" w:rsidRPr="007E3308">
        <w:rPr>
          <w:rFonts w:asciiTheme="minorHAnsi" w:hAnsiTheme="minorHAnsi"/>
          <w:bCs/>
          <w:noProof/>
          <w:color w:val="000000"/>
          <w:sz w:val="22"/>
          <w:szCs w:val="22"/>
          <w:lang w:eastAsia="en-GB"/>
        </w:rPr>
        <w:t>[195]</w:t>
      </w:r>
      <w:r w:rsidR="00DD00BB">
        <w:rPr>
          <w:rFonts w:asciiTheme="minorHAnsi" w:hAnsiTheme="minorHAnsi"/>
          <w:bCs/>
          <w:color w:val="000000"/>
          <w:sz w:val="22"/>
          <w:szCs w:val="22"/>
          <w:lang w:eastAsia="en-GB"/>
        </w:rPr>
        <w:fldChar w:fldCharType="end"/>
      </w:r>
      <w:r w:rsidRPr="00C44D8C">
        <w:rPr>
          <w:rFonts w:asciiTheme="minorHAnsi" w:hAnsiTheme="minorHAnsi"/>
          <w:bCs/>
          <w:color w:val="000000"/>
          <w:sz w:val="22"/>
          <w:szCs w:val="22"/>
          <w:lang w:eastAsia="en-GB"/>
        </w:rPr>
        <w:t xml:space="preserve">, quantitative proteomics based on isobaric tags for relative and absolute quantification (iTRAQ) has become extremely popular with researchers owing to its ease of use and ability to quantify multiple protein samples simultaneously </w:t>
      </w:r>
      <w:r w:rsidR="00DD00BB">
        <w:rPr>
          <w:rFonts w:asciiTheme="minorHAnsi" w:hAnsiTheme="minorHAnsi"/>
          <w:bCs/>
          <w:color w:val="000000"/>
          <w:sz w:val="22"/>
          <w:szCs w:val="22"/>
          <w:lang w:eastAsia="en-GB"/>
        </w:rPr>
        <w:fldChar w:fldCharType="begin" w:fldLock="1"/>
      </w:r>
      <w:r w:rsidR="00AB0CFE">
        <w:rPr>
          <w:rFonts w:asciiTheme="minorHAnsi" w:hAnsiTheme="minorHAnsi"/>
          <w:bCs/>
          <w:color w:val="000000"/>
          <w:sz w:val="22"/>
          <w:szCs w:val="22"/>
          <w:lang w:eastAsia="en-GB"/>
        </w:rPr>
        <w:instrText>ADDIN CSL_CITATION { "citationItems" : [ { "id" : "ITEM-1", "itemData" : { "DOI" : "10.2174/157016411794697408", "ISSN" : "15701646", "abstract" : "Isobaric tags for absolute and relative quantification (iTRAQ) provide the quantitative proteomics community with an easy-to-use tool to examine proteome changes. Five years after the launch of the technique, has the community become familiar with iTRAQ? In this review, we propose to answer this question by looking at two of its facets. On the one hand, we enquire whether iTRAQ is used `optimally'; in other words, whether the community is keeping up with the methods that have been devised and the requirements that have become recognised, in quantitative proteomics. On the other hand, there is the question of whether an iTRAQ paper is written in such a way as to allow other researchers to challenge or improve the results. To tackle these two problems, we have reviewed the iTRAQ literature and gathered data about the methods; in this study, we discuss the experimental designs, the use of biological and technical replicates, the confirmation through additional experiments, the strategies to identify differential expression and supplementary information. Our conclusions aim at giving recommendations in light of our statistics.", "author" : [ { "dropping-particle" : "", "family" : "Noirel", "given" : "Josselin", "non-dropping-particle" : "", "parse-names" : false, "suffix" : "" }, { "dropping-particle" : "", "family" : "Evans", "given" : "Caroline", "non-dropping-particle" : "", "parse-names" : false, "suffix" : "" }, { "dropping-particle" : "", "family" : "Salim", "given" : "Malinda", "non-dropping-particle" : "", "parse-names" : false, "suffix" : "" }, { "dropping-particle" : "", "family" : "Mukherjee", "given" : "Joy", "non-dropping-particle" : "", "parse-names" : false, "suffix" : "" }, { "dropping-particle" : "", "family" : "Yen Ow", "given" : "Saw", "non-dropping-particle" : "", "parse-names" : false, "suffix" : "" }, { "dropping-particle" : "", "family" : "Pandhal", "given" : "Jagroop", "non-dropping-particle" : "", "parse-names" : false, "suffix" : "" }, { "dropping-particle" : "", "family" : "Khoa Pham", "given" : "Trong", "non-dropping-particle" : "", "parse-names" : false, "suffix" : "" }, { "dropping-particle" : "", "family" : "A. Biggs", "given" : "Catherine", "non-dropping-particle" : "", "parse-names" : false, "suffix" : "" }, { "dropping-particle" : "", "family" : "C. Wright", "given" : "Phillip", "non-dropping-particle" : "", "parse-names" : false, "suffix" : "" } ], "container-title" : "Current Proteomics", "id" : "ITEM-1", "issue" : "1", "issued" : { "date-parts" : [ [ "2011" ] ] }, "page" : "17-30", "title" : "Methods in Quantitative Proteomics: Setting iTRAQ on the Right Track", "type" : "article-journal", "volume" : "8" }, "uris" : [ "http://www.mendeley.com/documents/?uuid=b6f1e376-d24d-40c5-a1f2-58b0ce013666" ] } ], "mendeley" : { "formattedCitation" : "[159]", "plainTextFormattedCitation" : "[159]", "previouslyFormattedCitation" : "[159]" }, "properties" : { "noteIndex" : 0 }, "schema" : "https://github.com/citation-style-language/schema/raw/master/csl-citation.json" }</w:instrText>
      </w:r>
      <w:r w:rsidR="00DD00BB">
        <w:rPr>
          <w:rFonts w:asciiTheme="minorHAnsi" w:hAnsiTheme="minorHAnsi"/>
          <w:bCs/>
          <w:color w:val="000000"/>
          <w:sz w:val="22"/>
          <w:szCs w:val="22"/>
          <w:lang w:eastAsia="en-GB"/>
        </w:rPr>
        <w:fldChar w:fldCharType="separate"/>
      </w:r>
      <w:r w:rsidR="00BB3D6F" w:rsidRPr="00BB3D6F">
        <w:rPr>
          <w:rFonts w:asciiTheme="minorHAnsi" w:hAnsiTheme="minorHAnsi"/>
          <w:bCs/>
          <w:noProof/>
          <w:color w:val="000000"/>
          <w:sz w:val="22"/>
          <w:szCs w:val="22"/>
          <w:lang w:eastAsia="en-GB"/>
        </w:rPr>
        <w:t>[159]</w:t>
      </w:r>
      <w:r w:rsidR="00DD00BB">
        <w:rPr>
          <w:rFonts w:asciiTheme="minorHAnsi" w:hAnsiTheme="minorHAnsi"/>
          <w:bCs/>
          <w:color w:val="000000"/>
          <w:sz w:val="22"/>
          <w:szCs w:val="22"/>
          <w:lang w:eastAsia="en-GB"/>
        </w:rPr>
        <w:fldChar w:fldCharType="end"/>
      </w:r>
      <w:r w:rsidRPr="00C44D8C">
        <w:rPr>
          <w:rFonts w:asciiTheme="minorHAnsi" w:hAnsiTheme="minorHAnsi"/>
          <w:bCs/>
          <w:color w:val="000000"/>
          <w:sz w:val="22"/>
          <w:szCs w:val="22"/>
          <w:lang w:eastAsia="en-GB"/>
        </w:rPr>
        <w:t xml:space="preserve">. </w:t>
      </w:r>
    </w:p>
    <w:p w14:paraId="5A3BB62D" w14:textId="4B643233" w:rsidR="00436CD0" w:rsidRPr="00C44D8C" w:rsidRDefault="00436CD0" w:rsidP="00436CD0">
      <w:pPr>
        <w:spacing w:line="360" w:lineRule="auto"/>
        <w:rPr>
          <w:rFonts w:asciiTheme="minorHAnsi" w:eastAsia="Calibri" w:hAnsiTheme="minorHAnsi" w:cs="Arial"/>
          <w:sz w:val="22"/>
          <w:szCs w:val="22"/>
        </w:rPr>
      </w:pPr>
      <w:r w:rsidRPr="00C44D8C">
        <w:rPr>
          <w:rFonts w:asciiTheme="minorHAnsi" w:hAnsiTheme="minorHAnsi"/>
          <w:bCs/>
          <w:color w:val="000000"/>
          <w:sz w:val="22"/>
          <w:szCs w:val="22"/>
          <w:lang w:eastAsia="en-GB"/>
        </w:rPr>
        <w:tab/>
        <w:t xml:space="preserve">iTRAQ has been used in previous studies to quantitatively uncover the complete protein expression and therefore, the adaptive responses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 xml:space="preserve">and </w:t>
      </w:r>
      <w:r w:rsidRPr="00C44D8C">
        <w:rPr>
          <w:rFonts w:asciiTheme="minorHAnsi" w:hAnsiTheme="minorHAnsi"/>
          <w:bCs/>
          <w:i/>
          <w:color w:val="000000"/>
          <w:sz w:val="22"/>
          <w:szCs w:val="22"/>
          <w:lang w:eastAsia="en-GB"/>
        </w:rPr>
        <w:t>Methanococcoides burtonii</w:t>
      </w:r>
      <w:r w:rsidRPr="00C44D8C">
        <w:rPr>
          <w:rFonts w:asciiTheme="minorHAnsi" w:hAnsiTheme="minorHAnsi"/>
          <w:bCs/>
          <w:color w:val="000000"/>
          <w:sz w:val="22"/>
          <w:szCs w:val="22"/>
          <w:lang w:eastAsia="en-GB"/>
        </w:rPr>
        <w:t xml:space="preserve"> to different growth temperatures</w:t>
      </w:r>
      <w:r w:rsidR="00DD00BB">
        <w:rPr>
          <w:rFonts w:asciiTheme="minorHAnsi" w:hAnsiTheme="minorHAnsi"/>
          <w:bCs/>
          <w:color w:val="000000"/>
          <w:sz w:val="22"/>
          <w:szCs w:val="22"/>
          <w:lang w:eastAsia="en-GB"/>
        </w:rPr>
        <w:t xml:space="preserve"> </w:t>
      </w:r>
      <w:r w:rsidR="00DD00BB">
        <w:rPr>
          <w:rFonts w:asciiTheme="minorHAnsi" w:hAnsiTheme="minorHAnsi"/>
          <w:bCs/>
          <w:color w:val="000000"/>
          <w:sz w:val="22"/>
          <w:szCs w:val="22"/>
          <w:lang w:eastAsia="en-GB"/>
        </w:rPr>
        <w:fldChar w:fldCharType="begin" w:fldLock="1"/>
      </w:r>
      <w:r w:rsidR="00AB0CFE">
        <w:rPr>
          <w:rFonts w:asciiTheme="minorHAnsi" w:hAnsiTheme="minorHAnsi"/>
          <w:bCs/>
          <w:color w:val="000000"/>
          <w:sz w:val="22"/>
          <w:szCs w:val="22"/>
          <w:lang w:eastAsia="en-GB"/>
        </w:rPr>
        <w:instrText>ADDIN CSL_CITATION { "citationItems" : [ { "id" : "ITEM-1", "itemData" : { "DOI" : "10.1128/AEM.03787-12", "ISSN" : "1098-5336", "PMID" : "23645201", "abstract" : "Low-temperature anaerobic digestion (LTAD) technology is underpinned by a diverse microbial community. The methanogenic archaea represent a key functional group in these consortia, undertaking CO2 reduction as well as acetate and methylated C1 metabolism with subsequent biogas (40 to 60% CH4 and 30 to 50% CO2) formation. However, the cold adaptation strategies, which allow methanogens to function efficiently in LTAD, remain unclear. Here, a pure-culture proteomic approach was employed to study the functional characteristics of Methanosarcina barkeri (optimum growth temperature, 37\u00b0C), which has been detected in LTAD bioreactors. Two experimental approaches were undertaken. The first approach aimed to characterize a low-temperature shock response (LTSR) of M. barkeri DSMZ 800(T) grown at 37\u00b0C with a temperature drop to 15\u00b0C, while the second experimental approach aimed to examine the low-temperature adaptation strategies (LTAS) of the same strain when it was grown at 15\u00b0C. The latter experiment employed cell viability and growth measurements (optical density at 600 nm [OD600]), which directly compared M. barkeri cells grown at 15\u00b0C with those grown at 37\u00b0C. During the LTSR experiment, a total of 127 proteins were detected in 37\u00b0C and 15\u00b0C samples, with 20 proteins differentially expressed with respect to temperature, while in the LTAS experiment 39% of proteins identified were differentially expressed between phases of growth. Functional categories included methanogenesis, cellular information processing, and chaperones. By applying a polyphasic approach (proteomics and growth studies), insights into the low-temperature adaptation capacity of this mesophilically characterized methanogen were obtained which suggest that the metabolically diverse Methanosarcinaceae could be functionally relevant for LTAD systems.", "author" : [ { "dropping-particle" : "", "family" : "Gunnigle", "given" : "Eoin", "non-dropping-particle" : "", "parse-names" : false, "suffix" : "" }, { "dropping-particle" : "", "family" : "McCay", "given" : "Paul", "non-dropping-particle" : "", "parse-names" : false, "suffix" : "" }, { "dropping-particle" : "", "family" : "Fuszard", "given" : "Matthew", "non-dropping-particle" : "", "parse-names" : false, "suffix" : "" }, { "dropping-particle" : "", "family" : "Botting", "given" : "Catherine H", "non-dropping-particle" : "", "parse-names" : false, "suffix" : "" }, { "dropping-particle" : "", "family" : "Abram", "given" : "Florence", "non-dropping-particle" : "", "parse-names" : false, "suffix" : "" }, { "dropping-particle" : "", "family" : "O'Flaherty", "given" : "Vincent", "non-dropping-particle" : "", "parse-names" : false, "suffix" : "" } ], "container-title" : "Applied and environmental microbiology", "id" : "ITEM-1", "issue" : "14", "issued" : { "date-parts" : [ [ "2013", "7" ] ] }, "page" : "4210-9", "title" : "A functional approach to uncover the low-temperature adaptation strategies of the archaeon Methanosarcina barkeri.", "type" : "article-journal", "volume" : "79" }, "uris" : [ "http://www.mendeley.com/documents/?uuid=a1e78e2b-5465-45d9-947f-dd0983c6bf6b" ] }, { "id" : "ITEM-2", "itemData" : { "DOI" : "10.1021/pr9005102", "ISBN" : "1535-3893", "ISSN" : "15353893", "PMID" : "20039705", "abstract" : "The response of the cold-adapted (psychrophilic) methanogenic archaeon Methanococcoides burtonii to growth temperature was investigated using differential proteomics (postincorporation isobaric labeling) and tandem liquid chromatography-mass spectrometry (LC/LC-MS/MS). This is the first proteomic study of M. burtonii to include techniques that specifically enrich for both surface and membrane proteins and to assess the effects of growth temperature (4 vs 23 degrees C) and carbon source (trimethylamine vs methanol) on cellular protein levels. Numerous surface layer proteins were more abundant at 4 degrees C, indicating an extensive remodeling of the cell envelope in response to low temperature. Many of these surface proteins contain domains associated with cell adhesion. Within the cell, small proteins each composed of a single TRAM domain were recovered as important cold adaptation proteins and might serve as RNA chaperones, in an analogous manner to Csp proteins (absent from M. burtonii). Other proteins that had higher abundances at 4 degrees C can be similarly tied to relieving or resolving the adverse affects of cold growth temperature on translational capacity and correct protein folding. The proteome of M. burtonii grown at 23 degrees C was dominated by oxidative stress proteins, as well as a large number of integral membrane proteins of unknown function. This is the first truly global proteomic study of a psychrophilic archaeon and greatly expands knowledge of the cellular mechanisms underpinning cold adaptation in the Archaea.", "author" : [ { "dropping-particle" : "", "family" : "Williams", "given" : "Timothy J.", "non-dropping-particle" : "", "parse-names" : false, "suffix" : "" }, { "dropping-particle" : "", "family" : "Burg", "given" : "Dominic W.", "non-dropping-particle" : "", "parse-names" : false, "suffix" : "" }, { "dropping-particle" : "", "family" : "Ertan", "given" : "Haluk", "non-dropping-particle" : "", "parse-names" : false, "suffix" : "" }, { "dropping-particle" : "", "family" : "Raftery", "given" : "Mark J.", "non-dropping-particle" : "", "parse-names" : false, "suffix" : "" }, { "dropping-particle" : "", "family" : "Poljak", "given" : "Anne", "non-dropping-particle" : "", "parse-names" : false, "suffix" : "" }, { "dropping-particle" : "", "family" : "Guilhaus", "given" : "Michael", "non-dropping-particle" : "", "parse-names" : false, "suffix" : "" }, { "dropping-particle" : "", "family" : "Cavicchioli", "given" : "Ricardo", "non-dropping-particle" : "", "parse-names" : false, "suffix" : "" } ], "container-title" : "Journal of Proteome Research", "id" : "ITEM-2", "issue" : "2", "issued" : { "date-parts" : [ [ "2010" ] ] }, "page" : "653-663", "title" : "Global proteomic analysis of the insoluble, soluble, and supernatant fractions of the psychrophilic archaeon Methanococcoides burtonii part II: The effect of different methylated growth substrates", "type" : "article-journal", "volume" : "9" }, "uris" : [ "http://www.mendeley.com/documents/?uuid=532221f1-c31d-424f-8890-9e5290cbfd6e" ] } ], "mendeley" : { "formattedCitation" : "[161,162]", "plainTextFormattedCitation" : "[161,162]", "previouslyFormattedCitation" : "[161,162]" }, "properties" : { "noteIndex" : 0 }, "schema" : "https://github.com/citation-style-language/schema/raw/master/csl-citation.json" }</w:instrText>
      </w:r>
      <w:r w:rsidR="00DD00BB">
        <w:rPr>
          <w:rFonts w:asciiTheme="minorHAnsi" w:hAnsiTheme="minorHAnsi"/>
          <w:bCs/>
          <w:color w:val="000000"/>
          <w:sz w:val="22"/>
          <w:szCs w:val="22"/>
          <w:lang w:eastAsia="en-GB"/>
        </w:rPr>
        <w:fldChar w:fldCharType="separate"/>
      </w:r>
      <w:r w:rsidR="00BB3D6F" w:rsidRPr="00BB3D6F">
        <w:rPr>
          <w:rFonts w:asciiTheme="minorHAnsi" w:hAnsiTheme="minorHAnsi"/>
          <w:bCs/>
          <w:noProof/>
          <w:color w:val="000000"/>
          <w:sz w:val="22"/>
          <w:szCs w:val="22"/>
          <w:lang w:eastAsia="en-GB"/>
        </w:rPr>
        <w:t>[161,162]</w:t>
      </w:r>
      <w:r w:rsidR="00DD00BB">
        <w:rPr>
          <w:rFonts w:asciiTheme="minorHAnsi" w:hAnsiTheme="minorHAnsi"/>
          <w:bCs/>
          <w:color w:val="000000"/>
          <w:sz w:val="22"/>
          <w:szCs w:val="22"/>
          <w:lang w:eastAsia="en-GB"/>
        </w:rPr>
        <w:fldChar w:fldCharType="end"/>
      </w:r>
      <w:r w:rsidRPr="00C44D8C">
        <w:rPr>
          <w:rFonts w:asciiTheme="minorHAnsi" w:hAnsiTheme="minorHAnsi"/>
          <w:bCs/>
          <w:color w:val="000000"/>
          <w:sz w:val="22"/>
          <w:szCs w:val="22"/>
          <w:lang w:eastAsia="en-GB"/>
        </w:rPr>
        <w:t xml:space="preserve">, as well as the adaptation of planktonic cells of </w:t>
      </w:r>
      <w:r w:rsidRPr="00C44D8C">
        <w:rPr>
          <w:rFonts w:asciiTheme="minorHAnsi" w:eastAsia="Calibri" w:hAnsiTheme="minorHAnsi" w:cs="Arial"/>
          <w:i/>
          <w:sz w:val="22"/>
          <w:szCs w:val="22"/>
        </w:rPr>
        <w:t>S</w:t>
      </w:r>
      <w:r w:rsidR="00ED7487">
        <w:rPr>
          <w:rFonts w:asciiTheme="minorHAnsi" w:eastAsia="Calibri" w:hAnsiTheme="minorHAnsi" w:cs="Arial"/>
          <w:i/>
          <w:sz w:val="22"/>
          <w:szCs w:val="22"/>
        </w:rPr>
        <w:t xml:space="preserve">. </w:t>
      </w:r>
      <w:r w:rsidRPr="00C44D8C">
        <w:rPr>
          <w:rFonts w:asciiTheme="minorHAnsi" w:eastAsia="Calibri" w:hAnsiTheme="minorHAnsi" w:cs="Arial"/>
          <w:i/>
          <w:sz w:val="22"/>
          <w:szCs w:val="22"/>
        </w:rPr>
        <w:t xml:space="preserve">acidocaldarius, S. solfataricus, </w:t>
      </w:r>
      <w:r w:rsidRPr="00C44D8C">
        <w:rPr>
          <w:rFonts w:asciiTheme="minorHAnsi" w:eastAsia="Calibri" w:hAnsiTheme="minorHAnsi" w:cs="Arial"/>
          <w:sz w:val="22"/>
          <w:szCs w:val="22"/>
        </w:rPr>
        <w:t>and</w:t>
      </w:r>
      <w:r w:rsidRPr="00C44D8C">
        <w:rPr>
          <w:rFonts w:asciiTheme="minorHAnsi" w:eastAsia="Calibri" w:hAnsiTheme="minorHAnsi" w:cs="Arial"/>
          <w:i/>
          <w:sz w:val="22"/>
          <w:szCs w:val="22"/>
        </w:rPr>
        <w:t xml:space="preserve"> S. tokodaii </w:t>
      </w:r>
      <w:r w:rsidRPr="00C44D8C">
        <w:rPr>
          <w:rFonts w:asciiTheme="minorHAnsi" w:eastAsia="Calibri" w:hAnsiTheme="minorHAnsi" w:cs="Arial"/>
          <w:sz w:val="22"/>
          <w:szCs w:val="22"/>
        </w:rPr>
        <w:t>to a biofilm lifestyle</w:t>
      </w:r>
      <w:r w:rsidR="00DD00BB">
        <w:rPr>
          <w:rFonts w:asciiTheme="minorHAnsi" w:eastAsia="Calibri" w:hAnsiTheme="minorHAnsi" w:cs="Arial"/>
          <w:sz w:val="22"/>
          <w:szCs w:val="22"/>
        </w:rPr>
        <w:t xml:space="preserve"> </w:t>
      </w:r>
      <w:r w:rsidR="00DD00BB">
        <w:rPr>
          <w:rFonts w:asciiTheme="minorHAnsi" w:eastAsia="Calibri" w:hAnsiTheme="minorHAnsi" w:cs="Arial"/>
          <w:sz w:val="22"/>
          <w:szCs w:val="22"/>
        </w:rPr>
        <w:fldChar w:fldCharType="begin" w:fldLock="1"/>
      </w:r>
      <w:r w:rsidR="00AB0CFE">
        <w:rPr>
          <w:rFonts w:asciiTheme="minorHAnsi" w:eastAsia="Calibri" w:hAnsiTheme="minorHAnsi" w:cs="Arial"/>
          <w:sz w:val="22"/>
          <w:szCs w:val="22"/>
        </w:rPr>
        <w:instrText>ADDIN CSL_CITATION { "citationItems" : [ { "id" : "ITEM-1",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"ITEM-1",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"mendeley" : { "formattedCitation" : "[89]", "plainTextFormattedCitation" : "[89]", "previouslyFormattedCitation" : "[89]" }, "properties" : { "noteIndex" : 0 }, "schema" : "https://github.com/citation-style-language/schema/raw/master/csl-citation.json" }</w:instrText>
      </w:r>
      <w:r w:rsidR="00DD00BB">
        <w:rPr>
          <w:rFonts w:asciiTheme="minorHAnsi" w:eastAsia="Calibri" w:hAnsiTheme="minorHAnsi" w:cs="Arial"/>
          <w:sz w:val="22"/>
          <w:szCs w:val="22"/>
        </w:rPr>
        <w:fldChar w:fldCharType="separate"/>
      </w:r>
      <w:r w:rsidR="00BB3D6F" w:rsidRPr="00BB3D6F">
        <w:rPr>
          <w:rFonts w:asciiTheme="minorHAnsi" w:eastAsia="Calibri" w:hAnsiTheme="minorHAnsi" w:cs="Arial"/>
          <w:noProof/>
          <w:sz w:val="22"/>
          <w:szCs w:val="22"/>
        </w:rPr>
        <w:t>[89]</w:t>
      </w:r>
      <w:r w:rsidR="00DD00BB">
        <w:rPr>
          <w:rFonts w:asciiTheme="minorHAnsi" w:eastAsia="Calibri" w:hAnsiTheme="minorHAnsi" w:cs="Arial"/>
          <w:sz w:val="22"/>
          <w:szCs w:val="22"/>
        </w:rPr>
        <w:fldChar w:fldCharType="end"/>
      </w:r>
      <w:r w:rsidRPr="00C44D8C">
        <w:rPr>
          <w:rFonts w:asciiTheme="minorHAnsi" w:eastAsia="Calibri" w:hAnsiTheme="minorHAnsi" w:cs="Arial"/>
          <w:sz w:val="22"/>
          <w:szCs w:val="22"/>
        </w:rPr>
        <w:t xml:space="preserve">. However, to date, there has not been a proteomic study of the biofilm-forming behaviour of </w:t>
      </w:r>
      <w:r w:rsidRPr="00C44D8C">
        <w:rPr>
          <w:rFonts w:asciiTheme="minorHAnsi" w:eastAsia="Calibri" w:hAnsiTheme="minorHAnsi" w:cs="Arial"/>
          <w:i/>
          <w:sz w:val="22"/>
          <w:szCs w:val="22"/>
        </w:rPr>
        <w:t xml:space="preserve">M. barkeri </w:t>
      </w:r>
      <w:r w:rsidRPr="00C44D8C">
        <w:rPr>
          <w:rFonts w:asciiTheme="minorHAnsi" w:eastAsia="Calibri" w:hAnsiTheme="minorHAnsi" w:cs="Arial"/>
          <w:sz w:val="22"/>
          <w:szCs w:val="22"/>
        </w:rPr>
        <w:t xml:space="preserve">on different support materials. This information </w:t>
      </w:r>
      <w:r w:rsidRPr="00C44D8C">
        <w:rPr>
          <w:rFonts w:asciiTheme="minorHAnsi" w:eastAsia="Calibri" w:hAnsiTheme="minorHAnsi" w:cs="Arial"/>
          <w:sz w:val="22"/>
          <w:szCs w:val="22"/>
        </w:rPr>
        <w:lastRenderedPageBreak/>
        <w:t xml:space="preserve">would be extremely useful for fixed biofilm-based biotechnological applications, such as AD, and especially with regards to a transition towards a more </w:t>
      </w:r>
      <w:r w:rsidRPr="00C44D8C">
        <w:rPr>
          <w:rFonts w:asciiTheme="minorHAnsi" w:eastAsia="Calibri" w:hAnsiTheme="minorHAnsi" w:cs="Arial"/>
          <w:i/>
          <w:sz w:val="22"/>
          <w:szCs w:val="22"/>
        </w:rPr>
        <w:t>Methanosarcina</w:t>
      </w:r>
      <w:r w:rsidRPr="00C44D8C">
        <w:rPr>
          <w:rFonts w:asciiTheme="minorHAnsi" w:eastAsia="Calibri" w:hAnsiTheme="minorHAnsi" w:cs="Arial"/>
          <w:sz w:val="22"/>
          <w:szCs w:val="22"/>
        </w:rPr>
        <w:t>-</w:t>
      </w:r>
      <w:r w:rsidRPr="00C44D8C">
        <w:rPr>
          <w:rFonts w:asciiTheme="minorHAnsi" w:eastAsia="Calibri" w:hAnsiTheme="minorHAnsi" w:cs="Arial"/>
          <w:sz w:val="22"/>
          <w:szCs w:val="22"/>
        </w:rPr>
        <w:softHyphen/>
        <w:t>based</w:t>
      </w:r>
      <w:r w:rsidRPr="00C44D8C">
        <w:rPr>
          <w:rFonts w:asciiTheme="minorHAnsi" w:eastAsia="Calibri" w:hAnsiTheme="minorHAnsi" w:cs="Arial"/>
          <w:i/>
          <w:sz w:val="22"/>
          <w:szCs w:val="22"/>
        </w:rPr>
        <w:t xml:space="preserve"> </w:t>
      </w:r>
      <w:r w:rsidRPr="00C44D8C">
        <w:rPr>
          <w:rFonts w:asciiTheme="minorHAnsi" w:eastAsia="Calibri" w:hAnsiTheme="minorHAnsi" w:cs="Arial"/>
          <w:sz w:val="22"/>
          <w:szCs w:val="22"/>
        </w:rPr>
        <w:t>AD system. Such information would greatly enhance understanding of biofilm formation from this key methanogen on different support materials.</w:t>
      </w:r>
    </w:p>
    <w:p w14:paraId="3FC8C0AD" w14:textId="77777777" w:rsidR="00436CD0" w:rsidRPr="00C44D8C" w:rsidRDefault="00436CD0" w:rsidP="00436CD0">
      <w:pPr>
        <w:spacing w:line="360" w:lineRule="auto"/>
        <w:rPr>
          <w:rFonts w:asciiTheme="minorHAnsi" w:eastAsia="Calibri" w:hAnsiTheme="minorHAnsi" w:cs="Arial"/>
          <w:sz w:val="22"/>
          <w:szCs w:val="22"/>
        </w:rPr>
      </w:pPr>
      <w:r w:rsidRPr="00C44D8C">
        <w:rPr>
          <w:rFonts w:asciiTheme="minorHAnsi" w:eastAsia="Calibri" w:hAnsiTheme="minorHAnsi" w:cs="Arial"/>
          <w:sz w:val="22"/>
          <w:szCs w:val="22"/>
        </w:rPr>
        <w:tab/>
        <w:t xml:space="preserve">The aim of this study was to examine the whole suite of proteins expressed by </w:t>
      </w:r>
      <w:r w:rsidRPr="00C44D8C">
        <w:rPr>
          <w:rFonts w:asciiTheme="minorHAnsi" w:eastAsia="Calibri" w:hAnsiTheme="minorHAnsi" w:cs="Arial"/>
          <w:i/>
          <w:sz w:val="22"/>
          <w:szCs w:val="22"/>
        </w:rPr>
        <w:t xml:space="preserve">M. barkeri </w:t>
      </w:r>
      <w:r w:rsidRPr="00C44D8C">
        <w:rPr>
          <w:rFonts w:asciiTheme="minorHAnsi" w:eastAsia="Calibri" w:hAnsiTheme="minorHAnsi" w:cs="Arial"/>
          <w:sz w:val="22"/>
          <w:szCs w:val="22"/>
        </w:rPr>
        <w:t xml:space="preserve">after 96 h of growth on either PVC or PETG to assess whether the nature of the support material had a significant effect on the functional proteome. As with the previous chapter, these two support materials were chosen based on their previous performance as good and poor biofilm carriers for </w:t>
      </w:r>
      <w:r w:rsidRPr="00C44D8C">
        <w:rPr>
          <w:rFonts w:asciiTheme="minorHAnsi" w:eastAsia="Calibri" w:hAnsiTheme="minorHAnsi" w:cs="Arial"/>
          <w:i/>
          <w:sz w:val="22"/>
          <w:szCs w:val="22"/>
        </w:rPr>
        <w:t xml:space="preserve">M. barkeri, </w:t>
      </w:r>
      <w:r w:rsidRPr="00C44D8C">
        <w:rPr>
          <w:rFonts w:asciiTheme="minorHAnsi" w:eastAsia="Calibri" w:hAnsiTheme="minorHAnsi" w:cs="Arial"/>
          <w:sz w:val="22"/>
          <w:szCs w:val="22"/>
        </w:rPr>
        <w:t xml:space="preserve">respectively. Since these two support materials had elicited distinct physiological and adhesive responses from </w:t>
      </w:r>
      <w:r w:rsidRPr="00C44D8C">
        <w:rPr>
          <w:rFonts w:asciiTheme="minorHAnsi" w:eastAsia="Calibri" w:hAnsiTheme="minorHAnsi" w:cs="Arial"/>
          <w:i/>
          <w:sz w:val="22"/>
          <w:szCs w:val="22"/>
        </w:rPr>
        <w:t xml:space="preserve">M. barkeri </w:t>
      </w:r>
      <w:r w:rsidRPr="00C44D8C">
        <w:rPr>
          <w:rFonts w:asciiTheme="minorHAnsi" w:eastAsia="Calibri" w:hAnsiTheme="minorHAnsi" w:cs="Arial"/>
          <w:sz w:val="22"/>
          <w:szCs w:val="22"/>
        </w:rPr>
        <w:t xml:space="preserve">within this time frame in the previous chapters, this study sought to obtain a more global and integrated biological view of biofilm formation from </w:t>
      </w:r>
      <w:r w:rsidRPr="00C44D8C">
        <w:rPr>
          <w:rFonts w:asciiTheme="minorHAnsi" w:eastAsia="Calibri" w:hAnsiTheme="minorHAnsi" w:cs="Arial"/>
          <w:i/>
          <w:sz w:val="22"/>
          <w:szCs w:val="22"/>
        </w:rPr>
        <w:t xml:space="preserve">M. barkeri </w:t>
      </w:r>
      <w:r w:rsidRPr="00C44D8C">
        <w:rPr>
          <w:rFonts w:asciiTheme="minorHAnsi" w:eastAsia="Calibri" w:hAnsiTheme="minorHAnsi" w:cs="Arial"/>
          <w:sz w:val="22"/>
          <w:szCs w:val="22"/>
        </w:rPr>
        <w:t>as a function of support material.</w:t>
      </w:r>
    </w:p>
    <w:p w14:paraId="13948F02" w14:textId="77777777" w:rsidR="00436CD0" w:rsidRPr="00C44D8C" w:rsidRDefault="00436CD0" w:rsidP="00436CD0">
      <w:pPr>
        <w:spacing w:line="360" w:lineRule="auto"/>
        <w:rPr>
          <w:rFonts w:asciiTheme="minorHAnsi" w:hAnsiTheme="minorHAnsi"/>
          <w:sz w:val="22"/>
          <w:szCs w:val="22"/>
          <w:lang w:eastAsia="en-GB"/>
        </w:rPr>
      </w:pPr>
      <w:r w:rsidRPr="00C44D8C">
        <w:rPr>
          <w:rFonts w:asciiTheme="minorHAnsi" w:eastAsia="Calibri" w:hAnsiTheme="minorHAnsi" w:cs="Arial"/>
          <w:sz w:val="22"/>
          <w:szCs w:val="22"/>
        </w:rPr>
        <w:tab/>
        <w:t xml:space="preserve"> </w:t>
      </w:r>
    </w:p>
    <w:p w14:paraId="453EF141" w14:textId="1D46C5BB" w:rsidR="00436CD0" w:rsidRPr="00C44D8C" w:rsidRDefault="00436CD0" w:rsidP="002B69BD">
      <w:pPr>
        <w:pStyle w:val="Heading1"/>
        <w:rPr>
          <w:lang w:eastAsia="en-GB"/>
        </w:rPr>
      </w:pPr>
      <w:bookmarkStart w:id="131" w:name="_Toc462575340"/>
      <w:r w:rsidRPr="00C44D8C">
        <w:rPr>
          <w:lang w:eastAsia="en-GB"/>
        </w:rPr>
        <w:t>5.2. Materials and Methods</w:t>
      </w:r>
      <w:bookmarkEnd w:id="131"/>
    </w:p>
    <w:p w14:paraId="1ABA26ED" w14:textId="77777777" w:rsidR="00436CD0" w:rsidRPr="00C44D8C" w:rsidRDefault="00436CD0" w:rsidP="002B69BD">
      <w:pPr>
        <w:pStyle w:val="Heading6"/>
        <w:rPr>
          <w:lang w:eastAsia="en-GB"/>
        </w:rPr>
      </w:pPr>
      <w:bookmarkStart w:id="132" w:name="_Toc462575341"/>
      <w:r w:rsidRPr="00C44D8C">
        <w:rPr>
          <w:lang w:eastAsia="en-GB"/>
        </w:rPr>
        <w:t>5.2.1. Support material preparation</w:t>
      </w:r>
      <w:bookmarkEnd w:id="132"/>
    </w:p>
    <w:p w14:paraId="30BCE8B5" w14:textId="2DE2DA18" w:rsidR="005C5F28"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As in chapter 3, two different polymer support materials were used based on their previous performance for selectively immobilising </w:t>
      </w:r>
      <w:r w:rsidRPr="00C44D8C">
        <w:rPr>
          <w:rFonts w:asciiTheme="minorHAnsi" w:hAnsiTheme="minorHAnsi"/>
          <w:i/>
          <w:iCs/>
          <w:color w:val="000000"/>
          <w:sz w:val="22"/>
          <w:szCs w:val="22"/>
          <w:lang w:eastAsia="en-GB"/>
        </w:rPr>
        <w:t xml:space="preserve">M. barkeri: </w:t>
      </w:r>
      <w:r w:rsidRPr="00C44D8C">
        <w:rPr>
          <w:rFonts w:asciiTheme="minorHAnsi" w:hAnsiTheme="minorHAnsi"/>
          <w:color w:val="000000"/>
          <w:sz w:val="22"/>
          <w:szCs w:val="22"/>
          <w:lang w:eastAsia="en-GB"/>
        </w:rPr>
        <w:t>PVC to represent a good biocompatible surface for adhesion, and PETG to represent a poorly biocompatible surface. Each polymer material was cut into 1 x 4 cm length coupons for each biofilm formation experiment.</w:t>
      </w:r>
      <w:r w:rsidRPr="00C44D8C">
        <w:rPr>
          <w:rFonts w:asciiTheme="minorHAnsi" w:hAnsiTheme="minorHAnsi"/>
          <w:sz w:val="22"/>
          <w:szCs w:val="22"/>
          <w:lang w:eastAsia="en-GB"/>
        </w:rPr>
        <w:t xml:space="preserve"> </w:t>
      </w:r>
      <w:r w:rsidRPr="00C44D8C">
        <w:rPr>
          <w:rFonts w:asciiTheme="minorHAnsi" w:hAnsiTheme="minorHAnsi"/>
          <w:color w:val="000000"/>
          <w:sz w:val="22"/>
          <w:szCs w:val="22"/>
          <w:lang w:eastAsia="en-GB"/>
        </w:rPr>
        <w:t>The plastic coupons were cleaned and sterilised as described previously in section 3.2.4.</w:t>
      </w:r>
      <w:r w:rsidR="002B69BD">
        <w:rPr>
          <w:rFonts w:asciiTheme="minorHAnsi" w:hAnsiTheme="minorHAnsi"/>
          <w:color w:val="000000"/>
          <w:sz w:val="22"/>
          <w:szCs w:val="22"/>
          <w:lang w:eastAsia="en-GB"/>
        </w:rPr>
        <w:t xml:space="preserve"> </w:t>
      </w:r>
    </w:p>
    <w:p w14:paraId="72D58576" w14:textId="77777777" w:rsidR="002B69BD" w:rsidRPr="00C44D8C" w:rsidRDefault="002B69BD" w:rsidP="00436CD0">
      <w:pPr>
        <w:spacing w:line="360" w:lineRule="auto"/>
        <w:rPr>
          <w:rFonts w:asciiTheme="minorHAnsi" w:hAnsiTheme="minorHAnsi"/>
          <w:color w:val="000000"/>
          <w:sz w:val="22"/>
          <w:szCs w:val="22"/>
          <w:lang w:eastAsia="en-GB"/>
        </w:rPr>
      </w:pPr>
    </w:p>
    <w:p w14:paraId="5A384065" w14:textId="77777777" w:rsidR="00436CD0" w:rsidRPr="00C44D8C" w:rsidRDefault="00436CD0" w:rsidP="002B69BD">
      <w:pPr>
        <w:pStyle w:val="Heading6"/>
        <w:rPr>
          <w:lang w:eastAsia="en-GB"/>
        </w:rPr>
      </w:pPr>
      <w:bookmarkStart w:id="133" w:name="_Toc462575342"/>
      <w:r w:rsidRPr="00C44D8C">
        <w:rPr>
          <w:lang w:eastAsia="en-GB"/>
        </w:rPr>
        <w:t>5.2.2. Biofilm accumulation experiment</w:t>
      </w:r>
      <w:bookmarkEnd w:id="133"/>
    </w:p>
    <w:p w14:paraId="3B0B37F6" w14:textId="77777777"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sz w:val="22"/>
          <w:szCs w:val="22"/>
          <w:lang w:eastAsia="en-GB"/>
        </w:rPr>
        <w:t>A static biofilm experiment based on 24 well plates was carried out, as described previously in section 3.2.8. Biofilms were established on coupons of PVC and PETG in an anaerobic chamber in basal media over a duration of 6 days, with sampling times at 2, 4 and 6 days. Four replicates were established for each plastic at each sampling time point, and at time of sampling, coupons were rinsed and fixed in 4% paraformaldehyde solution as described before.</w:t>
      </w:r>
    </w:p>
    <w:p w14:paraId="386EA6F8" w14:textId="77777777"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sz w:val="22"/>
          <w:szCs w:val="22"/>
          <w:lang w:eastAsia="en-GB"/>
        </w:rPr>
        <w:tab/>
        <w:t xml:space="preserve">Fixed coupons were fluorescently stained with DAPI (please refer to 3.2.9.3) and ConA-Rho (please refer to 4.2.6) before biofilms were visualised with epifluorescence </w:t>
      </w:r>
      <w:r w:rsidRPr="00C44D8C">
        <w:rPr>
          <w:rFonts w:asciiTheme="minorHAnsi" w:hAnsiTheme="minorHAnsi"/>
          <w:sz w:val="22"/>
          <w:szCs w:val="22"/>
          <w:lang w:eastAsia="en-GB"/>
        </w:rPr>
        <w:lastRenderedPageBreak/>
        <w:t>microscopy as described in 4.2.6. Five randomly assigned microscopic fields were chosen (1 mm</w:t>
      </w:r>
      <w:r w:rsidRPr="00C44D8C">
        <w:rPr>
          <w:rFonts w:asciiTheme="minorHAnsi" w:hAnsiTheme="minorHAnsi"/>
          <w:sz w:val="22"/>
          <w:szCs w:val="22"/>
          <w:vertAlign w:val="superscript"/>
          <w:lang w:eastAsia="en-GB"/>
        </w:rPr>
        <w:t xml:space="preserve">2 </w:t>
      </w:r>
      <w:r w:rsidRPr="00C44D8C">
        <w:rPr>
          <w:rFonts w:asciiTheme="minorHAnsi" w:hAnsiTheme="minorHAnsi"/>
          <w:sz w:val="22"/>
          <w:szCs w:val="22"/>
          <w:lang w:eastAsia="en-GB"/>
        </w:rPr>
        <w:t>per field) and biofilm coverage was measured as the percentage of coupon area covered by DAPI and ConA-Rho-stained cells and mannose and glucose sugar residues, respectively. Images were analysed with ImageJ software as described in 4.2.6. Results are based on three independent experiments.</w:t>
      </w:r>
    </w:p>
    <w:p w14:paraId="08084054" w14:textId="77777777" w:rsidR="00436CD0" w:rsidRPr="00C44D8C" w:rsidRDefault="00436CD0" w:rsidP="00436CD0">
      <w:pPr>
        <w:spacing w:line="360" w:lineRule="auto"/>
        <w:rPr>
          <w:rFonts w:asciiTheme="minorHAnsi" w:hAnsiTheme="minorHAnsi"/>
          <w:sz w:val="22"/>
          <w:szCs w:val="22"/>
          <w:lang w:eastAsia="en-GB"/>
        </w:rPr>
      </w:pPr>
    </w:p>
    <w:p w14:paraId="3F988DE3" w14:textId="77777777" w:rsidR="00436CD0" w:rsidRPr="00C44D8C" w:rsidRDefault="00436CD0" w:rsidP="002B69BD">
      <w:pPr>
        <w:pStyle w:val="Heading6"/>
        <w:rPr>
          <w:lang w:eastAsia="en-GB"/>
        </w:rPr>
      </w:pPr>
      <w:bookmarkStart w:id="134" w:name="_Toc462575343"/>
      <w:r w:rsidRPr="00C44D8C">
        <w:rPr>
          <w:lang w:eastAsia="en-GB"/>
        </w:rPr>
        <w:t>5.2.3. Batch culture setup and biofilm sampling for proteomics</w:t>
      </w:r>
      <w:bookmarkEnd w:id="134"/>
      <w:r w:rsidRPr="00C44D8C">
        <w:rPr>
          <w:lang w:eastAsia="en-GB"/>
        </w:rPr>
        <w:t xml:space="preserve"> </w:t>
      </w:r>
    </w:p>
    <w:p w14:paraId="5A882038" w14:textId="77777777" w:rsidR="00436CD0" w:rsidRPr="00C44D8C" w:rsidRDefault="00436CD0" w:rsidP="00436CD0">
      <w:pPr>
        <w:spacing w:line="360" w:lineRule="auto"/>
        <w:rPr>
          <w:rFonts w:asciiTheme="minorHAnsi" w:hAnsiTheme="minorHAnsi"/>
          <w:iCs/>
          <w:color w:val="000000"/>
          <w:sz w:val="22"/>
          <w:szCs w:val="22"/>
          <w:lang w:eastAsia="en-GB"/>
        </w:rPr>
      </w:pPr>
      <w:r w:rsidRPr="00C44D8C">
        <w:rPr>
          <w:rFonts w:asciiTheme="minorHAnsi" w:hAnsiTheme="minorHAnsi"/>
          <w:i/>
          <w:iCs/>
          <w:color w:val="000000"/>
          <w:sz w:val="22"/>
          <w:szCs w:val="22"/>
          <w:lang w:eastAsia="en-GB"/>
        </w:rPr>
        <w:t xml:space="preserve">M. barkeri </w:t>
      </w:r>
      <w:r w:rsidRPr="00C44D8C">
        <w:rPr>
          <w:rFonts w:asciiTheme="minorHAnsi" w:hAnsiTheme="minorHAnsi"/>
          <w:color w:val="000000"/>
          <w:sz w:val="22"/>
          <w:szCs w:val="22"/>
          <w:lang w:eastAsia="en-GB"/>
        </w:rPr>
        <w:t>was grown in DSM 120 medium from a stock culture and incubated at 37˚C, with growth continuously monitored by optical density measurements at 600 nm (OD</w:t>
      </w:r>
      <w:r w:rsidRPr="00C44D8C">
        <w:rPr>
          <w:rFonts w:asciiTheme="minorHAnsi" w:hAnsiTheme="minorHAnsi"/>
          <w:color w:val="000000"/>
          <w:sz w:val="22"/>
          <w:szCs w:val="22"/>
          <w:vertAlign w:val="subscript"/>
          <w:lang w:eastAsia="en-GB"/>
        </w:rPr>
        <w:t>600</w:t>
      </w:r>
      <w:r w:rsidRPr="00C44D8C">
        <w:rPr>
          <w:rFonts w:asciiTheme="minorHAnsi" w:hAnsiTheme="minorHAnsi"/>
          <w:color w:val="000000"/>
          <w:sz w:val="22"/>
          <w:szCs w:val="22"/>
          <w:lang w:eastAsia="en-GB"/>
        </w:rPr>
        <w:t xml:space="preserve">). Biofilms of </w:t>
      </w:r>
      <w:r w:rsidRPr="00C44D8C">
        <w:rPr>
          <w:rFonts w:asciiTheme="minorHAnsi" w:hAnsiTheme="minorHAnsi"/>
          <w:i/>
          <w:color w:val="000000"/>
          <w:sz w:val="22"/>
          <w:szCs w:val="22"/>
          <w:lang w:eastAsia="en-GB"/>
        </w:rPr>
        <w:t>M</w:t>
      </w:r>
      <w:r w:rsidRPr="00C44D8C">
        <w:rPr>
          <w:rFonts w:asciiTheme="minorHAnsi" w:hAnsiTheme="minorHAnsi"/>
          <w:i/>
          <w:iCs/>
          <w:color w:val="000000"/>
          <w:sz w:val="22"/>
          <w:szCs w:val="22"/>
          <w:lang w:eastAsia="en-GB"/>
        </w:rPr>
        <w:t xml:space="preserve">. barkeri </w:t>
      </w:r>
      <w:r w:rsidRPr="00C44D8C">
        <w:rPr>
          <w:rFonts w:asciiTheme="minorHAnsi" w:hAnsiTheme="minorHAnsi"/>
          <w:iCs/>
          <w:color w:val="000000"/>
          <w:sz w:val="22"/>
          <w:szCs w:val="22"/>
          <w:lang w:eastAsia="en-GB"/>
        </w:rPr>
        <w:t>on PVC and PETG were established using the exact same setup as described in section 4.2.2. Four biological replicates were obtained for PVC and PETG.</w:t>
      </w:r>
    </w:p>
    <w:p w14:paraId="3348ED9E" w14:textId="77777777" w:rsidR="00436CD0" w:rsidRPr="00C44D8C" w:rsidRDefault="00436CD0" w:rsidP="00436CD0">
      <w:pPr>
        <w:spacing w:line="360" w:lineRule="auto"/>
        <w:rPr>
          <w:rFonts w:asciiTheme="minorHAnsi" w:hAnsiTheme="minorHAnsi"/>
          <w:sz w:val="22"/>
          <w:szCs w:val="22"/>
          <w:lang w:eastAsia="en-GB"/>
        </w:rPr>
      </w:pPr>
    </w:p>
    <w:p w14:paraId="0FD0A81C" w14:textId="77777777" w:rsidR="00436CD0" w:rsidRPr="00C44D8C" w:rsidRDefault="00436CD0" w:rsidP="002B69BD">
      <w:pPr>
        <w:pStyle w:val="Heading6"/>
        <w:rPr>
          <w:lang w:eastAsia="en-GB"/>
        </w:rPr>
      </w:pPr>
      <w:bookmarkStart w:id="135" w:name="_Toc462575344"/>
      <w:r w:rsidRPr="00C44D8C">
        <w:rPr>
          <w:lang w:eastAsia="en-GB"/>
        </w:rPr>
        <w:t>5.2.4. Protein extraction and concentration</w:t>
      </w:r>
      <w:bookmarkEnd w:id="135"/>
    </w:p>
    <w:p w14:paraId="6DC17170" w14:textId="77777777" w:rsidR="0058312F" w:rsidRDefault="00436CD0" w:rsidP="00436CD0">
      <w:pPr>
        <w:spacing w:line="360" w:lineRule="auto"/>
        <w:rPr>
          <w:rFonts w:asciiTheme="minorHAnsi" w:hAnsiTheme="minorHAnsi"/>
          <w:color w:val="000000"/>
          <w:sz w:val="22"/>
          <w:szCs w:val="22"/>
          <w:lang w:eastAsia="en-GB"/>
        </w:rPr>
        <w:sectPr w:rsidR="0058312F" w:rsidSect="00DF337D">
          <w:pgSz w:w="11906" w:h="16838"/>
          <w:pgMar w:top="1418" w:right="1418" w:bottom="1418" w:left="2268" w:header="708" w:footer="708" w:gutter="0"/>
          <w:cols w:space="708"/>
          <w:docGrid w:linePitch="360"/>
        </w:sectPr>
      </w:pPr>
      <w:r w:rsidRPr="00C44D8C">
        <w:rPr>
          <w:rFonts w:asciiTheme="minorHAnsi" w:hAnsiTheme="minorHAnsi"/>
          <w:color w:val="000000"/>
          <w:sz w:val="22"/>
          <w:szCs w:val="22"/>
          <w:lang w:eastAsia="en-GB"/>
        </w:rPr>
        <w:t>After 96 h of growth, two biological replicates (corresponding to twenty pooled cultures and eighty coupons per biological replicate) were handled at any one time, and processed within an anaerobic chamber.</w:t>
      </w:r>
      <w:r w:rsidRPr="00C44D8C">
        <w:rPr>
          <w:rFonts w:asciiTheme="minorHAnsi" w:hAnsiTheme="minorHAnsi"/>
          <w:sz w:val="22"/>
          <w:szCs w:val="22"/>
          <w:lang w:eastAsia="en-GB"/>
        </w:rPr>
        <w:t xml:space="preserve"> The workflow for proteomics analysis can be seen in Fig. 5.1. Cells of </w:t>
      </w:r>
      <w:r w:rsidRPr="00C44D8C">
        <w:rPr>
          <w:rFonts w:asciiTheme="minorHAnsi" w:hAnsiTheme="minorHAnsi"/>
          <w:i/>
          <w:iCs/>
          <w:color w:val="000000"/>
          <w:sz w:val="22"/>
          <w:szCs w:val="22"/>
          <w:lang w:eastAsia="en-GB"/>
        </w:rPr>
        <w:t xml:space="preserve">M. barkeri </w:t>
      </w:r>
      <w:r w:rsidRPr="00C44D8C">
        <w:rPr>
          <w:rFonts w:asciiTheme="minorHAnsi" w:hAnsiTheme="minorHAnsi"/>
          <w:color w:val="000000"/>
          <w:sz w:val="22"/>
          <w:szCs w:val="22"/>
          <w:lang w:eastAsia="en-GB"/>
        </w:rPr>
        <w:t>attached to coupons were carefully and aseptically removed from all culture bottles using sterile tweezers. The planktonic cell suspension was discarded and coupons from each biological replicate were thrice washed with sterile anaerobically-prepared PBS within the anaerobic chamber, and then placed into a sterile container (Nalgene, USA) containing 80 ml of freshly prepared lysis buffer on ice.</w:t>
      </w:r>
    </w:p>
    <w:p w14:paraId="1038013F"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noProof/>
          <w:color w:val="000000"/>
          <w:sz w:val="22"/>
          <w:szCs w:val="22"/>
          <w:lang w:eastAsia="en-GB"/>
        </w:rPr>
        <w:lastRenderedPageBreak/>
        <w:drawing>
          <wp:inline distT="0" distB="0" distL="0" distR="0" wp14:anchorId="74F076A2" wp14:editId="48042BA6">
            <wp:extent cx="5400040" cy="31235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raq workflow diagram.jpg"/>
                    <pic:cNvPicPr/>
                  </pic:nvPicPr>
                  <pic:blipFill>
                    <a:blip r:embed="rId48">
                      <a:extLst>
                        <a:ext uri="{28A0092B-C50C-407E-A947-70E740481C1C}">
                          <a14:useLocalDpi xmlns:a14="http://schemas.microsoft.com/office/drawing/2010/main" val="0"/>
                        </a:ext>
                      </a:extLst>
                    </a:blip>
                    <a:stretch>
                      <a:fillRect/>
                    </a:stretch>
                  </pic:blipFill>
                  <pic:spPr>
                    <a:xfrm>
                      <a:off x="0" y="0"/>
                      <a:ext cx="5400040" cy="3123565"/>
                    </a:xfrm>
                    <a:prstGeom prst="rect">
                      <a:avLst/>
                    </a:prstGeom>
                  </pic:spPr>
                </pic:pic>
              </a:graphicData>
            </a:graphic>
          </wp:inline>
        </w:drawing>
      </w:r>
    </w:p>
    <w:p w14:paraId="4F948AA7" w14:textId="77777777" w:rsidR="00436CD0" w:rsidRPr="00C44D8C" w:rsidRDefault="00436CD0" w:rsidP="00DD00BB">
      <w:pPr>
        <w:spacing w:line="360" w:lineRule="auto"/>
        <w:jc w:val="center"/>
        <w:rPr>
          <w:rFonts w:asciiTheme="minorHAnsi" w:hAnsiTheme="minorHAnsi"/>
          <w:sz w:val="22"/>
          <w:szCs w:val="22"/>
          <w:lang w:eastAsia="en-GB"/>
        </w:rPr>
      </w:pPr>
      <w:r w:rsidRPr="00C44D8C">
        <w:rPr>
          <w:rFonts w:asciiTheme="minorHAnsi" w:hAnsiTheme="minorHAnsi"/>
          <w:b/>
          <w:sz w:val="22"/>
          <w:szCs w:val="22"/>
          <w:lang w:eastAsia="en-GB"/>
        </w:rPr>
        <w:t>Fig. 5.1</w:t>
      </w:r>
      <w:r w:rsidRPr="00C44D8C">
        <w:rPr>
          <w:rFonts w:asciiTheme="minorHAnsi" w:hAnsiTheme="minorHAnsi"/>
          <w:sz w:val="22"/>
          <w:szCs w:val="22"/>
          <w:lang w:eastAsia="en-GB"/>
        </w:rPr>
        <w:t xml:space="preserve"> Workflow for the iTRAQ-based quantitative proteomics used in this study.</w:t>
      </w:r>
    </w:p>
    <w:p w14:paraId="10980E6C" w14:textId="77777777" w:rsidR="00436CD0" w:rsidRPr="00C44D8C" w:rsidRDefault="00436CD0" w:rsidP="00436CD0">
      <w:pPr>
        <w:spacing w:line="360" w:lineRule="auto"/>
        <w:rPr>
          <w:rFonts w:asciiTheme="minorHAnsi" w:hAnsiTheme="minorHAnsi"/>
          <w:sz w:val="22"/>
          <w:szCs w:val="22"/>
          <w:lang w:eastAsia="en-GB"/>
        </w:rPr>
      </w:pPr>
    </w:p>
    <w:p w14:paraId="346E1256"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The lysis buffer contained 150 mM sodium chloride (Sigma Aldrich, UK), 15 mM dithiothreitol (DTT) (Sigma Aldrich, UK), 10 mM </w:t>
      </w:r>
      <w:r w:rsidRPr="00C44D8C">
        <w:rPr>
          <w:rFonts w:asciiTheme="minorHAnsi" w:hAnsiTheme="minorHAnsi"/>
          <w:color w:val="000000"/>
          <w:sz w:val="22"/>
          <w:szCs w:val="22"/>
          <w:shd w:val="clear" w:color="auto" w:fill="FFFFFF"/>
          <w:lang w:eastAsia="en-GB"/>
        </w:rPr>
        <w:t xml:space="preserve">ethylenediaminetetraacetic acid (EDTA) </w:t>
      </w:r>
      <w:r w:rsidRPr="00C44D8C">
        <w:rPr>
          <w:rFonts w:asciiTheme="minorHAnsi" w:hAnsiTheme="minorHAnsi"/>
          <w:color w:val="000000"/>
          <w:sz w:val="22"/>
          <w:szCs w:val="22"/>
          <w:lang w:eastAsia="en-GB"/>
        </w:rPr>
        <w:t>(Sigma Aldrich, UK)</w:t>
      </w:r>
      <w:r w:rsidRPr="00C44D8C">
        <w:rPr>
          <w:rFonts w:asciiTheme="minorHAnsi" w:hAnsiTheme="minorHAnsi"/>
          <w:color w:val="252525"/>
          <w:sz w:val="22"/>
          <w:szCs w:val="22"/>
          <w:shd w:val="clear" w:color="auto" w:fill="FFFFFF"/>
          <w:lang w:eastAsia="en-GB"/>
        </w:rPr>
        <w:t xml:space="preserve">, </w:t>
      </w:r>
      <w:r w:rsidRPr="00C44D8C">
        <w:rPr>
          <w:rFonts w:asciiTheme="minorHAnsi" w:hAnsiTheme="minorHAnsi"/>
          <w:color w:val="000000"/>
          <w:sz w:val="22"/>
          <w:szCs w:val="22"/>
          <w:shd w:val="clear" w:color="auto" w:fill="FFFFFF"/>
          <w:lang w:eastAsia="en-GB"/>
        </w:rPr>
        <w:t xml:space="preserve">1% (w/v) sodium dodecyl sulphate (SDS) </w:t>
      </w:r>
      <w:r w:rsidRPr="00C44D8C">
        <w:rPr>
          <w:rFonts w:asciiTheme="minorHAnsi" w:hAnsiTheme="minorHAnsi"/>
          <w:color w:val="000000"/>
          <w:sz w:val="22"/>
          <w:szCs w:val="22"/>
          <w:lang w:eastAsia="en-GB"/>
        </w:rPr>
        <w:t>(Sigma Aldrich, UK)</w:t>
      </w:r>
      <w:r w:rsidRPr="00C44D8C">
        <w:rPr>
          <w:rFonts w:asciiTheme="minorHAnsi" w:hAnsiTheme="minorHAnsi"/>
          <w:color w:val="252525"/>
          <w:sz w:val="22"/>
          <w:szCs w:val="22"/>
          <w:shd w:val="clear" w:color="auto" w:fill="FFFFFF"/>
          <w:lang w:eastAsia="en-GB"/>
        </w:rPr>
        <w:t xml:space="preserve">, </w:t>
      </w:r>
      <w:r w:rsidRPr="00C44D8C">
        <w:rPr>
          <w:rFonts w:asciiTheme="minorHAnsi" w:hAnsiTheme="minorHAnsi"/>
          <w:color w:val="000000"/>
          <w:sz w:val="22"/>
          <w:szCs w:val="22"/>
          <w:shd w:val="clear" w:color="auto" w:fill="FFFFFF"/>
          <w:lang w:eastAsia="en-GB"/>
        </w:rPr>
        <w:t>0.5% (v/v) NP-40 detergent</w:t>
      </w:r>
      <w:r w:rsidRPr="00C44D8C">
        <w:rPr>
          <w:rFonts w:asciiTheme="minorHAnsi" w:hAnsiTheme="minorHAnsi"/>
          <w:color w:val="252525"/>
          <w:sz w:val="22"/>
          <w:szCs w:val="22"/>
          <w:shd w:val="clear" w:color="auto" w:fill="FFFFFF"/>
          <w:lang w:eastAsia="en-GB"/>
        </w:rPr>
        <w:t xml:space="preserve"> </w:t>
      </w:r>
      <w:r w:rsidRPr="00C44D8C">
        <w:rPr>
          <w:rFonts w:asciiTheme="minorHAnsi" w:hAnsiTheme="minorHAnsi"/>
          <w:color w:val="000000"/>
          <w:sz w:val="22"/>
          <w:szCs w:val="22"/>
          <w:lang w:eastAsia="en-GB"/>
        </w:rPr>
        <w:t xml:space="preserve">(Sigma Aldrich, UK) and 1600 μl of a protease inhibitor cocktail (Sigma Aldrich, UK), with all solutions prepared in 200 mM of </w:t>
      </w:r>
      <w:r w:rsidRPr="00C44D8C">
        <w:rPr>
          <w:rFonts w:asciiTheme="minorHAnsi" w:hAnsiTheme="minorHAnsi"/>
          <w:color w:val="000000"/>
          <w:sz w:val="22"/>
          <w:szCs w:val="22"/>
          <w:shd w:val="clear" w:color="auto" w:fill="FDFDFD"/>
          <w:lang w:eastAsia="en-GB"/>
        </w:rPr>
        <w:t xml:space="preserve">triethylammonium bicarbonate buffer (TEAB) </w:t>
      </w:r>
      <w:r w:rsidRPr="00C44D8C">
        <w:rPr>
          <w:rFonts w:asciiTheme="minorHAnsi" w:hAnsiTheme="minorHAnsi"/>
          <w:color w:val="000000"/>
          <w:sz w:val="22"/>
          <w:szCs w:val="22"/>
          <w:lang w:eastAsia="en-GB"/>
        </w:rPr>
        <w:t>(Sigma Aldrich, UK)</w:t>
      </w:r>
      <w:r w:rsidRPr="00C44D8C">
        <w:rPr>
          <w:rFonts w:asciiTheme="minorHAnsi" w:hAnsiTheme="minorHAnsi"/>
          <w:color w:val="000000"/>
          <w:sz w:val="22"/>
          <w:szCs w:val="22"/>
          <w:shd w:val="clear" w:color="auto" w:fill="FDFDFD"/>
          <w:lang w:eastAsia="en-GB"/>
        </w:rPr>
        <w:t xml:space="preserve">. All lysis buffer components were prepared in advance as stock solutions, aliquoted into smaller volumes and stored at </w:t>
      </w:r>
      <w:r w:rsidRPr="00C44D8C">
        <w:rPr>
          <w:rFonts w:asciiTheme="minorHAnsi" w:hAnsiTheme="minorHAnsi"/>
          <w:color w:val="000000"/>
          <w:sz w:val="22"/>
          <w:szCs w:val="22"/>
          <w:lang w:eastAsia="en-GB"/>
        </w:rPr>
        <w:t>-20˚C for future use.</w:t>
      </w:r>
    </w:p>
    <w:p w14:paraId="7DC2438E"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Coupons were sonicated with the lysis buffer in an ice-filled sonication bath (Fisherbrand, UK) within the anaerobic chamber to ensure that the first stages of protein extraction would occur in an anaerobic environment where the cells would not be subjected to any environmental stress that could affect protein expression. Sonication was applied in five rounds of 1 minute pulses to prevent thermal damage to cellular proteins. Thereafter, coupons were transferred to an orbital shaker (Yellow Line, IKA</w:t>
      </w:r>
      <w:r w:rsidRPr="00C44D8C">
        <w:rPr>
          <w:rFonts w:asciiTheme="minorHAnsi" w:hAnsiTheme="minorHAnsi"/>
          <w:color w:val="000000"/>
          <w:sz w:val="22"/>
          <w:szCs w:val="22"/>
          <w:vertAlign w:val="superscript"/>
          <w:lang w:eastAsia="en-GB"/>
        </w:rPr>
        <w:t>®</w:t>
      </w:r>
      <w:r w:rsidRPr="00C44D8C">
        <w:rPr>
          <w:rFonts w:asciiTheme="minorHAnsi" w:hAnsiTheme="minorHAnsi"/>
          <w:color w:val="000000"/>
          <w:sz w:val="22"/>
          <w:szCs w:val="22"/>
          <w:lang w:eastAsia="en-GB"/>
        </w:rPr>
        <w:t xml:space="preserve">- Werke GmbH &amp; Co. KG, Germany) and shaken overnight in the lysis buffer for 16 h at 4˚C. </w:t>
      </w:r>
    </w:p>
    <w:p w14:paraId="20A6A862" w14:textId="77777777"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bCs/>
          <w:iCs/>
          <w:color w:val="000000"/>
          <w:sz w:val="22"/>
          <w:szCs w:val="22"/>
          <w:lang w:eastAsia="en-GB"/>
        </w:rPr>
        <w:tab/>
      </w:r>
      <w:r w:rsidRPr="00C44D8C">
        <w:rPr>
          <w:rFonts w:asciiTheme="minorHAnsi" w:hAnsiTheme="minorHAnsi"/>
          <w:color w:val="000000"/>
          <w:sz w:val="22"/>
          <w:szCs w:val="22"/>
          <w:lang w:eastAsia="en-GB"/>
        </w:rPr>
        <w:t xml:space="preserve">Coupons were removed from the lysate after 16 h. The dilute nature of the lysate from each of the biological replicates called for a method to concentrate the proteins. Therefore, the dilute lysate was concentrated using Vivaspin® 20 ml centrifugal concentrators with a molecular weight cut-off of 3000 Da (Sigma Aldrich, UK) that had previously been centrifuged with 50 mM TEAB buffer to remove any traces of sodium azide and glycerin from the filter membrane. The lysate in the concentrators was centrifuged at </w:t>
      </w:r>
      <w:r w:rsidRPr="00C44D8C">
        <w:rPr>
          <w:rFonts w:asciiTheme="minorHAnsi" w:hAnsiTheme="minorHAnsi"/>
          <w:color w:val="000000"/>
          <w:sz w:val="22"/>
          <w:szCs w:val="22"/>
          <w:lang w:eastAsia="en-GB"/>
        </w:rPr>
        <w:lastRenderedPageBreak/>
        <w:t>4500 x g for 2 h at 20˚C to ensure optimal concentration of proteins from samples. These centrifugal conditions were performed for all biological replicates unless otherwise stated.</w:t>
      </w:r>
    </w:p>
    <w:p w14:paraId="34966C94"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Thereafter, the flow-through was discarded and the centrifugal concentrators were topped up with additional lysate and further centrifuged, until the lysate from each of the four biological replicates was maximally concentrated. The protein concentrate was then desalted in three cycles of centrifugation to remove excess salt and detergents with 50 mM TEAB buffer for optimal concentration. </w:t>
      </w:r>
    </w:p>
    <w:p w14:paraId="09D02D5B" w14:textId="57D4F1D8"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The protein concentrate was pipetted out from the centrifugal concentrators for each biological replicate, collected in sterile 2 ml Protein LoBind tubes (Eppendorf, Germany) and stored at -20˚C for future use.   </w:t>
      </w:r>
    </w:p>
    <w:p w14:paraId="1268A965" w14:textId="77777777" w:rsidR="00436CD0" w:rsidRPr="00C44D8C" w:rsidRDefault="00436CD0" w:rsidP="00436CD0">
      <w:pPr>
        <w:spacing w:line="360" w:lineRule="auto"/>
        <w:rPr>
          <w:rFonts w:asciiTheme="minorHAnsi" w:hAnsiTheme="minorHAnsi"/>
          <w:bCs/>
          <w:iCs/>
          <w:color w:val="000000"/>
          <w:sz w:val="22"/>
          <w:szCs w:val="22"/>
          <w:lang w:eastAsia="en-GB"/>
        </w:rPr>
      </w:pPr>
    </w:p>
    <w:p w14:paraId="5437370C" w14:textId="77777777" w:rsidR="00436CD0" w:rsidRPr="00C44D8C" w:rsidRDefault="00436CD0" w:rsidP="002B69BD">
      <w:pPr>
        <w:pStyle w:val="Heading6"/>
        <w:rPr>
          <w:lang w:eastAsia="en-GB"/>
        </w:rPr>
      </w:pPr>
      <w:bookmarkStart w:id="136" w:name="_Toc462575345"/>
      <w:r w:rsidRPr="00C44D8C">
        <w:rPr>
          <w:lang w:eastAsia="en-GB"/>
        </w:rPr>
        <w:t>5.2.5. Protein quantification</w:t>
      </w:r>
      <w:bookmarkEnd w:id="136"/>
      <w:r w:rsidRPr="00C44D8C">
        <w:rPr>
          <w:lang w:eastAsia="en-GB"/>
        </w:rPr>
        <w:t xml:space="preserve"> </w:t>
      </w:r>
    </w:p>
    <w:p w14:paraId="65479967" w14:textId="77777777"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color w:val="000000"/>
          <w:sz w:val="22"/>
          <w:szCs w:val="22"/>
          <w:lang w:eastAsia="en-GB"/>
        </w:rPr>
        <w:t>To remove any traces of salt from the detergents in the protein samples, 400 μl of protein concentrate from each biological replicate was incubated with ice-cold acetone (Sigma Aldrich, UK) in a ratio of 4:1 (v/v) at -20˚C for 4 h to allow protein precipitation. Thereafter, samples were centrifuged at 21,000 x g for 20 minutes at 4˚C to collect the precipitated proteins. The supernatants were discarded and the pellets resuspended in 35 μl of 100 mM TEAB buffer.</w:t>
      </w:r>
    </w:p>
    <w:p w14:paraId="06D500A7" w14:textId="77777777" w:rsidR="00436CD0" w:rsidRPr="00C44D8C" w:rsidRDefault="00436CD0" w:rsidP="005C5F28">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Protein quantification is necessary for the downstream processes to ensure that equal amounts of protein are present in each sample for gel electrophoresis and to calculate how much trypsin is required for optimal protein digestion and quantitative mass spectrometry. Therefore, protein quantification was carried out using the Lowry method and qualitative verification was determined using SDS-PAGE. </w:t>
      </w:r>
    </w:p>
    <w:p w14:paraId="3486C04A" w14:textId="2490D724"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Acetone-precipitated protein samples were first diluted 1:100 in Milli-Q water to ensure that the protein concentrations for all biological replicates would fall within the linear range of the modified Lowry method</w:t>
      </w:r>
      <w:r w:rsidR="00DD00BB">
        <w:rPr>
          <w:rFonts w:asciiTheme="minorHAnsi" w:hAnsiTheme="minorHAnsi"/>
          <w:color w:val="000000"/>
          <w:sz w:val="22"/>
          <w:szCs w:val="22"/>
          <w:lang w:eastAsia="en-GB"/>
        </w:rPr>
        <w:t xml:space="preserve"> </w:t>
      </w:r>
      <w:r w:rsidR="00DD00BB">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"author" : [ { "dropping-particle" : "", "family" : "Hartree", "given" : "E F", "non-dropping-particle" : "", "parse-names" : false, "suffix" : "" } ], "container-title" : "Analytical Chemistry", "id" : "ITEM-1", "issued" : { "date-parts" : [ [ "1972" ] ] }, "page" : "422-427", "title" : "Determination of Protein: A modification of the Lowry method that gives a linear photometric response", "type" : "article-journal", "volume" : "48" }, "uris" : [ "http://www.mendeley.com/documents/?uuid=2db3b5f8-d5d3-4ddf-ae3d-12457b35f7f2" ] } ], "mendeley" : { "formattedCitation" : "[196]", "plainTextFormattedCitation" : "[196]", "previouslyFormattedCitation" : "[196]" }, "properties" : { "noteIndex" : 0 }, "schema" : "https://github.com/citation-style-language/schema/raw/master/csl-citation.json" }</w:instrText>
      </w:r>
      <w:r w:rsidR="00DD00BB">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[196]</w:t>
      </w:r>
      <w:r w:rsidR="00DD00BB">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A range of concentrations of bovine serum albumin (BSA) (Sigma Aldrich, UK) from 0-200 μg/ml were prepared from a 1 mg/ml stock solution of BSA, to act as a protein standard. </w:t>
      </w:r>
    </w:p>
    <w:p w14:paraId="308BA483"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According to the modified Lowry method, 300 μl of each concentration of the BSA protein standards were added to 700 μl of Milli-Q water, before the addition of 100 μl of 0.15% (w/v) sodium deoxycholate (Sigma Aldrich, UK). Samples were vortexed and incubated at room temperature for 10 minutes. 100 μl of 72% (v/v) trichloroacetic acid (Sigma Aldrich, UK) was added to all samples. Samples were thoroughly vortexed and centrifuged at 3000 x g for 15 minutes at room temperature.</w:t>
      </w:r>
    </w:p>
    <w:p w14:paraId="7832EFF5" w14:textId="77777777" w:rsidR="00436CD0" w:rsidRPr="00C44D8C" w:rsidRDefault="00436CD0" w:rsidP="005C5F28">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The supernatants from all samples were discarded and the pellets left to air dry. Pellets were resuspended in 0.5 ml of Milli-Q water. Thereafter, 0.5 ml of a freshly prepared reagent containing an equal 1:1:1:1 ratio of 0.8 M sodium hydroxide (Sigma Aldrich, UK), 10 % (w/v) SDS, Milli-Q water and copper tartarate carbonate (CTC) solution (0.2% (w/v) potassium sodium tartarate tetrahydrate, 0.1% (w/v) copper sulphate, 10% (w/v) sodium carbonate) (Sigma Aldrich, UK), was added to all samples and incubated at room temperature for 10 minutes. 0.25 ml of 1:6 diluted Folin’s phenol reagent (Sigma Aldrich, UK) was added to all samples, vortexed thoroughly and left to incubate at room temperature for 30 minutes for the colour to develop. Thereafter, the absorbance of all samples were measured at a wavelength of 750 nm, using the 0 μg/ml BSA standard as a blank.</w:t>
      </w:r>
    </w:p>
    <w:p w14:paraId="552C76F3"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Aliquots from each biological replicate for both the PVC and PETG conditions containing 4 μg of protein were also resolved on polyacrylamide gels, consisting of two components: a 12% polyacrylamide resolving gel containing 12 ml of 30% (v/v) acryl-bisacrylamide (Sigma Aldrich, UK), 7.5 ml of 1.5 M </w:t>
      </w:r>
      <w:r w:rsidRPr="00C44D8C">
        <w:rPr>
          <w:rFonts w:asciiTheme="minorHAnsi" w:hAnsiTheme="minorHAnsi"/>
          <w:sz w:val="22"/>
          <w:szCs w:val="22"/>
          <w:lang w:eastAsia="en-GB"/>
        </w:rPr>
        <w:t>T</w:t>
      </w:r>
      <w:r w:rsidRPr="00C44D8C">
        <w:rPr>
          <w:rFonts w:asciiTheme="minorHAnsi" w:eastAsia="Calibri" w:hAnsiTheme="minorHAnsi" w:cs="Arial"/>
          <w:bCs/>
          <w:sz w:val="22"/>
          <w:szCs w:val="22"/>
        </w:rPr>
        <w:t>ris(hydroxymethyl)aminomethane (Tris)</w:t>
      </w:r>
      <w:r w:rsidRPr="00C44D8C">
        <w:rPr>
          <w:rFonts w:asciiTheme="minorHAnsi" w:hAnsiTheme="minorHAnsi"/>
          <w:sz w:val="22"/>
          <w:szCs w:val="22"/>
          <w:lang w:eastAsia="en-GB"/>
        </w:rPr>
        <w:t xml:space="preserve"> </w:t>
      </w:r>
      <w:r w:rsidRPr="00C44D8C">
        <w:rPr>
          <w:rFonts w:asciiTheme="minorHAnsi" w:hAnsiTheme="minorHAnsi"/>
          <w:color w:val="000000"/>
          <w:sz w:val="22"/>
          <w:szCs w:val="22"/>
          <w:lang w:eastAsia="en-GB"/>
        </w:rPr>
        <w:t xml:space="preserve">(pH 8.8), 0.3 ml of 10% (v/v) SDS, 0.3 ml of 10% (v/v) ammonium sulphate (Sigma Aldrich, UK), 12 μl of </w:t>
      </w:r>
      <w:r w:rsidRPr="00C44D8C">
        <w:rPr>
          <w:rFonts w:asciiTheme="minorHAnsi" w:hAnsiTheme="minorHAnsi"/>
          <w:color w:val="000000"/>
          <w:sz w:val="22"/>
          <w:szCs w:val="22"/>
          <w:shd w:val="clear" w:color="auto" w:fill="FDFDFD"/>
          <w:lang w:eastAsia="en-GB"/>
        </w:rPr>
        <w:t xml:space="preserve">tetramethylethylenediamine (TEMED) </w:t>
      </w:r>
      <w:r w:rsidRPr="00C44D8C">
        <w:rPr>
          <w:rFonts w:asciiTheme="minorHAnsi" w:hAnsiTheme="minorHAnsi"/>
          <w:color w:val="000000"/>
          <w:sz w:val="22"/>
          <w:szCs w:val="22"/>
          <w:lang w:eastAsia="en-GB"/>
        </w:rPr>
        <w:t xml:space="preserve">(Sigma Aldrich, UK) </w:t>
      </w:r>
      <w:r w:rsidRPr="00C44D8C">
        <w:rPr>
          <w:rFonts w:asciiTheme="minorHAnsi" w:hAnsiTheme="minorHAnsi"/>
          <w:color w:val="000000"/>
          <w:sz w:val="22"/>
          <w:szCs w:val="22"/>
          <w:shd w:val="clear" w:color="auto" w:fill="FDFDFD"/>
          <w:lang w:eastAsia="en-GB"/>
        </w:rPr>
        <w:t xml:space="preserve">and 9.9 ml of Milli-Q water; and a 4% polyacrylamide </w:t>
      </w:r>
      <w:r w:rsidRPr="00C44D8C">
        <w:rPr>
          <w:rFonts w:asciiTheme="minorHAnsi" w:hAnsiTheme="minorHAnsi"/>
          <w:color w:val="000000"/>
          <w:sz w:val="22"/>
          <w:szCs w:val="22"/>
          <w:lang w:eastAsia="en-GB"/>
        </w:rPr>
        <w:t xml:space="preserve">stacking gel containing 0.83 ml of 30% (v/v) acryl-bisacrylamide, 0.63 ml of 1.5 M Tris (pH 6.8), 50 μl  of 10% (v/v) SDS, 50 μl of 10% (w/v) ammonium sulphate, 5 μl of </w:t>
      </w:r>
      <w:r w:rsidRPr="00C44D8C">
        <w:rPr>
          <w:rFonts w:asciiTheme="minorHAnsi" w:hAnsiTheme="minorHAnsi"/>
          <w:color w:val="000000"/>
          <w:sz w:val="22"/>
          <w:szCs w:val="22"/>
          <w:shd w:val="clear" w:color="auto" w:fill="FDFDFD"/>
          <w:lang w:eastAsia="en-GB"/>
        </w:rPr>
        <w:t xml:space="preserve">TEMED and 3.4 ml of  Milli-Q water. The stacking gel was added on top of the resolving gel after it had polymerised. </w:t>
      </w:r>
    </w:p>
    <w:p w14:paraId="25DC2650"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A running buffer was prepared as a 10 x stock solution containing 14.4% (w/v) glycine (Sigma Aldrich, UK), 3% (w/v) Tris (Sigma Aldrich, UK) and 1% (w/v) SDS in Milli-Q water. This was diluted 1:10 before use in gel electrophoresis.</w:t>
      </w:r>
    </w:p>
    <w:p w14:paraId="09B6A355"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The protein samples were thoroughly vortex-mixed before appropriate volumes from each sample corresponding to 4 μg of protein were pipetted into newly labelled 2 ml Eppendorf tubes (Eppendorf, Germany</w:t>
      </w:r>
      <w:r w:rsidRPr="00C44D8C">
        <w:rPr>
          <w:rFonts w:asciiTheme="minorHAnsi" w:hAnsiTheme="minorHAnsi"/>
          <w:sz w:val="22"/>
          <w:szCs w:val="22"/>
          <w:lang w:eastAsia="en-GB"/>
        </w:rPr>
        <w:t xml:space="preserve">). Milli-Q water was added to each of the samples in a 1:1 ratio and the volume brought up to a final volume of 15 μl with  loading dye containing bromophenol blue (x 2 concentration) (Sigma Aldrich, UK). </w:t>
      </w:r>
      <w:r w:rsidRPr="00C44D8C">
        <w:rPr>
          <w:rFonts w:asciiTheme="minorHAnsi" w:hAnsiTheme="minorHAnsi"/>
          <w:color w:val="000000"/>
          <w:sz w:val="22"/>
          <w:szCs w:val="22"/>
          <w:lang w:eastAsia="en-GB"/>
        </w:rPr>
        <w:t>After vortex mixing, all samples were incubated at 95˚C for 5 minutes in a heat block.</w:t>
      </w:r>
    </w:p>
    <w:p w14:paraId="4D8CE18A" w14:textId="7A13061D" w:rsidR="00436CD0" w:rsidRPr="00C44D8C" w:rsidRDefault="00436CD0" w:rsidP="002B69BD">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Thereafter, the polymerised polyacrylamide gel was immersed in a holding tank containing the running buffer. 5 μl of each sample was loaded into each lane of the gel, as well as 5 μl of a protein marker (Sigma Aldrich, UK) in the first lane. Electrophoresis was run initially at 80 V before increasing the voltage to 120 V until the bromophenol blue dye had reached the end of the gel.</w:t>
      </w:r>
    </w:p>
    <w:p w14:paraId="30B557DB" w14:textId="77777777" w:rsidR="00436CD0" w:rsidRPr="00C44D8C" w:rsidRDefault="00436CD0" w:rsidP="002B69BD">
      <w:pPr>
        <w:pStyle w:val="Heading6"/>
        <w:rPr>
          <w:lang w:eastAsia="en-GB"/>
        </w:rPr>
      </w:pPr>
      <w:bookmarkStart w:id="137" w:name="_Toc462575346"/>
      <w:r w:rsidRPr="00C44D8C">
        <w:rPr>
          <w:lang w:eastAsia="en-GB"/>
        </w:rPr>
        <w:lastRenderedPageBreak/>
        <w:t>5.2.6. Silver staining of proteins from SDS-PAGE</w:t>
      </w:r>
      <w:bookmarkEnd w:id="137"/>
    </w:p>
    <w:p w14:paraId="37F8358A" w14:textId="1E7E835E"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color w:val="000000"/>
          <w:sz w:val="22"/>
          <w:szCs w:val="22"/>
          <w:lang w:eastAsia="en-GB"/>
        </w:rPr>
        <w:t xml:space="preserve">The gel was then rinsed with Milli-Q water and Silver stained in order to detect proteins from SDS-PAGE with a sensitivity at the nanogram level </w:t>
      </w:r>
      <w:r w:rsidR="00DD00BB">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"10.1038/nprot.2006.288", "author" : [ { "dropping-particle" : "", "family" : "Wray", "given" : "Wayne", "non-dropping-particle" : "", "parse-names" : false, "suffix" : "" }, { "dropping-particle" : "", "family" : "Boulikas", "given" : "Teni", "non-dropping-particle" : "", "parse-names" : false, "suffix" : "" }, { "dropping-particle" : "", "family" : "Wray", "given" : "Virginia P.", "non-dropping-particle" : "", "parse-names" : false, "suffix" : "" }, { "dropping-particle" : "", "family" : "Hancock", "given" : "Ronald", "non-dropping-particle" : "", "parse-names" : false, "suffix" : "" } ], "container-title" : "Analytical Biochemistry", "id" : "ITEM-1", "issued" : { "date-parts" : [ [ "1981" ] ] }, "page" : "197-203", "title" : "Silver staining of proteins in polyacrylamide gels", "type" : "article-journal", "volume" : "118" }, "uris" : [ "http://www.mendeley.com/documents/?uuid=116b7e4a-20f2-4be3-b2a3-f0e46b5166ac" ] } ], "mendeley" : { "formattedCitation" : "[155]", "plainTextFormattedCitation" : "[155]", "previouslyFormattedCitation" : "[155]" }, "properties" : { "noteIndex" : 0 }, "schema" : "https://github.com/citation-style-language/schema/raw/master/csl-citation.json" }</w:instrText>
      </w:r>
      <w:r w:rsidR="00DD00BB">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[155]</w:t>
      </w:r>
      <w:r w:rsidR="00DD00BB">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The gel was soaked in a fix solution containing 50% (v/v) methanol (Sigma Aldrich, UK) and 12% (v/v) acetic acid (Sigma Aldrich, UK) for 40 minutes.</w:t>
      </w:r>
    </w:p>
    <w:p w14:paraId="482AC5D3"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The fix solution was replaced with fresh fix solution and incubated for a further 30 minutes at room temperature. Afterwards, the fix solution was discarded and the gel was soaked in 50% (v/v) ethanol solution in three cycles of 20 minutes.</w:t>
      </w:r>
    </w:p>
    <w:p w14:paraId="2BF40F90"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Thereafter, the gel was soaked in a 0.02% (w/v) sodium thiosulphate solution (Sigma Aldrich, UK) for one minute, before being washed twice with Milli-Q water and incubated in a 0.1% (w/v) silver nitrate (Sigma Aldrich, UK) solution for 20 minutes in the dark. After incubation, the gel was rinsed in Milli-Q water and the silver stain was developed in a solution containing 0.04% (v/v) formalin (Sigma Aldrich, UK) and 2% (w/v) sodium thiosulphate (Sigma Aldrich, UK), until gel bands became visible. At this point, the gel was rinsed in distilled water to prevent the silver stain from developing further. The rinsed gel was finally immersed in a fix solution for 30 minutes.</w:t>
      </w:r>
    </w:p>
    <w:p w14:paraId="4D05CDF8" w14:textId="77777777" w:rsidR="00436CD0" w:rsidRPr="00C44D8C" w:rsidRDefault="00436CD0" w:rsidP="00436CD0">
      <w:pPr>
        <w:spacing w:line="360" w:lineRule="auto"/>
        <w:rPr>
          <w:rFonts w:asciiTheme="minorHAnsi" w:hAnsiTheme="minorHAnsi"/>
          <w:sz w:val="22"/>
          <w:szCs w:val="22"/>
          <w:lang w:eastAsia="en-GB"/>
        </w:rPr>
      </w:pPr>
    </w:p>
    <w:p w14:paraId="72BB87F2" w14:textId="77777777" w:rsidR="00436CD0" w:rsidRPr="00C44D8C" w:rsidRDefault="00436CD0" w:rsidP="002B69BD">
      <w:pPr>
        <w:pStyle w:val="Heading6"/>
        <w:rPr>
          <w:lang w:eastAsia="en-GB"/>
        </w:rPr>
      </w:pPr>
      <w:bookmarkStart w:id="138" w:name="_Toc462575347"/>
      <w:r w:rsidRPr="00C44D8C">
        <w:rPr>
          <w:lang w:eastAsia="en-GB"/>
        </w:rPr>
        <w:t>5.2.7. Trypsin digestion</w:t>
      </w:r>
      <w:bookmarkEnd w:id="138"/>
    </w:p>
    <w:p w14:paraId="1F5B3B7D" w14:textId="77777777" w:rsidR="00436CD0" w:rsidRPr="00C44D8C" w:rsidRDefault="00436CD0" w:rsidP="00114AA3">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To ensure that a sufficient concentration of protein was available for iTRAQ labelling, the precipitated proteins from duplicate acetone</w:t>
      </w:r>
      <w:r w:rsidR="00114AA3" w:rsidRPr="00C44D8C">
        <w:rPr>
          <w:rFonts w:asciiTheme="minorHAnsi" w:hAnsiTheme="minorHAnsi"/>
          <w:color w:val="000000"/>
          <w:sz w:val="22"/>
          <w:szCs w:val="22"/>
          <w:lang w:eastAsia="en-GB"/>
        </w:rPr>
        <w:t xml:space="preserve">-precipitated samples for each </w:t>
      </w:r>
      <w:r w:rsidRPr="00C44D8C">
        <w:rPr>
          <w:rFonts w:asciiTheme="minorHAnsi" w:hAnsiTheme="minorHAnsi"/>
          <w:color w:val="000000"/>
          <w:sz w:val="22"/>
          <w:szCs w:val="22"/>
          <w:lang w:eastAsia="en-GB"/>
        </w:rPr>
        <w:t>biological replicate for PVC and PETG were combin</w:t>
      </w:r>
      <w:r w:rsidR="00114AA3" w:rsidRPr="00C44D8C">
        <w:rPr>
          <w:rFonts w:asciiTheme="minorHAnsi" w:hAnsiTheme="minorHAnsi"/>
          <w:color w:val="000000"/>
          <w:sz w:val="22"/>
          <w:szCs w:val="22"/>
          <w:lang w:eastAsia="en-GB"/>
        </w:rPr>
        <w:t xml:space="preserve">ed and resuspended in 70 μl of </w:t>
      </w:r>
      <w:r w:rsidRPr="00C44D8C">
        <w:rPr>
          <w:rFonts w:asciiTheme="minorHAnsi" w:hAnsiTheme="minorHAnsi"/>
          <w:color w:val="000000"/>
          <w:sz w:val="22"/>
          <w:szCs w:val="22"/>
          <w:lang w:eastAsia="en-GB"/>
        </w:rPr>
        <w:t>100 mM TEAB buffer. This doubled the protein concentration for each biological replicate, as verified by the Lowry method.</w:t>
      </w:r>
    </w:p>
    <w:p w14:paraId="46DE7834" w14:textId="6CFA8692" w:rsidR="002B69BD" w:rsidRDefault="00436CD0" w:rsidP="005C5F28">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For each sample, volumes corresponding to 80 μg of protein were pipetted from each sample into sterile 2 ml Protein LoBind tubes (Fisher Scientific, UK). This amount of protein was chosen to override the risk of having unlabelled peptides entering the mass spectrometer and increasing the chance of protein estimation errors</w:t>
      </w:r>
      <w:r w:rsidR="00DD00BB">
        <w:rPr>
          <w:rFonts w:asciiTheme="minorHAnsi" w:hAnsiTheme="minorHAnsi"/>
          <w:color w:val="000000"/>
          <w:sz w:val="22"/>
          <w:szCs w:val="22"/>
          <w:lang w:eastAsia="en-GB"/>
        </w:rPr>
        <w:t xml:space="preserve"> </w:t>
      </w:r>
      <w:r w:rsidR="00DD00BB">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"ISBN" : "978-953-51-0070-6", "abstract" : "Proteomics was thought to be a natural extension after the field of genomics has deposited significant amount of data. However, simply taking a straight verbatim approach to catalog all proteins in all tissues of different organisms is not viable. Researchers may need to focus on the perspectives of proteomics that are essential to the functional outcome of the cells. In Integrative Proteomics, expert researchers contribute both historical perspectives, new developments in sample preparation, gel-based and non-gel-based protein separation and identification using mass spectrometry. Substantial chapters are describing studies of the sub-proteomes such as phosphoproteome or glycoproteomes which are directly related to functional outcomes of the cells. Structural proteomics related to pharmaceutics development is also a perspective of the essence. Bioinformatics tools that can mine proteomics data and lead to pathway analyses become an integral part of proteomics. Integrative proteomics covers both look-backs and look-outs of proteomics. It is an ideal reference for students, new researchers, and experienced scientists who want to get an overview or insights into new development of the proteomics field", "author" : [ { "dropping-particle" : "", "family" : "Fuller", "given" : "H R", "non-dropping-particle" : "", "parse-names" : false, "suffix" : "" }, { "dropping-particle" : "", "family" : "Morris", "given" : "G E", "non-dropping-particle" : "", "parse-names" : false, "suffix" : "" } ], "container-title" : "Integrative Proteomics", "id" : "ITEM-1", "issued" : { "date-parts" : [ [ "2012" ] ] }, "page" : "442", "title" : "Quantitative Proteomics Using iTRAQ Labeling and Mass Spectrometry", "type" : "article-journal" }, "uris" : [ "http://www.mendeley.com/documents/?uuid=767591a0-cbdf-4eda-986f-ba0b7a4d7bbb" ] } ], "mendeley" : { "formattedCitation" : "[163]", "plainTextFormattedCitation" : "[163]", "previouslyFormattedCitation" : "[163]" }, "properties" : { "noteIndex" : 0 }, "schema" : "https://github.com/citation-style-language/schema/raw/master/csl-citation.json" }</w:instrText>
      </w:r>
      <w:r w:rsidR="00DD00BB">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[163]</w:t>
      </w:r>
      <w:r w:rsidR="00DD00BB">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w:t>
      </w:r>
    </w:p>
    <w:p w14:paraId="0A05E588" w14:textId="5FB62B7F"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Sample volumes were standardised to a final volume of 50 μl by adding 100 mM TEAB buffer. In order </w:t>
      </w:r>
      <w:r w:rsidRPr="00C44D8C">
        <w:rPr>
          <w:rFonts w:asciiTheme="minorHAnsi" w:hAnsiTheme="minorHAnsi"/>
          <w:color w:val="000000"/>
          <w:sz w:val="22"/>
          <w:szCs w:val="22"/>
          <w:shd w:val="clear" w:color="auto" w:fill="FFFFFF"/>
          <w:lang w:eastAsia="en-GB"/>
        </w:rPr>
        <w:t xml:space="preserve">to enhance the solubilisation of proteins for enzymatic digestion, </w:t>
      </w:r>
      <w:r w:rsidRPr="00C44D8C">
        <w:rPr>
          <w:rFonts w:asciiTheme="minorHAnsi" w:hAnsiTheme="minorHAnsi"/>
          <w:color w:val="000000"/>
          <w:sz w:val="22"/>
          <w:szCs w:val="22"/>
          <w:lang w:eastAsia="en-GB"/>
        </w:rPr>
        <w:t xml:space="preserve">RapiGest™ surfactant (Waters Corporation, USA) was added at a final concentration of 0.1% (w/v). The reduction of the disulphide bonds between cysteines residues in the proteins was carried out using </w:t>
      </w:r>
      <w:r w:rsidRPr="00C44D8C">
        <w:rPr>
          <w:rFonts w:asciiTheme="minorHAnsi" w:hAnsiTheme="minorHAnsi"/>
          <w:color w:val="000000"/>
          <w:sz w:val="22"/>
          <w:szCs w:val="22"/>
          <w:shd w:val="clear" w:color="auto" w:fill="FDFDFD"/>
          <w:lang w:eastAsia="en-GB"/>
        </w:rPr>
        <w:t xml:space="preserve">Tris(2-carboxyethyl)phosphine hydrochloride (TCEP) </w:t>
      </w:r>
      <w:r w:rsidRPr="00C44D8C">
        <w:rPr>
          <w:rFonts w:asciiTheme="minorHAnsi" w:hAnsiTheme="minorHAnsi"/>
          <w:color w:val="000000"/>
          <w:sz w:val="22"/>
          <w:szCs w:val="22"/>
          <w:lang w:eastAsia="en-GB"/>
        </w:rPr>
        <w:t>(Sigma Aldrich, UK). TCEP</w:t>
      </w:r>
      <w:r w:rsidRPr="00C44D8C">
        <w:rPr>
          <w:rFonts w:asciiTheme="minorHAnsi" w:hAnsiTheme="minorHAnsi"/>
          <w:color w:val="000000"/>
          <w:sz w:val="22"/>
          <w:szCs w:val="22"/>
          <w:shd w:val="clear" w:color="auto" w:fill="FFFFFF"/>
          <w:lang w:eastAsia="en-GB"/>
        </w:rPr>
        <w:t xml:space="preserve"> was added to all samples to a final concentration of 8 mM. Samples were consequently vortex mixed and incubated at 55</w:t>
      </w:r>
      <w:r w:rsidRPr="00C44D8C">
        <w:rPr>
          <w:rFonts w:asciiTheme="minorHAnsi" w:hAnsiTheme="minorHAnsi"/>
          <w:color w:val="000000"/>
          <w:sz w:val="22"/>
          <w:szCs w:val="22"/>
          <w:lang w:eastAsia="en-GB"/>
        </w:rPr>
        <w:t>˚C for 30 minutes.</w:t>
      </w:r>
    </w:p>
    <w:p w14:paraId="1F4351F3"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lastRenderedPageBreak/>
        <w:t>Thereafter, the reduced cysteines were alkylated with a blocking reagent, methyl methanethiosulfonate (MMTS) (Sigma Aldrich, UK), which was added to a final concentration of 16 mM and incubated in the dark at room temperature for 30 minutes. Sequencing grade trypsin (Promega, UK) was reconstituted in 100 μl of 100 mM TEAB buffer to a final concentration of 0.2 ug/ul. Trypsin was added to all samples following an enzyme to protein ratio of 1:30 to ensure sufficient enzymatic digestion, as determined by preliminary experiments. Samples were incubated at 37˚C for 16 h whilst shaking at 350 rpm.</w:t>
      </w:r>
    </w:p>
    <w:p w14:paraId="74AB8BF3" w14:textId="77777777" w:rsidR="00436CD0" w:rsidRPr="00C44D8C" w:rsidRDefault="00436CD0" w:rsidP="005C5F28">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To ensure that the trypsin had successfully digested all proteins, aliquots from each digested sample corresponding to 2 μg of protein were resolved on 12% polyacrylamide gels at 120 V and subsequently Silver stained, as described previously.</w:t>
      </w:r>
    </w:p>
    <w:p w14:paraId="7424DDB7"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 </w:t>
      </w:r>
    </w:p>
    <w:p w14:paraId="455A99CF" w14:textId="77777777" w:rsidR="00436CD0" w:rsidRPr="00C44D8C" w:rsidRDefault="00436CD0" w:rsidP="002B69BD">
      <w:pPr>
        <w:pStyle w:val="Heading6"/>
        <w:rPr>
          <w:lang w:eastAsia="en-GB"/>
        </w:rPr>
      </w:pPr>
      <w:bookmarkStart w:id="139" w:name="_Toc462575348"/>
      <w:r w:rsidRPr="00C44D8C">
        <w:rPr>
          <w:lang w:eastAsia="en-GB"/>
        </w:rPr>
        <w:t>5.2.8. iTRAQ labelling</w:t>
      </w:r>
      <w:bookmarkEnd w:id="139"/>
    </w:p>
    <w:p w14:paraId="3FCB7C6E" w14:textId="77777777"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color w:val="000000"/>
          <w:sz w:val="22"/>
          <w:szCs w:val="22"/>
          <w:lang w:eastAsia="en-GB"/>
        </w:rPr>
        <w:t>8-Plex iTRAQ reagents (Applied Biosystems, USA) were brought to room temperature before adding 50 μl of isopropanol (Sigma Aldrich, UK) to each label. After being thoroughly vortex mixed, 50 μl of each iTRAQ label was added to a specific sample digest as follows: labels 113-116 for the four biological replicates of the PETG conditions, and labels 117-121 for the four biological replicates of the PVC conditions.</w:t>
      </w:r>
    </w:p>
    <w:p w14:paraId="7C7166D1" w14:textId="77777777" w:rsidR="00436CD0" w:rsidRPr="00C44D8C" w:rsidRDefault="00436CD0" w:rsidP="002B69BD">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Isopropanol was added to each sample at a final concentration of 60% v/v and samples were thoroughly vortex mixed. The </w:t>
      </w:r>
      <w:r w:rsidRPr="00C44D8C">
        <w:rPr>
          <w:rFonts w:asciiTheme="minorHAnsi" w:eastAsia="Calibri" w:hAnsiTheme="minorHAnsi" w:cs="Arial"/>
          <w:sz w:val="22"/>
          <w:szCs w:val="22"/>
        </w:rPr>
        <w:t xml:space="preserve">pH of the peptide solution was checked before iTRAQ labelling. </w:t>
      </w:r>
      <w:r w:rsidRPr="00C44D8C">
        <w:rPr>
          <w:rFonts w:asciiTheme="minorHAnsi" w:hAnsiTheme="minorHAnsi"/>
          <w:color w:val="000000"/>
          <w:sz w:val="22"/>
          <w:szCs w:val="22"/>
          <w:lang w:eastAsia="en-GB"/>
        </w:rPr>
        <w:t>Samples were incubated at room temperature (22˚C) and shaken at 350 rpm for 2 h. Hydroxylamine hydrochloride (Sigma Aldrich, UK) was added to a final concentration of 10 mM to each of the samples in order to quench the excess of any unreacted iTRAQ labels. Samples were vortex mixed and incubated at 37˚C for 10 minutes.</w:t>
      </w:r>
    </w:p>
    <w:p w14:paraId="25825E7B" w14:textId="63038AD5" w:rsidR="00436CD0" w:rsidRPr="00C44D8C" w:rsidRDefault="00436CD0" w:rsidP="005C5F28">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Thereafter, RapiGest™ was removed from labelled samples. RapiGest™ undergoes hydrolysis in acidic conditions, which is useful for removing it easily from samples</w:t>
      </w:r>
      <w:r w:rsidR="0016337D">
        <w:rPr>
          <w:rFonts w:asciiTheme="minorHAnsi" w:hAnsiTheme="minorHAnsi"/>
          <w:color w:val="000000"/>
          <w:sz w:val="22"/>
          <w:szCs w:val="22"/>
          <w:lang w:eastAsia="en-GB"/>
        </w:rPr>
        <w:t xml:space="preserve"> </w:t>
      </w:r>
      <w:r w:rsidR="0016337D">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"10.1002/pmic.201200478", "ISSN" : "16159853", "PMID" : "23784971", "abstract" : "This work presents a comparative evaluation of several detergent-based sample preparation workflows for the MS-based analysis of bacterial proteomes, performed using the model organism Escherichia coli. Initially, RapiGest- and SDS-based buffers were compared for their protein extraction efficiency and quality of the MS data generated. As a result, SDS performed best in terms of total protein yields and overall number of MS identifications, mainly due to a higher efficiency in extracting high molecular weight (MW) and membrane proteins, while RapiGest led to an enrichment in periplasmic and fimbrial proteins. Then, SDS extracts underwent five different MS sample preparation workflows, including: detergent removal by spin columns followed by in-solution digestion (SC), protein precipitation followed by in-solution digestion in ammonium bicarbonate or urea buffer, filter-aided sample preparation (FASP), and 1DE separation followed by in-gel digestion. On the whole, about 1000 proteins were identified upon LC-MS/MS analysis of all preparations (&gt;1100 with the SC workflow), with FASP producing more identified peptides and a higher mean sequence coverage. Each protocol exhibited specific behaviors in terms of MW, hydrophobicity, and subcellular localization distribution of the identified proteins; a comparative assessment of the different outputs is presented.", "author" : [ { "dropping-particle" : "", "family" : "Tanca", "given" : "Alessandro", "non-dropping-particle" : "", "parse-names" : false, "suffix" : "" }, { "dropping-particle" : "", "family" : "Biosa", "given" : "Grazia", "non-dropping-particle" : "", "parse-names" : false, "suffix" : "" }, { "dropping-particle" : "", "family" : "Pagnozzi", "given" : "Daniela", "non-dropping-particle" : "", "parse-names" : false, "suffix" : "" }, { "dropping-particle" : "", "family" : "Addis", "given" : "Maria Filippa", "non-dropping-particle" : "", "parse-names" : false, "suffix" : "" }, { "dropping-particle" : "", "family" : "Uzzau", "given" : "Sergio", "non-dropping-particle" : "", "parse-names" : false, "suffix" : "" } ], "container-title" : "Proteomics", "id" : "ITEM-1", "issue" : "17", "issued" : { "date-parts" : [ [ "2013" ] ] }, "page" : "2597-2607", "title" : "Comparison of detergent-based sample preparation workflows for LTQ-Orbitrap analysis of the Escherichia coli proteome", "type" : "article-journal", "volume" : "13" }, "uris" : [ "http://www.mendeley.com/documents/?uuid=6fd1f067-d20f-4aa7-a9f1-63688b053b63" ] } ], "mendeley" : { "formattedCitation" : "[151]", "plainTextFormattedCitation" : "[151]", "previouslyFormattedCitation" : "[151]" }, "properties" : { "noteIndex" : 0 }, "schema" : "https://github.com/citation-style-language/schema/raw/master/csl-citation.json" }</w:instrText>
      </w:r>
      <w:r w:rsidR="0016337D">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[151]</w:t>
      </w:r>
      <w:r w:rsidR="0016337D">
        <w:rPr>
          <w:rFonts w:asciiTheme="minorHAnsi" w:hAnsiTheme="minorHAnsi"/>
          <w:color w:val="000000"/>
          <w:sz w:val="22"/>
          <w:szCs w:val="22"/>
          <w:lang w:eastAsia="en-GB"/>
        </w:rPr>
        <w:fldChar w:fldCharType="end"/>
      </w:r>
      <w:r w:rsidR="0016337D">
        <w:rPr>
          <w:rFonts w:asciiTheme="minorHAnsi" w:hAnsiTheme="minorHAnsi"/>
          <w:color w:val="000000"/>
          <w:sz w:val="22"/>
          <w:szCs w:val="22"/>
          <w:lang w:eastAsia="en-GB"/>
        </w:rPr>
        <w:t xml:space="preserve"> to</w:t>
      </w:r>
      <w:r w:rsidRPr="00C44D8C">
        <w:rPr>
          <w:rFonts w:asciiTheme="minorHAnsi" w:hAnsiTheme="minorHAnsi"/>
          <w:color w:val="000000"/>
          <w:sz w:val="22"/>
          <w:szCs w:val="22"/>
          <w:lang w:eastAsia="en-GB"/>
        </w:rPr>
        <w:t xml:space="preserve"> prevent it from interfering with iTRAQ reagents. Thus, a formic acid solution diluted with HPLC-grade water (Sigma Aldrich, UK) was added to each sample to a final concentration of 0.5% and vortex mixed in order to hydrolyse RapiGest™ from samples. Samples were incubated at 37˚C for 15 minutes, and centrifuged at 16,000 x g for 10 minutes to remove the hydrolysed RapiGest™. </w:t>
      </w:r>
    </w:p>
    <w:p w14:paraId="156F6695"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The supernatants containing the labelled peptides from all samples were pooled together into a single sterile 2 ml Protein LoBind tube. The pooled sample was dried in a </w:t>
      </w:r>
      <w:r w:rsidRPr="00C44D8C">
        <w:rPr>
          <w:rFonts w:asciiTheme="minorHAnsi" w:hAnsiTheme="minorHAnsi"/>
          <w:color w:val="000000"/>
          <w:sz w:val="22"/>
          <w:szCs w:val="22"/>
          <w:lang w:eastAsia="en-GB"/>
        </w:rPr>
        <w:lastRenderedPageBreak/>
        <w:t>centrifugal vacuum concentrator (Speed Vac, Thermo Scientific, UK) and stored at -20˚C for further analysis.</w:t>
      </w:r>
    </w:p>
    <w:p w14:paraId="6DBF2A0F" w14:textId="77777777" w:rsidR="00436CD0" w:rsidRPr="00C44D8C" w:rsidRDefault="00436CD0" w:rsidP="00436CD0">
      <w:pPr>
        <w:spacing w:line="360" w:lineRule="auto"/>
        <w:rPr>
          <w:rFonts w:asciiTheme="minorHAnsi" w:hAnsiTheme="minorHAnsi"/>
          <w:sz w:val="22"/>
          <w:szCs w:val="22"/>
          <w:lang w:eastAsia="en-GB"/>
        </w:rPr>
      </w:pPr>
    </w:p>
    <w:p w14:paraId="59BD69AC" w14:textId="77777777" w:rsidR="00436CD0" w:rsidRPr="00C44D8C" w:rsidRDefault="00436CD0" w:rsidP="002B69BD">
      <w:pPr>
        <w:pStyle w:val="Heading6"/>
        <w:rPr>
          <w:lang w:eastAsia="en-GB"/>
        </w:rPr>
      </w:pPr>
      <w:bookmarkStart w:id="140" w:name="_Toc462575349"/>
      <w:r w:rsidRPr="00C44D8C">
        <w:rPr>
          <w:bCs/>
          <w:iCs/>
          <w:lang w:eastAsia="en-GB"/>
        </w:rPr>
        <w:t xml:space="preserve">5.2.9. </w:t>
      </w:r>
      <w:r w:rsidRPr="00C44D8C">
        <w:rPr>
          <w:lang w:eastAsia="en-GB"/>
        </w:rPr>
        <w:t>RP-HPLC separation of digested proteins</w:t>
      </w:r>
      <w:bookmarkEnd w:id="140"/>
      <w:r w:rsidRPr="00C44D8C">
        <w:rPr>
          <w:lang w:eastAsia="en-GB"/>
        </w:rPr>
        <w:t xml:space="preserve"> </w:t>
      </w:r>
    </w:p>
    <w:p w14:paraId="528BDECC"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In order to reduce the complexity of the proteome and to better improve the identification and quantification of iTRAQ labelled peptides, reverse phase high-performance liquid chromatography (RP-HPLC) was used to pre-fractionate the labelled sample before mass spectrometry in the first dimension of LC separation. </w:t>
      </w:r>
    </w:p>
    <w:p w14:paraId="23B264DF" w14:textId="6A0227D8"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sz w:val="22"/>
          <w:szCs w:val="22"/>
          <w:lang w:eastAsia="en-GB"/>
        </w:rPr>
        <w:tab/>
      </w:r>
      <w:r w:rsidRPr="00C44D8C">
        <w:rPr>
          <w:rFonts w:asciiTheme="minorHAnsi" w:hAnsiTheme="minorHAnsi"/>
          <w:color w:val="000000"/>
          <w:sz w:val="22"/>
          <w:szCs w:val="22"/>
          <w:lang w:eastAsia="en-GB"/>
        </w:rPr>
        <w:t xml:space="preserve">200 μl of buffer A consisting of 97% (v/v) HPLC-grade water (Sigma Aldrich, UK), 3% (v/v) acetonitrile (Sigma Aldrich, UK) and 0.1% (v/v) trifluoroacetic acid (TFA) (Sigma Aldrich, UK), was added to the dried iTRAQ-labelled sample. The sample was vortex mixed for 5 minutes, water bath sonicated for 1 minute, and vortex mixed and centrifuged at maximum speed (13,000 x g) for 1 minute in order to thoroughly mix the sample with buffer A and remove particulate matter, if present. The sample was then pipetted into an autosampler vial (Agilent Technologies, USA). Another autosampler vial containing 200 μl of buffer A served as a blank. Prior to peptide fractionation in an </w:t>
      </w:r>
      <w:r w:rsidRPr="00C44D8C">
        <w:rPr>
          <w:rFonts w:asciiTheme="minorHAnsi" w:eastAsia="Calibri" w:hAnsiTheme="minorHAnsi" w:cs="Arial"/>
          <w:color w:val="000000"/>
          <w:sz w:val="22"/>
          <w:szCs w:val="22"/>
        </w:rPr>
        <w:t xml:space="preserve">ultra-high pressure liquid chromatography </w:t>
      </w:r>
      <w:r w:rsidRPr="00C44D8C">
        <w:rPr>
          <w:rFonts w:asciiTheme="minorHAnsi" w:hAnsiTheme="minorHAnsi"/>
          <w:color w:val="000000"/>
          <w:sz w:val="22"/>
          <w:szCs w:val="22"/>
          <w:lang w:eastAsia="en-GB"/>
        </w:rPr>
        <w:t>(UHPLC) system (</w:t>
      </w:r>
      <w:r w:rsidRPr="00C44D8C">
        <w:rPr>
          <w:rFonts w:asciiTheme="minorHAnsi" w:hAnsiTheme="minorHAnsi"/>
          <w:sz w:val="22"/>
          <w:szCs w:val="22"/>
          <w:lang w:eastAsia="en-GB"/>
        </w:rPr>
        <w:t xml:space="preserve">Dionex UltiMate™ 3000 UHPLC, Thermo Fisher Scientific, UK), </w:t>
      </w:r>
      <w:r w:rsidRPr="00C44D8C">
        <w:rPr>
          <w:rFonts w:asciiTheme="minorHAnsi" w:hAnsiTheme="minorHAnsi"/>
          <w:color w:val="000000"/>
          <w:sz w:val="22"/>
          <w:szCs w:val="22"/>
          <w:lang w:eastAsia="en-GB"/>
        </w:rPr>
        <w:t>the blank was used to equilibrate the UHPLC column until a stable baseline was achieved.</w:t>
      </w:r>
    </w:p>
    <w:p w14:paraId="0DD4732A" w14:textId="77777777" w:rsidR="00436CD0" w:rsidRPr="00C44D8C" w:rsidRDefault="00436CD0" w:rsidP="00114AA3">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The peptides were fractionated in offline mode using the UHPLC system on a Hypercarb porous graphite carbon column (Thermo Scientific, USA) (50 x 2.1 mm, 3 μm particles with 250 </w:t>
      </w:r>
      <w:r w:rsidRPr="00C44D8C">
        <w:rPr>
          <w:rFonts w:ascii="Cambria Math" w:hAnsi="Cambria Math" w:cs="Cambria Math"/>
          <w:color w:val="000000"/>
          <w:sz w:val="22"/>
          <w:szCs w:val="22"/>
          <w:lang w:eastAsia="en-GB"/>
        </w:rPr>
        <w:t>Å</w:t>
      </w:r>
      <w:r w:rsidRPr="00C44D8C">
        <w:rPr>
          <w:rFonts w:asciiTheme="minorHAnsi" w:hAnsiTheme="minorHAnsi"/>
          <w:color w:val="000000"/>
          <w:sz w:val="22"/>
          <w:szCs w:val="22"/>
          <w:lang w:eastAsia="en-GB"/>
        </w:rPr>
        <w:t xml:space="preserve"> pores) set at 30</w:t>
      </w:r>
      <w:r w:rsidRPr="00C44D8C">
        <w:rPr>
          <w:rFonts w:asciiTheme="minorHAnsi" w:hAnsiTheme="minorHAnsi" w:cs="Calibri"/>
          <w:color w:val="000000"/>
          <w:sz w:val="22"/>
          <w:szCs w:val="22"/>
          <w:lang w:eastAsia="en-GB"/>
        </w:rPr>
        <w:t>˚</w:t>
      </w:r>
      <w:r w:rsidRPr="00C44D8C">
        <w:rPr>
          <w:rFonts w:asciiTheme="minorHAnsi" w:hAnsiTheme="minorHAnsi"/>
          <w:color w:val="000000"/>
          <w:sz w:val="22"/>
          <w:szCs w:val="22"/>
          <w:lang w:eastAsia="en-GB"/>
        </w:rPr>
        <w:t>C with a flow rate of 0.2 ml/minute. Samples were eluted using a linear gradient of an organic buffer (buffer B) containing 97% (v/v) acetonitrile, 3% (v/v) HPLC-grade water and 0.1% (v/v</w:t>
      </w:r>
      <w:r w:rsidR="00114AA3" w:rsidRPr="00C44D8C">
        <w:rPr>
          <w:rFonts w:asciiTheme="minorHAnsi" w:hAnsiTheme="minorHAnsi"/>
          <w:color w:val="000000"/>
          <w:sz w:val="22"/>
          <w:szCs w:val="22"/>
          <w:lang w:eastAsia="en-GB"/>
        </w:rPr>
        <w:t xml:space="preserve">) TFA ranging from 0-90% over </w:t>
      </w:r>
      <w:r w:rsidRPr="00C44D8C">
        <w:rPr>
          <w:rFonts w:asciiTheme="minorHAnsi" w:hAnsiTheme="minorHAnsi"/>
          <w:color w:val="000000"/>
          <w:sz w:val="22"/>
          <w:szCs w:val="22"/>
          <w:lang w:eastAsia="en-GB"/>
        </w:rPr>
        <w:t>1 h. Peptide elution was monitored using the Chromeleon software (Thermo-Dionex, USA) at 214 nm. Peptide fractions were collected every 3 minutes between 10 and 60 minutes in sterile 1.5 ml Protein LoBind tubes using a fraction collector (Foxy Junior, Isco, USA), of which 16 peptide fractions were collected. These fractions were dried in a centrifugal vacuum concentrator before being stored at -20˚C prior to mass spectrometry analysis.</w:t>
      </w:r>
    </w:p>
    <w:p w14:paraId="46E57309" w14:textId="6FBF749D" w:rsidR="00436CD0" w:rsidRPr="002B69BD" w:rsidRDefault="00436CD0" w:rsidP="002B69BD">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 peptide fraction was analysed by LC-MS/MS prior to identification and quantification by tandem mass spectrometry. This was to check the success of the iTRAQ labelling. Peptide separation was performed offline in the first dimension using a UHPLC system as described above, and separated in the second dimension using </w:t>
      </w:r>
      <w:r w:rsidRPr="00C44D8C">
        <w:rPr>
          <w:rFonts w:asciiTheme="minorHAnsi" w:hAnsiTheme="minorHAnsi"/>
          <w:sz w:val="22"/>
          <w:szCs w:val="22"/>
          <w:lang w:eastAsia="en-GB"/>
        </w:rPr>
        <w:t>an online LC-MS/MS system</w:t>
      </w:r>
      <w:r w:rsidRPr="00C44D8C">
        <w:rPr>
          <w:rFonts w:asciiTheme="minorHAnsi" w:hAnsiTheme="minorHAnsi"/>
          <w:color w:val="000000"/>
          <w:sz w:val="22"/>
          <w:szCs w:val="22"/>
          <w:lang w:eastAsia="en-GB"/>
        </w:rPr>
        <w:t xml:space="preserve">. </w:t>
      </w:r>
    </w:p>
    <w:p w14:paraId="6B7AF1DD" w14:textId="77777777" w:rsidR="00436CD0" w:rsidRPr="00C44D8C" w:rsidRDefault="00436CD0" w:rsidP="002B69BD">
      <w:pPr>
        <w:pStyle w:val="Heading6"/>
        <w:rPr>
          <w:lang w:eastAsia="en-GB"/>
        </w:rPr>
      </w:pPr>
      <w:bookmarkStart w:id="141" w:name="_Toc462575350"/>
      <w:r w:rsidRPr="00C44D8C">
        <w:rPr>
          <w:lang w:eastAsia="en-GB"/>
        </w:rPr>
        <w:lastRenderedPageBreak/>
        <w:t>5.2.10. RP-LC-MS analysis</w:t>
      </w:r>
      <w:bookmarkEnd w:id="141"/>
    </w:p>
    <w:p w14:paraId="669DA411" w14:textId="77777777"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color w:val="000000"/>
          <w:sz w:val="22"/>
          <w:szCs w:val="22"/>
          <w:lang w:eastAsia="en-GB"/>
        </w:rPr>
        <w:t xml:space="preserve">The 16 dried peptide fractions were resuspended in 10 μl of loading buffer (97% (v/v) HPLC grade water, 3% (v/v) acetonitrile and 0.1% TFA). The 16 fractions were then pooled </w:t>
      </w:r>
      <w:r w:rsidRPr="00C44D8C">
        <w:rPr>
          <w:rFonts w:asciiTheme="minorHAnsi" w:eastAsia="Calibri" w:hAnsiTheme="minorHAnsi" w:cs="Arial"/>
          <w:sz w:val="22"/>
          <w:szCs w:val="22"/>
        </w:rPr>
        <w:t>depending on peak intensities in the chromatogram</w:t>
      </w:r>
      <w:r w:rsidRPr="00C44D8C">
        <w:rPr>
          <w:rFonts w:asciiTheme="minorHAnsi" w:hAnsiTheme="minorHAnsi"/>
          <w:color w:val="000000"/>
          <w:sz w:val="22"/>
          <w:szCs w:val="22"/>
          <w:lang w:eastAsia="en-GB"/>
        </w:rPr>
        <w:t xml:space="preserve"> from the first dimension LC separation, yielding a total of five fractions. </w:t>
      </w:r>
      <w:r w:rsidRPr="00C44D8C">
        <w:rPr>
          <w:rFonts w:asciiTheme="minorHAnsi" w:hAnsiTheme="minorHAnsi"/>
          <w:sz w:val="22"/>
          <w:szCs w:val="22"/>
          <w:lang w:eastAsia="en-GB"/>
        </w:rPr>
        <w:t xml:space="preserve">These five pooled peptide fractions were pipetted into autosampler vials and analysed by an LC-MS/MS system in online mode, which forms the second dimension of LC separation. </w:t>
      </w:r>
    </w:p>
    <w:p w14:paraId="48AC18E3" w14:textId="78038FD2" w:rsidR="00436CD0" w:rsidRPr="00C44D8C" w:rsidRDefault="00436CD0" w:rsidP="005C5F28">
      <w:pPr>
        <w:autoSpaceDE w:val="0"/>
        <w:autoSpaceDN w:val="0"/>
        <w:adjustRightInd w:val="0"/>
        <w:spacing w:line="360" w:lineRule="auto"/>
        <w:ind w:firstLine="720"/>
        <w:rPr>
          <w:rFonts w:asciiTheme="minorHAnsi" w:eastAsia="Calibri" w:hAnsiTheme="minorHAnsi" w:cs="Calibri"/>
          <w:color w:val="000000"/>
          <w:sz w:val="22"/>
          <w:szCs w:val="22"/>
        </w:rPr>
      </w:pPr>
      <w:r w:rsidRPr="00C44D8C">
        <w:rPr>
          <w:rFonts w:asciiTheme="minorHAnsi" w:hAnsiTheme="minorHAnsi"/>
          <w:sz w:val="22"/>
          <w:szCs w:val="22"/>
          <w:lang w:eastAsia="en-GB"/>
        </w:rPr>
        <w:t xml:space="preserve">The iTRAQ labelled peptides were separated by </w:t>
      </w:r>
      <w:r w:rsidR="00ED7487">
        <w:rPr>
          <w:rFonts w:asciiTheme="minorHAnsi" w:hAnsiTheme="minorHAnsi"/>
          <w:sz w:val="22"/>
          <w:szCs w:val="22"/>
          <w:lang w:eastAsia="en-GB"/>
        </w:rPr>
        <w:t>RPLC</w:t>
      </w:r>
      <w:r w:rsidRPr="00C44D8C">
        <w:rPr>
          <w:rFonts w:asciiTheme="minorHAnsi" w:hAnsiTheme="minorHAnsi"/>
          <w:sz w:val="22"/>
          <w:szCs w:val="22"/>
          <w:lang w:eastAsia="en-GB"/>
        </w:rPr>
        <w:t xml:space="preserve"> on a Dionex UltiMate™ 3000 UHPLC system coupled to a Q Exactive HF mass spectrometer (Thermo Fisher Scientific, UK) for mass analysis. The UHPLC system separated peptides using a 75 µm x 50 cm, 2 µm particle size, EASY-Spray™ analytical column. Peptides were loaded on the column in mobile phase A (0.1% (v/v) formic acid in water) and separated using a linear gradient of 3-35% mobile phase B (0.1% (v/v) formic acid in acetonitrile) with a flow rate of </w:t>
      </w:r>
      <w:r w:rsidRPr="00C44D8C">
        <w:rPr>
          <w:rFonts w:asciiTheme="minorHAnsi" w:eastAsia="Calibri" w:hAnsiTheme="minorHAnsi" w:cs="Calibri"/>
          <w:color w:val="000000"/>
          <w:sz w:val="22"/>
          <w:szCs w:val="22"/>
        </w:rPr>
        <w:t xml:space="preserve">300 nL/min over a 90 min time period. </w:t>
      </w:r>
    </w:p>
    <w:p w14:paraId="0D4387D9" w14:textId="77777777" w:rsidR="00436CD0" w:rsidRPr="00C44D8C" w:rsidRDefault="00436CD0" w:rsidP="005C5F28">
      <w:pPr>
        <w:autoSpaceDE w:val="0"/>
        <w:autoSpaceDN w:val="0"/>
        <w:adjustRightInd w:val="0"/>
        <w:spacing w:line="360" w:lineRule="auto"/>
        <w:ind w:firstLine="720"/>
        <w:rPr>
          <w:rFonts w:asciiTheme="minorHAnsi" w:eastAsia="Calibri" w:hAnsiTheme="minorHAnsi" w:cs="Calibri"/>
          <w:color w:val="000000"/>
          <w:sz w:val="22"/>
          <w:szCs w:val="22"/>
        </w:rPr>
      </w:pPr>
      <w:r w:rsidRPr="00C44D8C">
        <w:rPr>
          <w:rFonts w:asciiTheme="minorHAnsi" w:eastAsia="Calibri" w:hAnsiTheme="minorHAnsi" w:cs="Calibri"/>
          <w:color w:val="000000"/>
          <w:sz w:val="22"/>
          <w:szCs w:val="22"/>
        </w:rPr>
        <w:t xml:space="preserve">The instruments were operated in a data dependent mode and controlled by Xcalibur software (Thermo Fisher Scientific, UK). The following specifications were used to acquire data: survey scan was acquired over the range </w:t>
      </w:r>
      <w:r w:rsidRPr="00ED7487">
        <w:rPr>
          <w:rFonts w:asciiTheme="minorHAnsi" w:eastAsia="Calibri" w:hAnsiTheme="minorHAnsi" w:cs="Calibri,Italic"/>
          <w:iCs/>
          <w:color w:val="000000"/>
          <w:sz w:val="22"/>
          <w:szCs w:val="22"/>
        </w:rPr>
        <w:t>m/z</w:t>
      </w:r>
      <w:r w:rsidRPr="00C44D8C">
        <w:rPr>
          <w:rFonts w:asciiTheme="minorHAnsi" w:eastAsia="Calibri" w:hAnsiTheme="minorHAnsi" w:cs="Calibri,Italic"/>
          <w:i/>
          <w:iCs/>
          <w:color w:val="000000"/>
          <w:sz w:val="22"/>
          <w:szCs w:val="22"/>
        </w:rPr>
        <w:t xml:space="preserve"> </w:t>
      </w:r>
      <w:r w:rsidRPr="00C44D8C">
        <w:rPr>
          <w:rFonts w:asciiTheme="minorHAnsi" w:eastAsia="Calibri" w:hAnsiTheme="minorHAnsi" w:cs="Calibri"/>
          <w:color w:val="000000"/>
          <w:sz w:val="22"/>
          <w:szCs w:val="22"/>
        </w:rPr>
        <w:t xml:space="preserve">350-1500 at a mass resolution of 60,000 and 30,000 for MS and MS/MS survey scans respectively. The top 15 most intense precursor ions were subjected to high collision dissociation (HCD) with a normalised collision energy of 34 with the precursor ion isolation window set to 1.2 </w:t>
      </w:r>
      <w:r w:rsidRPr="002B69BD">
        <w:rPr>
          <w:rFonts w:asciiTheme="minorHAnsi" w:eastAsia="Calibri" w:hAnsiTheme="minorHAnsi" w:cs="Calibri,Italic"/>
          <w:iCs/>
          <w:color w:val="000000"/>
          <w:sz w:val="22"/>
          <w:szCs w:val="22"/>
        </w:rPr>
        <w:t>m/z</w:t>
      </w:r>
      <w:r w:rsidRPr="00C44D8C">
        <w:rPr>
          <w:rFonts w:asciiTheme="minorHAnsi" w:eastAsia="Calibri" w:hAnsiTheme="minorHAnsi" w:cs="Calibri,Italic"/>
          <w:i/>
          <w:iCs/>
          <w:color w:val="000000"/>
          <w:sz w:val="22"/>
          <w:szCs w:val="22"/>
        </w:rPr>
        <w:t xml:space="preserve"> </w:t>
      </w:r>
      <w:r w:rsidRPr="00C44D8C">
        <w:rPr>
          <w:rFonts w:asciiTheme="minorHAnsi" w:eastAsia="Calibri" w:hAnsiTheme="minorHAnsi" w:cs="Calibri"/>
          <w:color w:val="000000"/>
          <w:sz w:val="22"/>
          <w:szCs w:val="22"/>
        </w:rPr>
        <w:t xml:space="preserve">units. </w:t>
      </w:r>
    </w:p>
    <w:p w14:paraId="72BF38F7" w14:textId="77777777" w:rsidR="00436CD0" w:rsidRPr="00C44D8C" w:rsidRDefault="00436CD0" w:rsidP="00436CD0">
      <w:pPr>
        <w:spacing w:line="360" w:lineRule="auto"/>
        <w:rPr>
          <w:rFonts w:asciiTheme="minorHAnsi" w:hAnsiTheme="minorHAnsi"/>
          <w:sz w:val="22"/>
          <w:szCs w:val="22"/>
          <w:lang w:eastAsia="en-GB"/>
        </w:rPr>
      </w:pPr>
    </w:p>
    <w:p w14:paraId="67790829" w14:textId="77777777" w:rsidR="00436CD0" w:rsidRPr="00C44D8C" w:rsidRDefault="00436CD0" w:rsidP="002B69BD">
      <w:pPr>
        <w:pStyle w:val="Heading6"/>
        <w:rPr>
          <w:lang w:eastAsia="en-GB"/>
        </w:rPr>
      </w:pPr>
      <w:bookmarkStart w:id="142" w:name="_Toc462575351"/>
      <w:r w:rsidRPr="00C44D8C">
        <w:rPr>
          <w:lang w:eastAsia="en-GB"/>
        </w:rPr>
        <w:t>5.2.11. Protein identification and quantification</w:t>
      </w:r>
      <w:bookmarkEnd w:id="142"/>
    </w:p>
    <w:p w14:paraId="293AF26D" w14:textId="77777777" w:rsidR="00436CD0" w:rsidRPr="00C44D8C" w:rsidRDefault="00436CD0" w:rsidP="00114AA3">
      <w:pPr>
        <w:spacing w:line="360" w:lineRule="auto"/>
        <w:rPr>
          <w:rFonts w:asciiTheme="minorHAnsi" w:hAnsiTheme="minorHAnsi"/>
          <w:iCs/>
          <w:color w:val="000000"/>
          <w:sz w:val="22"/>
          <w:szCs w:val="22"/>
          <w:lang w:eastAsia="en-GB"/>
        </w:rPr>
      </w:pPr>
      <w:r w:rsidRPr="00C44D8C">
        <w:rPr>
          <w:rFonts w:asciiTheme="minorHAnsi" w:hAnsiTheme="minorHAnsi"/>
          <w:color w:val="000000"/>
          <w:sz w:val="22"/>
          <w:szCs w:val="22"/>
          <w:lang w:eastAsia="en-GB"/>
        </w:rPr>
        <w:t xml:space="preserve">Raw mass spectrometry data was loaded onto MaxQuant </w:t>
      </w:r>
      <w:r w:rsidRPr="00C44D8C">
        <w:rPr>
          <w:rFonts w:asciiTheme="minorHAnsi" w:eastAsia="Calibri" w:hAnsiTheme="minorHAnsi" w:cs="Arial"/>
          <w:sz w:val="22"/>
          <w:szCs w:val="22"/>
        </w:rPr>
        <w:t xml:space="preserve">1.5.5.1 </w:t>
      </w:r>
      <w:r w:rsidRPr="00C44D8C">
        <w:rPr>
          <w:rFonts w:asciiTheme="minorHAnsi" w:hAnsiTheme="minorHAnsi"/>
          <w:color w:val="000000"/>
          <w:sz w:val="22"/>
          <w:szCs w:val="22"/>
          <w:lang w:eastAsia="en-GB"/>
        </w:rPr>
        <w:t xml:space="preserve">(Max Planck Institute, Germany) and peptide identification was carried out using a </w:t>
      </w:r>
      <w:r w:rsidRPr="00C44D8C">
        <w:rPr>
          <w:rFonts w:asciiTheme="minorHAnsi" w:hAnsiTheme="minorHAnsi"/>
          <w:i/>
          <w:color w:val="000000"/>
          <w:sz w:val="22"/>
          <w:szCs w:val="22"/>
          <w:lang w:eastAsia="en-GB"/>
        </w:rPr>
        <w:t>Methanosarcina barkeri</w:t>
      </w:r>
      <w:r w:rsidRPr="00C44D8C">
        <w:rPr>
          <w:rFonts w:asciiTheme="minorHAnsi" w:hAnsiTheme="minorHAnsi"/>
          <w:color w:val="000000"/>
          <w:sz w:val="22"/>
          <w:szCs w:val="22"/>
          <w:lang w:eastAsia="en-GB"/>
        </w:rPr>
        <w:t xml:space="preserve"> proteome database downloaded from UniProt (accessed 12 August 2016)</w:t>
      </w:r>
      <w:r w:rsidRPr="00C44D8C">
        <w:rPr>
          <w:rFonts w:asciiTheme="minorHAnsi" w:hAnsiTheme="minorHAnsi"/>
          <w:iCs/>
          <w:color w:val="000000"/>
          <w:sz w:val="22"/>
          <w:szCs w:val="22"/>
          <w:lang w:eastAsia="en-GB"/>
        </w:rPr>
        <w:t>.</w:t>
      </w:r>
      <w:r w:rsidRPr="00C44D8C">
        <w:rPr>
          <w:rFonts w:asciiTheme="minorHAnsi" w:hAnsiTheme="minorHAnsi"/>
          <w:i/>
          <w:iCs/>
          <w:color w:val="000000"/>
          <w:sz w:val="22"/>
          <w:szCs w:val="22"/>
          <w:lang w:eastAsia="en-GB"/>
        </w:rPr>
        <w:t xml:space="preserve"> </w:t>
      </w:r>
      <w:r w:rsidRPr="00C44D8C">
        <w:rPr>
          <w:rFonts w:asciiTheme="minorHAnsi" w:hAnsiTheme="minorHAnsi"/>
          <w:iCs/>
          <w:color w:val="000000"/>
          <w:sz w:val="22"/>
          <w:szCs w:val="22"/>
          <w:lang w:eastAsia="en-GB"/>
        </w:rPr>
        <w:t xml:space="preserve">For peptide identification using MaxQuant, oxidation of methionine and deamidation of asparagine and glutamine were set as variable modifications. Methylthio of cysteine was set as a fixed modification. Both the peptide to spectrum match false discovery rate (FDR) and protein FDR were set to below 1% on the search parameters of MaxQuant. </w:t>
      </w:r>
      <w:r w:rsidRPr="00C44D8C">
        <w:rPr>
          <w:rFonts w:asciiTheme="minorHAnsi" w:eastAsia="Calibri" w:hAnsiTheme="minorHAnsi" w:cs="Arial"/>
          <w:sz w:val="22"/>
          <w:szCs w:val="22"/>
        </w:rPr>
        <w:t>The default values for isotopic corrections were applied for each identified peptide by MaxQuant.</w:t>
      </w:r>
      <w:r w:rsidR="00114AA3" w:rsidRPr="00C44D8C">
        <w:rPr>
          <w:rFonts w:asciiTheme="minorHAnsi" w:hAnsiTheme="minorHAnsi"/>
          <w:iCs/>
          <w:color w:val="000000"/>
          <w:sz w:val="22"/>
          <w:szCs w:val="22"/>
          <w:lang w:eastAsia="en-GB"/>
        </w:rPr>
        <w:t xml:space="preserve"> </w:t>
      </w:r>
      <w:r w:rsidR="00114AA3" w:rsidRPr="00C44D8C">
        <w:rPr>
          <w:rFonts w:asciiTheme="minorHAnsi" w:hAnsiTheme="minorHAnsi"/>
          <w:sz w:val="22"/>
          <w:szCs w:val="22"/>
          <w:lang w:eastAsia="en-GB"/>
        </w:rPr>
        <w:t xml:space="preserve">The set of identified proteins </w:t>
      </w:r>
      <w:r w:rsidRPr="00C44D8C">
        <w:rPr>
          <w:rFonts w:asciiTheme="minorHAnsi" w:hAnsiTheme="minorHAnsi"/>
          <w:sz w:val="22"/>
          <w:szCs w:val="22"/>
          <w:lang w:eastAsia="en-GB"/>
        </w:rPr>
        <w:t xml:space="preserve">was further refined by removing contaminants. Only proteins with two or more unique peptides were used for protein quantification. </w:t>
      </w:r>
    </w:p>
    <w:p w14:paraId="5572F7CB" w14:textId="66540007" w:rsidR="00436CD0" w:rsidRPr="00C44D8C" w:rsidRDefault="00436CD0" w:rsidP="00114AA3">
      <w:pPr>
        <w:spacing w:line="360" w:lineRule="auto"/>
        <w:rPr>
          <w:rFonts w:asciiTheme="minorHAnsi" w:hAnsiTheme="minorHAnsi"/>
          <w:color w:val="000000"/>
          <w:sz w:val="22"/>
          <w:szCs w:val="22"/>
          <w:lang w:eastAsia="en-GB"/>
        </w:rPr>
      </w:pPr>
      <w:r w:rsidRPr="00C44D8C">
        <w:rPr>
          <w:rFonts w:asciiTheme="minorHAnsi" w:hAnsiTheme="minorHAnsi"/>
          <w:sz w:val="22"/>
          <w:szCs w:val="22"/>
          <w:lang w:eastAsia="en-GB"/>
        </w:rPr>
        <w:tab/>
        <w:t xml:space="preserve">To extract information about the relative quantification of proteins, the intensity of the isotopic corrected values of the reporter ions (114 – 121) for each protein was </w:t>
      </w:r>
      <w:r w:rsidRPr="00C44D8C">
        <w:rPr>
          <w:rFonts w:asciiTheme="minorHAnsi" w:hAnsiTheme="minorHAnsi"/>
          <w:sz w:val="22"/>
          <w:szCs w:val="22"/>
          <w:lang w:eastAsia="en-GB"/>
        </w:rPr>
        <w:lastRenderedPageBreak/>
        <w:t xml:space="preserve">normalised to the isotopic corrected intensity of reporter ion 113. The median of the normalised values for the reporters corresponding to each biological condition was calculated. </w:t>
      </w:r>
      <w:r w:rsidRPr="00C44D8C">
        <w:rPr>
          <w:rFonts w:asciiTheme="minorHAnsi" w:hAnsiTheme="minorHAnsi"/>
          <w:color w:val="000000"/>
          <w:sz w:val="22"/>
          <w:szCs w:val="22"/>
          <w:lang w:eastAsia="en-GB"/>
        </w:rPr>
        <w:t xml:space="preserve">Principal component analysis (PCA) was applied to the normalised dataset using XLSTAT 2014.4 to provide quality assurance of the biological replicates. </w:t>
      </w:r>
    </w:p>
    <w:p w14:paraId="3699096D" w14:textId="7063C460" w:rsidR="00436CD0"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ab/>
        <w:t>Fold changes in protein abundance between biological conditions were calculated as the ratio of the median normalised reporter intensities (PVC proteins/PETG proteins).</w:t>
      </w:r>
      <w:r w:rsidR="007715D2">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Perseus </w:t>
      </w:r>
      <w:r w:rsidRPr="00C44D8C">
        <w:rPr>
          <w:rFonts w:asciiTheme="minorHAnsi" w:eastAsia="Calibri" w:hAnsiTheme="minorHAnsi" w:cs="Arial"/>
          <w:sz w:val="22"/>
          <w:szCs w:val="22"/>
        </w:rPr>
        <w:t>1.5.5.3 (</w:t>
      </w:r>
      <w:r w:rsidRPr="00C44D8C">
        <w:rPr>
          <w:rFonts w:asciiTheme="minorHAnsi" w:hAnsiTheme="minorHAnsi"/>
          <w:color w:val="000000"/>
          <w:sz w:val="22"/>
          <w:szCs w:val="22"/>
          <w:lang w:eastAsia="en-GB"/>
        </w:rPr>
        <w:t xml:space="preserve">Max Planck Institute, Germany) was used to statistically analyse whether the fold changes were significant. A one-way ANOVA was carried out on the normalised iTRAQ dataset with multiple test correction based on the Benjamini-Hochberg test. This test is based on the FDR, or the expected proportion of errors in the null hypothesis, and ranks protein ratios at a specified FDR to establish a reasonable cut-off </w:t>
      </w:r>
      <w:r w:rsidR="0016337D">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"author" : [ { "dropping-particle" : "", "family" : "Benjamini", "given" : "Yoav", "non-dropping-particle" : "", "parse-names" : false, "suffix" : "" }, { "dropping-particle" : "", "family" : "Hochberg", "given" : "Yosef", "non-dropping-particle" : "", "parse-names" : false, "suffix" : "" } ], "container-title" : "Journal of the Royal Statistical Society . Series B (Methodological)", "id" : "ITEM-1", "issue" : "1", "issued" : { "date-parts" : [ [ "1995" ] ] }, "page" : "289-300", "title" : "Controlling the False Discovery Rate : A Practical and Powerful Approach to Multiple Testing", "type" : "article-journal", "volume" : "57" }, "uris" : [ "http://www.mendeley.com/documents/?uuid=b45b443c-e83b-4151-8edd-fa525db336f4" ] } ], "mendeley" : { "formattedCitation" : "[197]", "plainTextFormattedCitation" : "[197]", "previouslyFormattedCitation" : "[197]" }, "properties" : { "noteIndex" : 0 }, "schema" : "https://github.com/citation-style-language/schema/raw/master/csl-citation.json" }</w:instrText>
      </w:r>
      <w:r w:rsidR="0016337D">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[197]</w:t>
      </w:r>
      <w:r w:rsidR="0016337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By comparing the error rate within a set of tests, the Benjamini-Hochberg test provides a balance between the discovery of statistically significant proteins and false positives, which are less strict than the Bonferroni correction </w:t>
      </w:r>
      <w:r w:rsidR="0016337D">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"10.1038/nbt1209-1135.How", "author" : [ { "dropping-particle" : "", "family" : "Noble", "given" : "William Stafford", "non-dropping-particle" : "", "parse-names" : false, "suffix" : "" } ], "container-title" : "Nature Biotechnology", "id" : "ITEM-1", "issue" : "12", "issued" : { "date-parts" : [ [ "2009" ] ] }, "page" : "1135-1137", "title" : "How does multiple testing correction work?", "type" : "article-journal", "volume" : "27" }, "uris" : [ "http://www.mendeley.com/documents/?uuid=35d5745f-4654-48fc-86fd-b5f24513f9aa" ] } ], "mendeley" : { "formattedCitation" : "[198]", "plainTextFormattedCitation" : "[198]", "previouslyFormattedCitation" : "[198]" }, "properties" : { "noteIndex" : 0 }, "schema" : "https://github.com/citation-style-language/schema/raw/master/csl-citation.json" }</w:instrText>
      </w:r>
      <w:r w:rsidR="0016337D">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[198]</w:t>
      </w:r>
      <w:r w:rsidR="0016337D">
        <w:rPr>
          <w:rFonts w:asciiTheme="minorHAnsi" w:hAnsiTheme="minorHAnsi"/>
          <w:color w:val="000000"/>
          <w:sz w:val="22"/>
          <w:szCs w:val="22"/>
          <w:lang w:eastAsia="en-GB"/>
        </w:rPr>
        <w:fldChar w:fldCharType="end"/>
      </w:r>
      <w:r w:rsidR="0016337D">
        <w:rPr>
          <w:rFonts w:asciiTheme="minorHAnsi" w:hAnsiTheme="minorHAnsi"/>
          <w:color w:val="000000"/>
          <w:sz w:val="22"/>
          <w:szCs w:val="22"/>
          <w:lang w:eastAsia="en-GB"/>
        </w:rPr>
        <w:t>.</w:t>
      </w:r>
      <w:r w:rsidRPr="00C44D8C">
        <w:rPr>
          <w:rFonts w:asciiTheme="minorHAnsi" w:hAnsiTheme="minorHAnsi"/>
          <w:color w:val="000000"/>
          <w:sz w:val="22"/>
          <w:szCs w:val="22"/>
          <w:lang w:eastAsia="en-GB"/>
        </w:rPr>
        <w:t xml:space="preserve"> Fold changes were considered to be significant if the </w:t>
      </w:r>
      <w:r w:rsidRPr="00C44D8C">
        <w:rPr>
          <w:rFonts w:asciiTheme="minorHAnsi" w:hAnsiTheme="minorHAnsi"/>
          <w:i/>
          <w:color w:val="000000"/>
          <w:sz w:val="22"/>
          <w:szCs w:val="22"/>
          <w:lang w:eastAsia="en-GB"/>
        </w:rPr>
        <w:t>p</w:t>
      </w:r>
      <w:r w:rsidRPr="00C44D8C">
        <w:rPr>
          <w:rFonts w:asciiTheme="minorHAnsi" w:hAnsiTheme="minorHAnsi"/>
          <w:color w:val="000000"/>
          <w:sz w:val="22"/>
          <w:szCs w:val="22"/>
          <w:lang w:eastAsia="en-GB"/>
        </w:rPr>
        <w:t>-value was less than or equal to 0.05 after multiple test correction.</w:t>
      </w:r>
    </w:p>
    <w:p w14:paraId="3F91FC90" w14:textId="77777777" w:rsidR="002B69BD" w:rsidRPr="00C44D8C" w:rsidRDefault="002B69BD" w:rsidP="00436CD0">
      <w:pPr>
        <w:spacing w:line="360" w:lineRule="auto"/>
        <w:rPr>
          <w:rFonts w:asciiTheme="minorHAnsi" w:hAnsiTheme="minorHAnsi"/>
          <w:color w:val="000000"/>
          <w:sz w:val="22"/>
          <w:szCs w:val="22"/>
          <w:lang w:eastAsia="en-GB"/>
        </w:rPr>
      </w:pPr>
    </w:p>
    <w:p w14:paraId="280B7CE8" w14:textId="77777777" w:rsidR="00436CD0" w:rsidRPr="00C44D8C" w:rsidRDefault="00436CD0" w:rsidP="002B69BD">
      <w:pPr>
        <w:pStyle w:val="Heading6"/>
        <w:rPr>
          <w:lang w:eastAsia="en-GB"/>
        </w:rPr>
      </w:pPr>
      <w:bookmarkStart w:id="143" w:name="_Toc462575352"/>
      <w:r w:rsidRPr="00C44D8C">
        <w:rPr>
          <w:lang w:eastAsia="en-GB"/>
        </w:rPr>
        <w:t>5.2.12. Validation of iTRAQ results</w:t>
      </w:r>
      <w:bookmarkEnd w:id="143"/>
    </w:p>
    <w:p w14:paraId="5BC38FBF"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Biofilm cells were grown and established on PVC and PETG using the same protocol as described previously (please refer to section 4.2.2.) for the proteomics analysis. Washed biofilm cell pellets were stored at -20˚C for future analysis.</w:t>
      </w:r>
    </w:p>
    <w:p w14:paraId="786E6674" w14:textId="77777777"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color w:val="000000"/>
          <w:sz w:val="22"/>
          <w:szCs w:val="22"/>
          <w:lang w:eastAsia="en-GB"/>
        </w:rPr>
        <w:tab/>
        <w:t>Two enzyme assay kits (Biovision, USA) were used to validate fumarase and triose phosphate isomerase from biofilm cells grown on PVC or PETG, based on their significant difference in protein abundance as deduced from the results of the iTRAQ experiment and the availability of these enzyme kits.</w:t>
      </w:r>
    </w:p>
    <w:p w14:paraId="3E5D68B3"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Fumarase activity was measured spectrophotometrically at 485 nm by its ability to convert fumarate into malate. Fumarase activity in samples was measured as μmol of NADH generated by fumarase during a specified reaction time. Firstly, 150 μl of assay buffer from the fumarase activity colorimetric assay kit (BioVision, USA) was added to cell pellets from each biofilm sample, and homogenised using 200 μm zirconium beads (VWR, UK) in 10 cycles of high-speed vortexing on a Genie Disruptor (Scientific Industries, USA) for 30 seconds followed by 1 minute on ice. Thereafter, biofilm samples were centrifuged at 10000 x g for 10 minutes at 4˚C, and the supernatant collected. </w:t>
      </w:r>
    </w:p>
    <w:p w14:paraId="20867EE9" w14:textId="77777777" w:rsidR="00436CD0" w:rsidRPr="00C44D8C" w:rsidRDefault="00436CD0" w:rsidP="005C5F28">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Protein quantification was carried out on both biofilm samples using the Bradford assay in order to standardise the amount of protein for the fumarase and triose phosphate </w:t>
      </w:r>
      <w:r w:rsidRPr="00C44D8C">
        <w:rPr>
          <w:rFonts w:asciiTheme="minorHAnsi" w:hAnsiTheme="minorHAnsi"/>
          <w:color w:val="000000"/>
          <w:sz w:val="22"/>
          <w:szCs w:val="22"/>
          <w:lang w:eastAsia="en-GB"/>
        </w:rPr>
        <w:lastRenderedPageBreak/>
        <w:t xml:space="preserve">isomerase activity assays. A standard curve was established using prepared BSA concentrations of 0-10 μg/ml, with three replicates for each standard concentration. 3 μl of biofilm sample from each experimental condition was diluted 1:500 in HPLC water (Sigma Aldrich, UK) to give two technical replicates for each sample. 50 μl of BSA standard or diluted biofilm sample was added to disposable cuvettes (VWR, UK) along with 50 μl of Bradford reagent (Sigma Aldrich, UK) and incubated at room temperature for 5 minutes. </w:t>
      </w:r>
      <w:r w:rsidR="005C5F28" w:rsidRPr="00C44D8C">
        <w:rPr>
          <w:rFonts w:asciiTheme="minorHAnsi" w:hAnsiTheme="minorHAnsi"/>
          <w:color w:val="000000"/>
          <w:sz w:val="22"/>
          <w:szCs w:val="22"/>
          <w:lang w:eastAsia="en-GB"/>
        </w:rPr>
        <w:t xml:space="preserve">The absorbance was measured at </w:t>
      </w:r>
      <w:r w:rsidRPr="00C44D8C">
        <w:rPr>
          <w:rFonts w:asciiTheme="minorHAnsi" w:hAnsiTheme="minorHAnsi"/>
          <w:color w:val="000000"/>
          <w:sz w:val="22"/>
          <w:szCs w:val="22"/>
          <w:lang w:eastAsia="en-GB"/>
        </w:rPr>
        <w:t xml:space="preserve">595 nm with Milli-Q water used as a blank. The protein concentration of the biofilm samples was calculated from the BSA standard curve. 4 μg of total proteins from each biofilm sample was used in the fumarase activity assay. </w:t>
      </w:r>
    </w:p>
    <w:p w14:paraId="62BF68FD"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A standard curve of </w:t>
      </w:r>
      <w:r w:rsidRPr="00C44D8C">
        <w:rPr>
          <w:rFonts w:asciiTheme="minorHAnsi" w:hAnsiTheme="minorHAnsi"/>
          <w:iCs/>
          <w:color w:val="000000"/>
          <w:sz w:val="22"/>
          <w:szCs w:val="22"/>
          <w:lang w:eastAsia="en-GB"/>
        </w:rPr>
        <w:t xml:space="preserve">reduced </w:t>
      </w:r>
      <w:r w:rsidRPr="00C44D8C">
        <w:rPr>
          <w:rFonts w:asciiTheme="minorHAnsi" w:eastAsia="Calibri" w:hAnsiTheme="minorHAnsi" w:cs="Arial"/>
          <w:sz w:val="22"/>
          <w:szCs w:val="22"/>
        </w:rPr>
        <w:t>nicotinamide adenine dinucleotide</w:t>
      </w:r>
      <w:r w:rsidRPr="00C44D8C">
        <w:rPr>
          <w:rFonts w:asciiTheme="minorHAnsi" w:hAnsiTheme="minorHAnsi"/>
          <w:color w:val="000000"/>
          <w:sz w:val="22"/>
          <w:szCs w:val="22"/>
          <w:lang w:eastAsia="en-GB"/>
        </w:rPr>
        <w:t xml:space="preserve"> (NADH) (BioVision, USA) ranging from 0-12.5 nmol of NADH per well was established in a clear 96-well plate (Sigma Aldrich, UK), with three replicates for each concentration. The volume was adjusted to 50 μl with fumarase assay buffer from the assay kit. Volumes corresponding to 4 μg of protein from each biofilm sample was added to wells and adjusted to 50 μl with fumarase assay buffer, with two technical replicates per sample. Thereafter, 50 μl of reaction mix from the assay kit containing the fumarase enzyme mix and fumarase substrate were added to wells containing the NADH standard concentrations and biofilm samples, and the absorbance at 485 nm (OD</w:t>
      </w:r>
      <w:r w:rsidRPr="00C44D8C">
        <w:rPr>
          <w:rFonts w:asciiTheme="minorHAnsi" w:hAnsiTheme="minorHAnsi"/>
          <w:color w:val="000000"/>
          <w:sz w:val="22"/>
          <w:szCs w:val="22"/>
          <w:vertAlign w:val="subscript"/>
          <w:lang w:eastAsia="en-GB"/>
        </w:rPr>
        <w:t>485</w:t>
      </w:r>
      <w:r w:rsidRPr="00C44D8C">
        <w:rPr>
          <w:rFonts w:asciiTheme="minorHAnsi" w:hAnsiTheme="minorHAnsi"/>
          <w:color w:val="000000"/>
          <w:sz w:val="22"/>
          <w:szCs w:val="22"/>
          <w:lang w:eastAsia="en-GB"/>
        </w:rPr>
        <w:t xml:space="preserve">) was measured immediately in kinetic mode for 1 h at 37˚C. </w:t>
      </w:r>
    </w:p>
    <w:p w14:paraId="642BA287"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NADH standard readings from 0 nmol/well were subtracted from all other readings. The fumarase activity in samples was measured as μmol of NADH generated by fumarase during a specified reaction time. It was calculated from the difference in OD</w:t>
      </w:r>
      <w:r w:rsidRPr="00C44D8C">
        <w:rPr>
          <w:rFonts w:asciiTheme="minorHAnsi" w:hAnsiTheme="minorHAnsi"/>
          <w:color w:val="000000"/>
          <w:sz w:val="22"/>
          <w:szCs w:val="22"/>
          <w:vertAlign w:val="subscript"/>
          <w:lang w:eastAsia="en-GB"/>
        </w:rPr>
        <w:t>485</w:t>
      </w:r>
      <w:r w:rsidRPr="00C44D8C">
        <w:rPr>
          <w:rFonts w:asciiTheme="minorHAnsi" w:hAnsiTheme="minorHAnsi"/>
          <w:color w:val="000000"/>
          <w:sz w:val="22"/>
          <w:szCs w:val="22"/>
          <w:lang w:eastAsia="en-GB"/>
        </w:rPr>
        <w:t xml:space="preserve"> between two time points taken from the linear range of the biofilm samples, and comparison with the NADH standard curve. </w:t>
      </w:r>
    </w:p>
    <w:p w14:paraId="7906EF1B" w14:textId="77777777"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Triose phosphate isomerase activity (TPI) was measured using the same protocol as described for the detection of fumarase, but using the triose phosphate isomerase activity colorimetric assay kit (BioVision, UK). TPI activity was measured spectrophotometrically at 485 nm by its ability to convert dihydroxyacetone phosphate into glyceraldehyde-3-phosphate. TPI activity in samples was measured as μmol of NADH generated by TPI during a specified reaction time, as described above.</w:t>
      </w:r>
    </w:p>
    <w:p w14:paraId="1A0FC563" w14:textId="77777777" w:rsidR="00436CD0" w:rsidRDefault="00436CD0" w:rsidP="00436CD0">
      <w:pPr>
        <w:spacing w:line="360" w:lineRule="auto"/>
        <w:rPr>
          <w:rFonts w:asciiTheme="minorHAnsi" w:hAnsiTheme="minorHAnsi"/>
          <w:sz w:val="22"/>
          <w:szCs w:val="22"/>
          <w:lang w:eastAsia="en-GB"/>
        </w:rPr>
      </w:pPr>
    </w:p>
    <w:p w14:paraId="0B77920B" w14:textId="77777777" w:rsidR="002B69BD" w:rsidRPr="00C44D8C" w:rsidRDefault="002B69BD" w:rsidP="00436CD0">
      <w:pPr>
        <w:spacing w:line="360" w:lineRule="auto"/>
        <w:rPr>
          <w:rFonts w:asciiTheme="minorHAnsi" w:hAnsiTheme="minorHAnsi"/>
          <w:sz w:val="22"/>
          <w:szCs w:val="22"/>
          <w:lang w:eastAsia="en-GB"/>
        </w:rPr>
      </w:pPr>
    </w:p>
    <w:p w14:paraId="6A143410" w14:textId="4662F7C4" w:rsidR="00436CD0" w:rsidRPr="00C44D8C" w:rsidRDefault="00436CD0" w:rsidP="002B69BD">
      <w:pPr>
        <w:pStyle w:val="Heading1"/>
        <w:rPr>
          <w:lang w:eastAsia="en-GB"/>
        </w:rPr>
      </w:pPr>
      <w:bookmarkStart w:id="144" w:name="_Toc462575353"/>
      <w:r w:rsidRPr="00C44D8C">
        <w:rPr>
          <w:lang w:eastAsia="en-GB"/>
        </w:rPr>
        <w:lastRenderedPageBreak/>
        <w:t>5.3. Results</w:t>
      </w:r>
      <w:bookmarkEnd w:id="144"/>
    </w:p>
    <w:p w14:paraId="241E467F" w14:textId="77777777" w:rsidR="00436CD0" w:rsidRPr="00C44D8C" w:rsidRDefault="00436CD0" w:rsidP="002B69BD">
      <w:pPr>
        <w:pStyle w:val="Heading6"/>
        <w:rPr>
          <w:lang w:eastAsia="en-GB"/>
        </w:rPr>
      </w:pPr>
      <w:bookmarkStart w:id="145" w:name="_Toc462575354"/>
      <w:r w:rsidRPr="00C44D8C">
        <w:rPr>
          <w:lang w:eastAsia="en-GB"/>
        </w:rPr>
        <w:t>5.3.1. Biofilm accumulation experiment</w:t>
      </w:r>
      <w:bookmarkEnd w:id="145"/>
    </w:p>
    <w:p w14:paraId="38833334" w14:textId="77777777" w:rsidR="00436CD0" w:rsidRPr="00C44D8C" w:rsidRDefault="00436CD0" w:rsidP="00436CD0">
      <w:pPr>
        <w:spacing w:line="360" w:lineRule="auto"/>
        <w:rPr>
          <w:rFonts w:asciiTheme="minorHAnsi" w:hAnsiTheme="minorHAnsi"/>
          <w:bCs/>
          <w:iCs/>
          <w:color w:val="000000"/>
          <w:sz w:val="22"/>
          <w:szCs w:val="22"/>
          <w:lang w:eastAsia="en-GB"/>
        </w:rPr>
      </w:pPr>
      <w:r w:rsidRPr="00C44D8C">
        <w:rPr>
          <w:rFonts w:asciiTheme="minorHAnsi" w:hAnsiTheme="minorHAnsi"/>
          <w:bCs/>
          <w:iCs/>
          <w:color w:val="000000"/>
          <w:sz w:val="22"/>
          <w:szCs w:val="22"/>
          <w:lang w:eastAsia="en-GB"/>
        </w:rPr>
        <w:t xml:space="preserve">The results from the biofilm accumulation experiment are presented in Fig. 5.2, and show that significantly higher levels of cell and mannose and glucose residues were produced over time by biofilms attached to PVC compared to PETG (two-way ANOVA with Sidak’s multiple comparison test, p &lt; 0.05). </w:t>
      </w:r>
    </w:p>
    <w:p w14:paraId="1C502D28" w14:textId="77777777" w:rsidR="00436CD0" w:rsidRPr="00C44D8C" w:rsidRDefault="00436CD0" w:rsidP="00436CD0">
      <w:pPr>
        <w:spacing w:line="360" w:lineRule="auto"/>
        <w:rPr>
          <w:rFonts w:asciiTheme="minorHAnsi" w:hAnsiTheme="minorHAnsi"/>
          <w:bCs/>
          <w:iCs/>
          <w:color w:val="000000"/>
          <w:sz w:val="22"/>
          <w:szCs w:val="22"/>
          <w:lang w:eastAsia="en-GB"/>
        </w:rPr>
      </w:pPr>
    </w:p>
    <w:p w14:paraId="4AE11426" w14:textId="77777777" w:rsidR="00436CD0" w:rsidRPr="00C44D8C" w:rsidRDefault="00436CD0" w:rsidP="00436CD0">
      <w:pPr>
        <w:spacing w:line="360" w:lineRule="auto"/>
        <w:jc w:val="center"/>
        <w:rPr>
          <w:rFonts w:asciiTheme="minorHAnsi" w:hAnsiTheme="minorHAnsi"/>
          <w:bCs/>
          <w:iCs/>
          <w:color w:val="000000"/>
          <w:sz w:val="22"/>
          <w:szCs w:val="22"/>
          <w:lang w:eastAsia="en-GB"/>
        </w:rPr>
      </w:pPr>
      <w:r w:rsidRPr="00C44D8C">
        <w:rPr>
          <w:rFonts w:asciiTheme="minorHAnsi" w:eastAsia="Calibri" w:hAnsiTheme="minorHAnsi" w:cs="Arial"/>
          <w:sz w:val="22"/>
          <w:szCs w:val="22"/>
        </w:rPr>
        <w:object w:dxaOrig="6642" w:dyaOrig="5820" w14:anchorId="4F014F0F">
          <v:shape id="_x0000_i1033" type="#_x0000_t75" style="width:330.5pt;height:292pt" o:ole="">
            <v:imagedata r:id="rId49" o:title=""/>
          </v:shape>
          <o:OLEObject Type="Embed" ProgID="Prism6.Document" ShapeID="_x0000_i1033" DrawAspect="Content" ObjectID="_1568973017" r:id="rId50"/>
        </w:object>
      </w:r>
    </w:p>
    <w:p w14:paraId="37CECD9F" w14:textId="77777777" w:rsidR="00436CD0" w:rsidRPr="00C44D8C" w:rsidRDefault="00436CD0" w:rsidP="00436CD0">
      <w:pPr>
        <w:spacing w:line="360" w:lineRule="auto"/>
        <w:rPr>
          <w:rFonts w:asciiTheme="minorHAnsi" w:hAnsiTheme="minorHAnsi"/>
          <w:bCs/>
          <w:iCs/>
          <w:color w:val="000000"/>
          <w:sz w:val="22"/>
          <w:szCs w:val="22"/>
          <w:lang w:eastAsia="en-GB"/>
        </w:rPr>
      </w:pPr>
      <w:r w:rsidRPr="00C44D8C">
        <w:rPr>
          <w:rFonts w:asciiTheme="minorHAnsi" w:hAnsiTheme="minorHAnsi"/>
          <w:b/>
          <w:bCs/>
          <w:iCs/>
          <w:color w:val="000000"/>
          <w:sz w:val="22"/>
          <w:szCs w:val="22"/>
          <w:lang w:eastAsia="en-GB"/>
        </w:rPr>
        <w:t xml:space="preserve">Fig. 5.2 </w:t>
      </w:r>
      <w:r w:rsidRPr="00C44D8C">
        <w:rPr>
          <w:rFonts w:asciiTheme="minorHAnsi" w:hAnsiTheme="minorHAnsi"/>
          <w:bCs/>
          <w:iCs/>
          <w:color w:val="000000"/>
          <w:sz w:val="22"/>
          <w:szCs w:val="22"/>
          <w:lang w:eastAsia="en-GB"/>
        </w:rPr>
        <w:t xml:space="preserve">Percentage surface coverage of PVC and PETG by cells (stained by DAPI) and mannose and glucose residues (stained by ConA-Rho) of </w:t>
      </w:r>
      <w:r w:rsidRPr="00C44D8C">
        <w:rPr>
          <w:rFonts w:asciiTheme="minorHAnsi" w:hAnsiTheme="minorHAnsi"/>
          <w:bCs/>
          <w:i/>
          <w:iCs/>
          <w:color w:val="000000"/>
          <w:sz w:val="22"/>
          <w:szCs w:val="22"/>
          <w:lang w:eastAsia="en-GB"/>
        </w:rPr>
        <w:t xml:space="preserve">M. barkeri </w:t>
      </w:r>
      <w:r w:rsidRPr="00C44D8C">
        <w:rPr>
          <w:rFonts w:asciiTheme="minorHAnsi" w:hAnsiTheme="minorHAnsi"/>
          <w:bCs/>
          <w:iCs/>
          <w:color w:val="000000"/>
          <w:sz w:val="22"/>
          <w:szCs w:val="22"/>
          <w:lang w:eastAsia="en-GB"/>
        </w:rPr>
        <w:t>over 6 days as an indication of biofilm accumulation over time. Error bars represent the standard deviation of 3 independent experiments.</w:t>
      </w:r>
    </w:p>
    <w:p w14:paraId="13B3221C" w14:textId="77777777" w:rsidR="00436CD0" w:rsidRPr="00C44D8C" w:rsidRDefault="00436CD0" w:rsidP="00436CD0">
      <w:pPr>
        <w:spacing w:line="360" w:lineRule="auto"/>
        <w:rPr>
          <w:rFonts w:asciiTheme="minorHAnsi" w:hAnsiTheme="minorHAnsi"/>
          <w:bCs/>
          <w:iCs/>
          <w:color w:val="000000"/>
          <w:sz w:val="22"/>
          <w:szCs w:val="22"/>
          <w:lang w:eastAsia="en-GB"/>
        </w:rPr>
      </w:pPr>
    </w:p>
    <w:p w14:paraId="2A4D7C9D" w14:textId="77777777" w:rsidR="0058312F" w:rsidRDefault="00436CD0" w:rsidP="00436CD0">
      <w:pPr>
        <w:spacing w:line="360" w:lineRule="auto"/>
        <w:rPr>
          <w:rFonts w:asciiTheme="minorHAnsi" w:hAnsiTheme="minorHAnsi"/>
          <w:bCs/>
          <w:iCs/>
          <w:color w:val="000000"/>
          <w:sz w:val="22"/>
          <w:szCs w:val="22"/>
          <w:lang w:eastAsia="en-GB"/>
        </w:rPr>
        <w:sectPr w:rsidR="0058312F" w:rsidSect="00DF337D">
          <w:pgSz w:w="11906" w:h="16838"/>
          <w:pgMar w:top="1418" w:right="1418" w:bottom="1418" w:left="2268" w:header="708" w:footer="708" w:gutter="0"/>
          <w:cols w:space="708"/>
          <w:docGrid w:linePitch="360"/>
        </w:sectPr>
      </w:pPr>
      <w:r w:rsidRPr="00C44D8C">
        <w:rPr>
          <w:rFonts w:asciiTheme="minorHAnsi" w:hAnsiTheme="minorHAnsi"/>
          <w:bCs/>
          <w:iCs/>
          <w:color w:val="000000"/>
          <w:sz w:val="22"/>
          <w:szCs w:val="22"/>
          <w:lang w:eastAsia="en-GB"/>
        </w:rPr>
        <w:tab/>
        <w:t>In biofilms attached to PVC, the percentage of adherent DAPI-stained cells was significantly different between all tested time points (two-way ANOVA with Tukey’s multiple comparison test, p &lt; 0.05), whereas cell number did not significantly differ over the time course for biofilms attached to PETG (two-way ANOVA with Tukey’s multiple comparison test, p &gt; 0.05), suggesting poor accumulation of cells at the surface of PETG. The images from epifluorescence microscopy are shown in Fig. 5.3.</w:t>
      </w:r>
    </w:p>
    <w:p w14:paraId="0762BC5A" w14:textId="77777777" w:rsidR="00436CD0" w:rsidRPr="00C44D8C" w:rsidRDefault="00436CD0" w:rsidP="00436CD0">
      <w:pPr>
        <w:spacing w:line="360" w:lineRule="auto"/>
        <w:rPr>
          <w:rFonts w:asciiTheme="minorHAnsi" w:hAnsiTheme="minorHAnsi"/>
          <w:bCs/>
          <w:iCs/>
          <w:color w:val="000000"/>
          <w:sz w:val="22"/>
          <w:szCs w:val="22"/>
          <w:lang w:eastAsia="en-GB"/>
        </w:rPr>
      </w:pPr>
      <w:r w:rsidRPr="00C44D8C">
        <w:rPr>
          <w:rFonts w:asciiTheme="minorHAnsi" w:hAnsiTheme="minorHAnsi"/>
          <w:bCs/>
          <w:iCs/>
          <w:noProof/>
          <w:color w:val="000000"/>
          <w:sz w:val="22"/>
          <w:szCs w:val="22"/>
          <w:lang w:eastAsia="en-GB"/>
        </w:rPr>
        <w:lastRenderedPageBreak/>
        <w:drawing>
          <wp:inline distT="0" distB="0" distL="0" distR="0" wp14:anchorId="441A411D" wp14:editId="3E40E09C">
            <wp:extent cx="5400040" cy="27095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film kinetics epi images.jpg"/>
                    <pic:cNvPicPr/>
                  </pic:nvPicPr>
                  <pic:blipFill>
                    <a:blip r:embed="rId51">
                      <a:extLst>
                        <a:ext uri="{28A0092B-C50C-407E-A947-70E740481C1C}">
                          <a14:useLocalDpi xmlns:a14="http://schemas.microsoft.com/office/drawing/2010/main" val="0"/>
                        </a:ext>
                      </a:extLst>
                    </a:blip>
                    <a:stretch>
                      <a:fillRect/>
                    </a:stretch>
                  </pic:blipFill>
                  <pic:spPr>
                    <a:xfrm>
                      <a:off x="0" y="0"/>
                      <a:ext cx="5400040" cy="2709545"/>
                    </a:xfrm>
                    <a:prstGeom prst="rect">
                      <a:avLst/>
                    </a:prstGeom>
                  </pic:spPr>
                </pic:pic>
              </a:graphicData>
            </a:graphic>
          </wp:inline>
        </w:drawing>
      </w:r>
    </w:p>
    <w:p w14:paraId="71E08070" w14:textId="77777777" w:rsidR="00436CD0" w:rsidRPr="00C44D8C" w:rsidRDefault="00436CD0" w:rsidP="0058312F">
      <w:pPr>
        <w:spacing w:line="360" w:lineRule="auto"/>
        <w:rPr>
          <w:rFonts w:asciiTheme="minorHAnsi" w:hAnsiTheme="minorHAnsi"/>
          <w:bCs/>
          <w:iCs/>
          <w:color w:val="000000"/>
          <w:sz w:val="22"/>
          <w:szCs w:val="22"/>
          <w:lang w:eastAsia="en-GB"/>
        </w:rPr>
      </w:pPr>
      <w:r w:rsidRPr="00C44D8C">
        <w:rPr>
          <w:rFonts w:asciiTheme="minorHAnsi" w:hAnsiTheme="minorHAnsi"/>
          <w:b/>
          <w:iCs/>
          <w:color w:val="000000"/>
          <w:sz w:val="22"/>
          <w:szCs w:val="22"/>
          <w:lang w:eastAsia="en-GB"/>
        </w:rPr>
        <w:t xml:space="preserve">Fig. 5.3 </w:t>
      </w:r>
      <w:r w:rsidRPr="00C44D8C">
        <w:rPr>
          <w:rFonts w:asciiTheme="minorHAnsi" w:hAnsiTheme="minorHAnsi"/>
          <w:bCs/>
          <w:iCs/>
          <w:color w:val="000000"/>
          <w:sz w:val="22"/>
          <w:szCs w:val="22"/>
          <w:lang w:eastAsia="en-GB"/>
        </w:rPr>
        <w:t xml:space="preserve">Epifluorescence images taken of DAPI stained cells (blue) and ConA-Rho stained mannose and glucose residues (red) for biofilms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iCs/>
          <w:color w:val="000000"/>
          <w:sz w:val="22"/>
          <w:szCs w:val="22"/>
          <w:lang w:eastAsia="en-GB"/>
        </w:rPr>
        <w:t>attached to PVC and PETG after 2, 4 and 6 days at 37°C.</w:t>
      </w:r>
    </w:p>
    <w:p w14:paraId="4CAC4E49" w14:textId="77777777" w:rsidR="00436CD0" w:rsidRPr="00C44D8C" w:rsidRDefault="00436CD0" w:rsidP="00436CD0">
      <w:pPr>
        <w:spacing w:line="360" w:lineRule="auto"/>
        <w:rPr>
          <w:rFonts w:asciiTheme="minorHAnsi" w:hAnsiTheme="minorHAnsi"/>
          <w:bCs/>
          <w:iCs/>
          <w:color w:val="000000"/>
          <w:sz w:val="22"/>
          <w:szCs w:val="22"/>
          <w:lang w:eastAsia="en-GB"/>
        </w:rPr>
      </w:pPr>
    </w:p>
    <w:p w14:paraId="09441B44" w14:textId="77777777" w:rsidR="00436CD0" w:rsidRPr="00C44D8C" w:rsidRDefault="00436CD0" w:rsidP="005C5F28">
      <w:pPr>
        <w:spacing w:line="360" w:lineRule="auto"/>
        <w:ind w:firstLine="720"/>
        <w:rPr>
          <w:rFonts w:asciiTheme="minorHAnsi" w:hAnsiTheme="minorHAnsi"/>
          <w:bCs/>
          <w:iCs/>
          <w:color w:val="000000"/>
          <w:sz w:val="22"/>
          <w:szCs w:val="22"/>
          <w:lang w:eastAsia="en-GB"/>
        </w:rPr>
      </w:pPr>
      <w:r w:rsidRPr="00C44D8C">
        <w:rPr>
          <w:rFonts w:asciiTheme="minorHAnsi" w:hAnsiTheme="minorHAnsi"/>
          <w:bCs/>
          <w:iCs/>
          <w:color w:val="000000"/>
          <w:sz w:val="22"/>
          <w:szCs w:val="22"/>
          <w:lang w:eastAsia="en-GB"/>
        </w:rPr>
        <w:t>In biofilms attached to PVC, the percentage of mannose and glucose residues covering coupons was significantly higher at the later stages of the time course (days 4 and 6) compared to the start of the time course (day 2) (two-way ANOVA with Tukey’s multiple comparison test, p &lt; 0.05). However, in biofilms attached to PETG, the percentage of mannose and glucose residues covering coupons did not significantly differ over the time course of the experiment (two-way ANOVA with Tukey’s multiple comparison test, p &gt; 0.05), suggesting poor accumulation of mannose and glucose residues from biofilms on the surface of PETG (Fig. 5.3).</w:t>
      </w:r>
    </w:p>
    <w:p w14:paraId="14D6C3E4" w14:textId="77777777" w:rsidR="00436CD0" w:rsidRPr="00C44D8C" w:rsidRDefault="00436CD0" w:rsidP="00436CD0">
      <w:pPr>
        <w:spacing w:line="360" w:lineRule="auto"/>
        <w:rPr>
          <w:rFonts w:asciiTheme="minorHAnsi" w:hAnsiTheme="minorHAnsi"/>
          <w:b/>
          <w:bCs/>
          <w:color w:val="000000"/>
          <w:sz w:val="22"/>
          <w:szCs w:val="22"/>
          <w:lang w:eastAsia="en-GB"/>
        </w:rPr>
      </w:pPr>
    </w:p>
    <w:p w14:paraId="0E25C08C" w14:textId="77777777" w:rsidR="00436CD0" w:rsidRPr="00C44D8C" w:rsidRDefault="00436CD0" w:rsidP="002B69BD">
      <w:pPr>
        <w:pStyle w:val="Heading6"/>
        <w:rPr>
          <w:lang w:eastAsia="en-GB"/>
        </w:rPr>
      </w:pPr>
      <w:bookmarkStart w:id="146" w:name="_Toc462575355"/>
      <w:r w:rsidRPr="00C44D8C">
        <w:rPr>
          <w:lang w:eastAsia="en-GB"/>
        </w:rPr>
        <w:t>5.3.2. Protein quantification</w:t>
      </w:r>
      <w:bookmarkEnd w:id="146"/>
    </w:p>
    <w:p w14:paraId="59586F9C"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Quantification of the protein concentrations from the four replicates of both the PETG and PVC-biofilm experimental conditions was calculated by the modified Lowry method, showing that biofilm cells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attached to PVC had an average of 1.46±0.24 mg/ml of protein, whereas cells attached to PETG had 0.86±0.25 mg/ml of proteins.</w:t>
      </w:r>
    </w:p>
    <w:p w14:paraId="30BE88B7" w14:textId="77777777" w:rsidR="00436CD0" w:rsidRPr="00C44D8C" w:rsidRDefault="00436CD0" w:rsidP="005C5F28">
      <w:pPr>
        <w:spacing w:line="360" w:lineRule="auto"/>
        <w:ind w:firstLine="720"/>
        <w:rPr>
          <w:rFonts w:asciiTheme="minorHAnsi" w:hAnsiTheme="minorHAnsi"/>
          <w:bCs/>
          <w:iCs/>
          <w:color w:val="000000"/>
          <w:sz w:val="22"/>
          <w:szCs w:val="22"/>
          <w:lang w:eastAsia="en-GB"/>
        </w:rPr>
      </w:pPr>
      <w:r w:rsidRPr="00C44D8C">
        <w:rPr>
          <w:rFonts w:asciiTheme="minorHAnsi" w:hAnsiTheme="minorHAnsi"/>
          <w:color w:val="000000"/>
          <w:sz w:val="22"/>
          <w:szCs w:val="22"/>
          <w:lang w:eastAsia="en-GB"/>
        </w:rPr>
        <w:t xml:space="preserve">SDS-PAGE was used to qualitatively verify the results determined from the modified Lowry method. 4 µg of extracted proteins from samples were analysed by SDS-PAGE and silver staining (Fig. 5.4). Visual inspection of the intensity of the bands of the resolved proteins between the two biological conditions from the SDS-PAGE analysis supported the </w:t>
      </w:r>
      <w:r w:rsidRPr="00C44D8C">
        <w:rPr>
          <w:rFonts w:asciiTheme="minorHAnsi" w:hAnsiTheme="minorHAnsi"/>
          <w:color w:val="000000"/>
          <w:sz w:val="22"/>
          <w:szCs w:val="22"/>
          <w:lang w:eastAsia="en-GB"/>
        </w:rPr>
        <w:lastRenderedPageBreak/>
        <w:t>results of the Lowry method, suggesting a difference in protein expression between the PVC and PETG-biofilm conditions</w:t>
      </w:r>
      <w:r w:rsidRPr="00C44D8C">
        <w:rPr>
          <w:rFonts w:asciiTheme="minorHAnsi" w:hAnsiTheme="minorHAnsi"/>
          <w:noProof/>
          <w:color w:val="000000"/>
          <w:sz w:val="22"/>
          <w:szCs w:val="22"/>
          <w:lang w:eastAsia="en-GB"/>
        </w:rPr>
        <w:t xml:space="preserve"> </w:t>
      </w:r>
    </w:p>
    <w:p w14:paraId="188FB48B" w14:textId="77777777" w:rsidR="00436CD0" w:rsidRPr="00C44D8C" w:rsidRDefault="00436CD0" w:rsidP="00436CD0">
      <w:pPr>
        <w:spacing w:line="360" w:lineRule="auto"/>
        <w:rPr>
          <w:rFonts w:asciiTheme="minorHAnsi" w:hAnsiTheme="minorHAnsi"/>
          <w:bCs/>
          <w:iCs/>
          <w:color w:val="000000"/>
          <w:sz w:val="22"/>
          <w:szCs w:val="22"/>
          <w:lang w:eastAsia="en-GB"/>
        </w:rPr>
      </w:pPr>
    </w:p>
    <w:p w14:paraId="5C0DE6BA" w14:textId="77777777" w:rsidR="00436CD0" w:rsidRPr="00C44D8C" w:rsidRDefault="00436CD0" w:rsidP="00436CD0">
      <w:pPr>
        <w:spacing w:line="360" w:lineRule="auto"/>
        <w:jc w:val="center"/>
        <w:rPr>
          <w:rFonts w:asciiTheme="minorHAnsi" w:hAnsiTheme="minorHAnsi"/>
          <w:bCs/>
          <w:iCs/>
          <w:color w:val="000000"/>
          <w:sz w:val="22"/>
          <w:szCs w:val="22"/>
          <w:lang w:eastAsia="en-GB"/>
        </w:rPr>
      </w:pPr>
      <w:r w:rsidRPr="00C44D8C">
        <w:rPr>
          <w:rFonts w:asciiTheme="minorHAnsi" w:hAnsiTheme="minorHAnsi"/>
          <w:noProof/>
          <w:color w:val="000000"/>
          <w:sz w:val="22"/>
          <w:szCs w:val="22"/>
          <w:lang w:eastAsia="en-GB"/>
        </w:rPr>
        <mc:AlternateContent>
          <mc:Choice Requires="wps">
            <w:drawing>
              <wp:anchor distT="0" distB="0" distL="114300" distR="114300" simplePos="0" relativeHeight="251719680" behindDoc="0" locked="0" layoutInCell="1" allowOverlap="1" wp14:anchorId="59F589CD" wp14:editId="3BB4621A">
                <wp:simplePos x="0" y="0"/>
                <wp:positionH relativeFrom="column">
                  <wp:posOffset>2884382</wp:posOffset>
                </wp:positionH>
                <wp:positionV relativeFrom="paragraph">
                  <wp:posOffset>741045</wp:posOffset>
                </wp:positionV>
                <wp:extent cx="1637969" cy="3188473"/>
                <wp:effectExtent l="0" t="0" r="19685" b="12065"/>
                <wp:wrapNone/>
                <wp:docPr id="46" name="Rectangle 46"/>
                <wp:cNvGraphicFramePr/>
                <a:graphic xmlns:a="http://schemas.openxmlformats.org/drawingml/2006/main">
                  <a:graphicData uri="http://schemas.microsoft.com/office/word/2010/wordprocessingShape">
                    <wps:wsp>
                      <wps:cNvSpPr/>
                      <wps:spPr>
                        <a:xfrm>
                          <a:off x="0" y="0"/>
                          <a:ext cx="1637969" cy="3188473"/>
                        </a:xfrm>
                        <a:prstGeom prst="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rect w14:anchorId="6AF52393" id="Rectangle 46" o:spid="_x0000_s1026" style="position:absolute;margin-left:227.1pt;margin-top:58.35pt;width:128.95pt;height:251.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" filled="f" strokecolor="#0070c0" strokeweight="2pt"/>
            </w:pict>
          </mc:Fallback>
        </mc:AlternateContent>
      </w:r>
      <w:r w:rsidRPr="00C44D8C">
        <w:rPr>
          <w:rFonts w:asciiTheme="minorHAnsi" w:hAnsiTheme="minorHAnsi"/>
          <w:noProof/>
          <w:color w:val="000000"/>
          <w:sz w:val="22"/>
          <w:szCs w:val="22"/>
          <w:lang w:eastAsia="en-GB"/>
        </w:rPr>
        <mc:AlternateContent>
          <mc:Choice Requires="wps">
            <w:drawing>
              <wp:anchor distT="0" distB="0" distL="114300" distR="114300" simplePos="0" relativeHeight="251714560" behindDoc="0" locked="0" layoutInCell="1" allowOverlap="1" wp14:anchorId="1224571D" wp14:editId="172EBAF2">
                <wp:simplePos x="0" y="0"/>
                <wp:positionH relativeFrom="column">
                  <wp:posOffset>2971800</wp:posOffset>
                </wp:positionH>
                <wp:positionV relativeFrom="paragraph">
                  <wp:posOffset>290618</wp:posOffset>
                </wp:positionV>
                <wp:extent cx="1486894" cy="302149"/>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1486894" cy="302149"/>
                        </a:xfrm>
                        <a:prstGeom prst="rect">
                          <a:avLst/>
                        </a:prstGeom>
                        <a:noFill/>
                        <a:ln w="6350">
                          <a:noFill/>
                        </a:ln>
                        <a:effectLst/>
                      </wps:spPr>
                      <wps:txbx>
                        <w:txbxContent>
                          <w:p w14:paraId="32098A0C" w14:textId="77777777" w:rsidR="007715D2" w:rsidRPr="000A1C51" w:rsidRDefault="007715D2" w:rsidP="00436CD0">
                            <w:pPr>
                              <w:jc w:val="center"/>
                              <w:rPr>
                                <w:b/>
                                <w:szCs w:val="24"/>
                              </w:rPr>
                            </w:pPr>
                            <w:r>
                              <w:rPr>
                                <w:b/>
                                <w:szCs w:val="24"/>
                              </w:rPr>
                              <w:t>b</w:t>
                            </w:r>
                            <w:r w:rsidRPr="000A1C51">
                              <w:rPr>
                                <w:b/>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224571D" id="Text Box 47" o:spid="_x0000_s1047" type="#_x0000_t202" style="position:absolute;left:0;text-align:left;margin-left:234pt;margin-top:22.9pt;width:117.1pt;height:23.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" filled="f" stroked="f" strokeweight=".5pt">
                <v:textbox>
                  <w:txbxContent>
                    <w:p w14:paraId="32098A0C" w14:textId="77777777" w:rsidR="007715D2" w:rsidRPr="000A1C51" w:rsidRDefault="007715D2" w:rsidP="00436CD0">
                      <w:pPr>
                        <w:jc w:val="center"/>
                        <w:rPr>
                          <w:b/>
                          <w:szCs w:val="24"/>
                        </w:rPr>
                      </w:pPr>
                      <w:r>
                        <w:rPr>
                          <w:b/>
                          <w:szCs w:val="24"/>
                        </w:rPr>
                        <w:t>b</w:t>
                      </w:r>
                      <w:r w:rsidRPr="000A1C51">
                        <w:rPr>
                          <w:b/>
                          <w:szCs w:val="24"/>
                        </w:rPr>
                        <w:t>)</w:t>
                      </w:r>
                    </w:p>
                  </w:txbxContent>
                </v:textbox>
              </v:shape>
            </w:pict>
          </mc:Fallback>
        </mc:AlternateContent>
      </w:r>
      <w:r w:rsidRPr="00C44D8C">
        <w:rPr>
          <w:rFonts w:asciiTheme="minorHAnsi" w:hAnsiTheme="minorHAnsi"/>
          <w:noProof/>
          <w:color w:val="000000"/>
          <w:sz w:val="22"/>
          <w:szCs w:val="22"/>
          <w:lang w:eastAsia="en-GB"/>
        </w:rPr>
        <mc:AlternateContent>
          <mc:Choice Requires="wps">
            <w:drawing>
              <wp:anchor distT="0" distB="0" distL="114300" distR="114300" simplePos="0" relativeHeight="251709440" behindDoc="0" locked="0" layoutInCell="1" allowOverlap="1" wp14:anchorId="76C68D5C" wp14:editId="3A29EC25">
                <wp:simplePos x="0" y="0"/>
                <wp:positionH relativeFrom="column">
                  <wp:posOffset>1219200</wp:posOffset>
                </wp:positionH>
                <wp:positionV relativeFrom="paragraph">
                  <wp:posOffset>741045</wp:posOffset>
                </wp:positionV>
                <wp:extent cx="1606164" cy="3188335"/>
                <wp:effectExtent l="0" t="0" r="13335" b="12065"/>
                <wp:wrapNone/>
                <wp:docPr id="48" name="Rectangle 48"/>
                <wp:cNvGraphicFramePr/>
                <a:graphic xmlns:a="http://schemas.openxmlformats.org/drawingml/2006/main">
                  <a:graphicData uri="http://schemas.microsoft.com/office/word/2010/wordprocessingShape">
                    <wps:wsp>
                      <wps:cNvSpPr/>
                      <wps:spPr>
                        <a:xfrm>
                          <a:off x="0" y="0"/>
                          <a:ext cx="1606164" cy="318833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w16se="http://schemas.microsoft.com/office/word/2015/wordml/symex" xmlns:cx="http://schemas.microsoft.com/office/drawing/2014/chartex">
            <w:pict>
              <v:rect w14:anchorId="65273A87" id="Rectangle 48" o:spid="_x0000_s1026" style="position:absolute;margin-left:96pt;margin-top:58.35pt;width:126.45pt;height:251.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" filled="f" strokecolor="red" strokeweight="2pt"/>
            </w:pict>
          </mc:Fallback>
        </mc:AlternateContent>
      </w:r>
      <w:r w:rsidRPr="00C44D8C">
        <w:rPr>
          <w:rFonts w:asciiTheme="minorHAnsi" w:hAnsiTheme="minorHAnsi"/>
          <w:noProof/>
          <w:color w:val="000000"/>
          <w:sz w:val="22"/>
          <w:szCs w:val="22"/>
          <w:lang w:eastAsia="en-GB"/>
        </w:rPr>
        <mc:AlternateContent>
          <mc:Choice Requires="wps">
            <w:drawing>
              <wp:anchor distT="0" distB="0" distL="114300" distR="114300" simplePos="0" relativeHeight="251704320" behindDoc="0" locked="0" layoutInCell="1" allowOverlap="1" wp14:anchorId="75552CAB" wp14:editId="5F9F852B">
                <wp:simplePos x="0" y="0"/>
                <wp:positionH relativeFrom="column">
                  <wp:posOffset>1312333</wp:posOffset>
                </wp:positionH>
                <wp:positionV relativeFrom="paragraph">
                  <wp:posOffset>292311</wp:posOffset>
                </wp:positionV>
                <wp:extent cx="1486894" cy="302149"/>
                <wp:effectExtent l="0" t="0" r="0" b="3175"/>
                <wp:wrapNone/>
                <wp:docPr id="49" name="Text Box 49"/>
                <wp:cNvGraphicFramePr/>
                <a:graphic xmlns:a="http://schemas.openxmlformats.org/drawingml/2006/main">
                  <a:graphicData uri="http://schemas.microsoft.com/office/word/2010/wordprocessingShape">
                    <wps:wsp>
                      <wps:cNvSpPr txBox="1"/>
                      <wps:spPr>
                        <a:xfrm>
                          <a:off x="0" y="0"/>
                          <a:ext cx="1486894" cy="302149"/>
                        </a:xfrm>
                        <a:prstGeom prst="rect">
                          <a:avLst/>
                        </a:prstGeom>
                        <a:noFill/>
                        <a:ln w="6350">
                          <a:noFill/>
                        </a:ln>
                        <a:effectLst/>
                      </wps:spPr>
                      <wps:txbx>
                        <w:txbxContent>
                          <w:p w14:paraId="64CF10B1" w14:textId="77777777" w:rsidR="007715D2" w:rsidRPr="000A1C51" w:rsidRDefault="007715D2" w:rsidP="00436CD0">
                            <w:pPr>
                              <w:jc w:val="center"/>
                              <w:rPr>
                                <w:b/>
                                <w:szCs w:val="24"/>
                              </w:rPr>
                            </w:pPr>
                            <w:r w:rsidRPr="000A1C51">
                              <w:rPr>
                                <w:b/>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5552CAB" id="Text Box 49" o:spid="_x0000_s1048" type="#_x0000_t202" style="position:absolute;left:0;text-align:left;margin-left:103.35pt;margin-top:23pt;width:117.1pt;height:23.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" filled="f" stroked="f" strokeweight=".5pt">
                <v:textbox>
                  <w:txbxContent>
                    <w:p w14:paraId="64CF10B1" w14:textId="77777777" w:rsidR="007715D2" w:rsidRPr="000A1C51" w:rsidRDefault="007715D2" w:rsidP="00436CD0">
                      <w:pPr>
                        <w:jc w:val="center"/>
                        <w:rPr>
                          <w:b/>
                          <w:szCs w:val="24"/>
                        </w:rPr>
                      </w:pPr>
                      <w:r w:rsidRPr="000A1C51">
                        <w:rPr>
                          <w:b/>
                          <w:szCs w:val="24"/>
                        </w:rPr>
                        <w:t>a)</w:t>
                      </w:r>
                    </w:p>
                  </w:txbxContent>
                </v:textbox>
              </v:shape>
            </w:pict>
          </mc:Fallback>
        </mc:AlternateContent>
      </w:r>
      <w:r w:rsidRPr="00C44D8C">
        <w:rPr>
          <w:rFonts w:asciiTheme="minorHAnsi" w:hAnsiTheme="minorHAnsi"/>
          <w:noProof/>
          <w:color w:val="000000"/>
          <w:sz w:val="22"/>
          <w:szCs w:val="22"/>
          <w:lang w:eastAsia="en-GB"/>
        </w:rPr>
        <w:drawing>
          <wp:inline distT="0" distB="0" distL="0" distR="0" wp14:anchorId="05C4B5F1" wp14:editId="66848091">
            <wp:extent cx="4686300" cy="4394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15 Acetone-precipitated proteins (by volume).jpg"/>
                    <pic:cNvPicPr/>
                  </pic:nvPicPr>
                  <pic:blipFill>
                    <a:blip r:embed="rId52">
                      <a:extLst>
                        <a:ext uri="{28A0092B-C50C-407E-A947-70E740481C1C}">
                          <a14:useLocalDpi xmlns:a14="http://schemas.microsoft.com/office/drawing/2010/main" val="0"/>
                        </a:ext>
                      </a:extLst>
                    </a:blip>
                    <a:stretch>
                      <a:fillRect/>
                    </a:stretch>
                  </pic:blipFill>
                  <pic:spPr>
                    <a:xfrm>
                      <a:off x="0" y="0"/>
                      <a:ext cx="4686300" cy="4394200"/>
                    </a:xfrm>
                    <a:prstGeom prst="rect">
                      <a:avLst/>
                    </a:prstGeom>
                  </pic:spPr>
                </pic:pic>
              </a:graphicData>
            </a:graphic>
          </wp:inline>
        </w:drawing>
      </w:r>
    </w:p>
    <w:p w14:paraId="1C594A2F"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 xml:space="preserve">Fig. 5.4 </w:t>
      </w:r>
      <w:r w:rsidRPr="00C44D8C">
        <w:rPr>
          <w:rFonts w:asciiTheme="minorHAnsi" w:hAnsiTheme="minorHAnsi"/>
          <w:color w:val="000000"/>
          <w:sz w:val="22"/>
          <w:szCs w:val="22"/>
          <w:lang w:eastAsia="en-GB"/>
        </w:rPr>
        <w:t>SDS-PAGE analysis of 4 µg of extracted proteins from four replicates of a) PVC biofilm experimental condition and b) PETG-biofilm experimental condition.</w:t>
      </w:r>
    </w:p>
    <w:p w14:paraId="287FB408" w14:textId="77777777" w:rsidR="00436CD0" w:rsidRPr="00C44D8C" w:rsidRDefault="00436CD0" w:rsidP="00436CD0">
      <w:pPr>
        <w:spacing w:line="360" w:lineRule="auto"/>
        <w:rPr>
          <w:rFonts w:asciiTheme="minorHAnsi" w:hAnsiTheme="minorHAnsi"/>
          <w:sz w:val="22"/>
          <w:szCs w:val="22"/>
          <w:lang w:eastAsia="en-GB"/>
        </w:rPr>
      </w:pPr>
    </w:p>
    <w:p w14:paraId="4CBFC248" w14:textId="77777777" w:rsidR="0058312F" w:rsidRDefault="00436CD0" w:rsidP="005C5F28">
      <w:pPr>
        <w:spacing w:line="360" w:lineRule="auto"/>
        <w:ind w:firstLine="720"/>
        <w:rPr>
          <w:rFonts w:asciiTheme="minorHAnsi" w:hAnsiTheme="minorHAnsi"/>
          <w:noProof/>
          <w:color w:val="000000"/>
          <w:sz w:val="22"/>
          <w:szCs w:val="22"/>
          <w:lang w:eastAsia="en-GB"/>
        </w:rPr>
        <w:sectPr w:rsidR="0058312F" w:rsidSect="00DF337D">
          <w:pgSz w:w="11906" w:h="16838"/>
          <w:pgMar w:top="1418" w:right="1418" w:bottom="1418" w:left="2268" w:header="708" w:footer="708" w:gutter="0"/>
          <w:cols w:space="708"/>
          <w:docGrid w:linePitch="360"/>
        </w:sectPr>
      </w:pPr>
      <w:r w:rsidRPr="00C44D8C">
        <w:rPr>
          <w:rFonts w:asciiTheme="minorHAnsi" w:hAnsiTheme="minorHAnsi"/>
          <w:color w:val="000000"/>
          <w:sz w:val="22"/>
          <w:szCs w:val="22"/>
          <w:lang w:eastAsia="en-GB"/>
        </w:rPr>
        <w:t>For enzymatic digestion of proteins with trypsin, SDS-PAGE was again used to check that the trypsin had successfully digested all proteins. Aliquots from each digested sample corresponding to 2 μg of protein were resolved on 12% polyacrylamide gels at 120 V and subsequently Silver stained. No gel bands were observed after staining, indicating successful protein digestion by the trypsin treatment (Fig. 5.5).</w:t>
      </w:r>
      <w:r w:rsidRPr="00C44D8C">
        <w:rPr>
          <w:rFonts w:asciiTheme="minorHAnsi" w:hAnsiTheme="minorHAnsi"/>
          <w:noProof/>
          <w:color w:val="000000"/>
          <w:sz w:val="22"/>
          <w:szCs w:val="22"/>
          <w:lang w:eastAsia="en-GB"/>
        </w:rPr>
        <w:t xml:space="preserve"> </w:t>
      </w:r>
    </w:p>
    <w:p w14:paraId="1FD1FB13" w14:textId="77777777" w:rsidR="00436CD0" w:rsidRPr="00C44D8C" w:rsidRDefault="00436CD0" w:rsidP="00436CD0">
      <w:pPr>
        <w:spacing w:line="360" w:lineRule="auto"/>
        <w:jc w:val="center"/>
        <w:rPr>
          <w:rFonts w:asciiTheme="minorHAnsi" w:hAnsiTheme="minorHAnsi"/>
          <w:sz w:val="22"/>
          <w:szCs w:val="22"/>
          <w:lang w:eastAsia="en-GB"/>
        </w:rPr>
      </w:pPr>
      <w:r w:rsidRPr="00C44D8C">
        <w:rPr>
          <w:rFonts w:asciiTheme="minorHAnsi" w:hAnsiTheme="minorHAnsi"/>
          <w:noProof/>
          <w:color w:val="000000"/>
          <w:sz w:val="22"/>
          <w:szCs w:val="22"/>
          <w:lang w:eastAsia="en-GB"/>
        </w:rPr>
        <w:lastRenderedPageBreak/>
        <mc:AlternateContent>
          <mc:Choice Requires="wps">
            <w:drawing>
              <wp:anchor distT="0" distB="0" distL="114300" distR="114300" simplePos="0" relativeHeight="251740160" behindDoc="0" locked="0" layoutInCell="1" allowOverlap="1" wp14:anchorId="0445265A" wp14:editId="6BDCFED8">
                <wp:simplePos x="0" y="0"/>
                <wp:positionH relativeFrom="column">
                  <wp:posOffset>2658534</wp:posOffset>
                </wp:positionH>
                <wp:positionV relativeFrom="paragraph">
                  <wp:posOffset>474768</wp:posOffset>
                </wp:positionV>
                <wp:extent cx="1486894" cy="302149"/>
                <wp:effectExtent l="0" t="0" r="0" b="3175"/>
                <wp:wrapNone/>
                <wp:docPr id="50" name="Text Box 50"/>
                <wp:cNvGraphicFramePr/>
                <a:graphic xmlns:a="http://schemas.openxmlformats.org/drawingml/2006/main">
                  <a:graphicData uri="http://schemas.microsoft.com/office/word/2010/wordprocessingShape">
                    <wps:wsp>
                      <wps:cNvSpPr txBox="1"/>
                      <wps:spPr>
                        <a:xfrm>
                          <a:off x="0" y="0"/>
                          <a:ext cx="1486894" cy="302149"/>
                        </a:xfrm>
                        <a:prstGeom prst="rect">
                          <a:avLst/>
                        </a:prstGeom>
                        <a:noFill/>
                        <a:ln w="6350">
                          <a:noFill/>
                        </a:ln>
                        <a:effectLst/>
                      </wps:spPr>
                      <wps:txbx>
                        <w:txbxContent>
                          <w:p w14:paraId="48062F9A" w14:textId="77777777" w:rsidR="007715D2" w:rsidRPr="000A1C51" w:rsidRDefault="007715D2" w:rsidP="00436CD0">
                            <w:pPr>
                              <w:jc w:val="center"/>
                              <w:rPr>
                                <w:b/>
                                <w:szCs w:val="24"/>
                              </w:rPr>
                            </w:pPr>
                            <w:r>
                              <w:rPr>
                                <w:b/>
                                <w:szCs w:val="24"/>
                              </w:rPr>
                              <w:t>b</w:t>
                            </w:r>
                            <w:r w:rsidRPr="000A1C51">
                              <w:rPr>
                                <w:b/>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445265A" id="Text Box 50" o:spid="_x0000_s1049" type="#_x0000_t202" style="position:absolute;left:0;text-align:left;margin-left:209.35pt;margin-top:37.4pt;width:117.1pt;height:23.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" filled="f" stroked="f" strokeweight=".5pt">
                <v:textbox>
                  <w:txbxContent>
                    <w:p w14:paraId="48062F9A" w14:textId="77777777" w:rsidR="007715D2" w:rsidRPr="000A1C51" w:rsidRDefault="007715D2" w:rsidP="00436CD0">
                      <w:pPr>
                        <w:jc w:val="center"/>
                        <w:rPr>
                          <w:b/>
                          <w:szCs w:val="24"/>
                        </w:rPr>
                      </w:pPr>
                      <w:r>
                        <w:rPr>
                          <w:b/>
                          <w:szCs w:val="24"/>
                        </w:rPr>
                        <w:t>b</w:t>
                      </w:r>
                      <w:r w:rsidRPr="000A1C51">
                        <w:rPr>
                          <w:b/>
                          <w:szCs w:val="24"/>
                        </w:rPr>
                        <w:t>)</w:t>
                      </w:r>
                    </w:p>
                  </w:txbxContent>
                </v:textbox>
              </v:shape>
            </w:pict>
          </mc:Fallback>
        </mc:AlternateContent>
      </w:r>
      <w:r w:rsidRPr="00C44D8C">
        <w:rPr>
          <w:rFonts w:asciiTheme="minorHAnsi" w:hAnsiTheme="minorHAnsi"/>
          <w:noProof/>
          <w:color w:val="000000"/>
          <w:sz w:val="22"/>
          <w:szCs w:val="22"/>
          <w:lang w:eastAsia="en-GB"/>
        </w:rPr>
        <mc:AlternateContent>
          <mc:Choice Requires="wps">
            <w:drawing>
              <wp:anchor distT="0" distB="0" distL="114300" distR="114300" simplePos="0" relativeHeight="251735040" behindDoc="0" locked="0" layoutInCell="1" allowOverlap="1" wp14:anchorId="18298E7F" wp14:editId="0D4C5284">
                <wp:simplePos x="0" y="0"/>
                <wp:positionH relativeFrom="column">
                  <wp:posOffset>2691554</wp:posOffset>
                </wp:positionH>
                <wp:positionV relativeFrom="paragraph">
                  <wp:posOffset>814917</wp:posOffset>
                </wp:positionV>
                <wp:extent cx="1464734" cy="2963333"/>
                <wp:effectExtent l="0" t="0" r="21590" b="27940"/>
                <wp:wrapNone/>
                <wp:docPr id="51" name="Rectangle 51"/>
                <wp:cNvGraphicFramePr/>
                <a:graphic xmlns:a="http://schemas.openxmlformats.org/drawingml/2006/main">
                  <a:graphicData uri="http://schemas.microsoft.com/office/word/2010/wordprocessingShape">
                    <wps:wsp>
                      <wps:cNvSpPr/>
                      <wps:spPr>
                        <a:xfrm>
                          <a:off x="0" y="0"/>
                          <a:ext cx="1464734" cy="2963333"/>
                        </a:xfrm>
                        <a:prstGeom prst="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rect w14:anchorId="373135AC" id="Rectangle 51" o:spid="_x0000_s1026" style="position:absolute;margin-left:211.95pt;margin-top:64.15pt;width:115.35pt;height:23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" filled="f" strokecolor="#0070c0" strokeweight="2pt"/>
            </w:pict>
          </mc:Fallback>
        </mc:AlternateContent>
      </w:r>
      <w:r w:rsidRPr="00C44D8C">
        <w:rPr>
          <w:rFonts w:asciiTheme="minorHAnsi" w:hAnsiTheme="minorHAnsi"/>
          <w:noProof/>
          <w:color w:val="000000"/>
          <w:sz w:val="22"/>
          <w:szCs w:val="22"/>
          <w:lang w:eastAsia="en-GB"/>
        </w:rPr>
        <mc:AlternateContent>
          <mc:Choice Requires="wps">
            <w:drawing>
              <wp:anchor distT="0" distB="0" distL="114300" distR="114300" simplePos="0" relativeHeight="251724800" behindDoc="0" locked="0" layoutInCell="1" allowOverlap="1" wp14:anchorId="44064428" wp14:editId="3F7180D5">
                <wp:simplePos x="0" y="0"/>
                <wp:positionH relativeFrom="column">
                  <wp:posOffset>1209887</wp:posOffset>
                </wp:positionH>
                <wp:positionV relativeFrom="paragraph">
                  <wp:posOffset>814917</wp:posOffset>
                </wp:positionV>
                <wp:extent cx="1438910" cy="2971800"/>
                <wp:effectExtent l="0" t="0" r="27940" b="19050"/>
                <wp:wrapNone/>
                <wp:docPr id="52" name="Rectangle 52"/>
                <wp:cNvGraphicFramePr/>
                <a:graphic xmlns:a="http://schemas.openxmlformats.org/drawingml/2006/main">
                  <a:graphicData uri="http://schemas.microsoft.com/office/word/2010/wordprocessingShape">
                    <wps:wsp>
                      <wps:cNvSpPr/>
                      <wps:spPr>
                        <a:xfrm>
                          <a:off x="0" y="0"/>
                          <a:ext cx="1438910" cy="29718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rect w14:anchorId="4A480C04" id="Rectangle 52" o:spid="_x0000_s1026" style="position:absolute;margin-left:95.25pt;margin-top:64.15pt;width:113.3pt;height:2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" filled="f" strokecolor="red" strokeweight="2pt"/>
            </w:pict>
          </mc:Fallback>
        </mc:AlternateContent>
      </w:r>
      <w:r w:rsidRPr="00C44D8C">
        <w:rPr>
          <w:rFonts w:asciiTheme="minorHAnsi" w:hAnsiTheme="minorHAnsi"/>
          <w:noProof/>
          <w:color w:val="000000"/>
          <w:sz w:val="22"/>
          <w:szCs w:val="22"/>
          <w:lang w:eastAsia="en-GB"/>
        </w:rPr>
        <mc:AlternateContent>
          <mc:Choice Requires="wps">
            <w:drawing>
              <wp:anchor distT="0" distB="0" distL="114300" distR="114300" simplePos="0" relativeHeight="251729920" behindDoc="0" locked="0" layoutInCell="1" allowOverlap="1" wp14:anchorId="00683E1B" wp14:editId="3A23334D">
                <wp:simplePos x="0" y="0"/>
                <wp:positionH relativeFrom="column">
                  <wp:posOffset>1185333</wp:posOffset>
                </wp:positionH>
                <wp:positionV relativeFrom="paragraph">
                  <wp:posOffset>491702</wp:posOffset>
                </wp:positionV>
                <wp:extent cx="1486894" cy="302149"/>
                <wp:effectExtent l="0" t="0" r="0" b="3175"/>
                <wp:wrapNone/>
                <wp:docPr id="53" name="Text Box 53"/>
                <wp:cNvGraphicFramePr/>
                <a:graphic xmlns:a="http://schemas.openxmlformats.org/drawingml/2006/main">
                  <a:graphicData uri="http://schemas.microsoft.com/office/word/2010/wordprocessingShape">
                    <wps:wsp>
                      <wps:cNvSpPr txBox="1"/>
                      <wps:spPr>
                        <a:xfrm>
                          <a:off x="0" y="0"/>
                          <a:ext cx="1486894" cy="302149"/>
                        </a:xfrm>
                        <a:prstGeom prst="rect">
                          <a:avLst/>
                        </a:prstGeom>
                        <a:noFill/>
                        <a:ln w="6350">
                          <a:noFill/>
                        </a:ln>
                        <a:effectLst/>
                      </wps:spPr>
                      <wps:txbx>
                        <w:txbxContent>
                          <w:p w14:paraId="79954077" w14:textId="77777777" w:rsidR="007715D2" w:rsidRPr="000A1C51" w:rsidRDefault="007715D2" w:rsidP="00436CD0">
                            <w:pPr>
                              <w:jc w:val="center"/>
                              <w:rPr>
                                <w:b/>
                                <w:szCs w:val="24"/>
                              </w:rPr>
                            </w:pPr>
                            <w:r w:rsidRPr="000A1C51">
                              <w:rPr>
                                <w:b/>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0683E1B" id="Text Box 53" o:spid="_x0000_s1050" type="#_x0000_t202" style="position:absolute;left:0;text-align:left;margin-left:93.35pt;margin-top:38.7pt;width:117.1pt;height:23.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" filled="f" stroked="f" strokeweight=".5pt">
                <v:textbox>
                  <w:txbxContent>
                    <w:p w14:paraId="79954077" w14:textId="77777777" w:rsidR="007715D2" w:rsidRPr="000A1C51" w:rsidRDefault="007715D2" w:rsidP="00436CD0">
                      <w:pPr>
                        <w:jc w:val="center"/>
                        <w:rPr>
                          <w:b/>
                          <w:szCs w:val="24"/>
                        </w:rPr>
                      </w:pPr>
                      <w:r w:rsidRPr="000A1C51">
                        <w:rPr>
                          <w:b/>
                          <w:szCs w:val="24"/>
                        </w:rPr>
                        <w:t>a)</w:t>
                      </w:r>
                    </w:p>
                  </w:txbxContent>
                </v:textbox>
              </v:shape>
            </w:pict>
          </mc:Fallback>
        </mc:AlternateContent>
      </w:r>
      <w:r w:rsidRPr="00C44D8C">
        <w:rPr>
          <w:rFonts w:asciiTheme="minorHAnsi" w:hAnsiTheme="minorHAnsi"/>
          <w:noProof/>
          <w:sz w:val="22"/>
          <w:szCs w:val="22"/>
          <w:lang w:eastAsia="en-GB"/>
        </w:rPr>
        <w:drawing>
          <wp:inline distT="0" distB="0" distL="0" distR="0" wp14:anchorId="7373F23A" wp14:editId="4220A0D1">
            <wp:extent cx="4436534" cy="3857447"/>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8.15 2ug of 17hr trypsin acetone protein.jpg"/>
                    <pic:cNvPicPr/>
                  </pic:nvPicPr>
                  <pic:blipFill>
                    <a:blip r:embed="rId53">
                      <a:extLst>
                        <a:ext uri="{28A0092B-C50C-407E-A947-70E740481C1C}">
                          <a14:useLocalDpi xmlns:a14="http://schemas.microsoft.com/office/drawing/2010/main" val="0"/>
                        </a:ext>
                      </a:extLst>
                    </a:blip>
                    <a:stretch>
                      <a:fillRect/>
                    </a:stretch>
                  </pic:blipFill>
                  <pic:spPr>
                    <a:xfrm>
                      <a:off x="0" y="0"/>
                      <a:ext cx="4443025" cy="3863091"/>
                    </a:xfrm>
                    <a:prstGeom prst="rect">
                      <a:avLst/>
                    </a:prstGeom>
                  </pic:spPr>
                </pic:pic>
              </a:graphicData>
            </a:graphic>
          </wp:inline>
        </w:drawing>
      </w:r>
    </w:p>
    <w:p w14:paraId="5599D8C0"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 xml:space="preserve">Fig. 5.5 </w:t>
      </w:r>
      <w:r w:rsidRPr="00C44D8C">
        <w:rPr>
          <w:rFonts w:asciiTheme="minorHAnsi" w:hAnsiTheme="minorHAnsi"/>
          <w:color w:val="000000"/>
          <w:sz w:val="22"/>
          <w:szCs w:val="22"/>
          <w:lang w:eastAsia="en-GB"/>
        </w:rPr>
        <w:t>SDS-PAGE analysis of 2 µg of extracted proteins from four replicates of a) PVC biofilm experimental condition and b) PETG-biofilm experimental condition.</w:t>
      </w:r>
    </w:p>
    <w:p w14:paraId="0A1D1738" w14:textId="77777777" w:rsidR="00436CD0" w:rsidRPr="00C44D8C" w:rsidRDefault="00436CD0" w:rsidP="00436CD0">
      <w:pPr>
        <w:spacing w:line="360" w:lineRule="auto"/>
        <w:rPr>
          <w:rFonts w:asciiTheme="minorHAnsi" w:hAnsiTheme="minorHAnsi"/>
          <w:sz w:val="22"/>
          <w:szCs w:val="22"/>
          <w:lang w:eastAsia="en-GB"/>
        </w:rPr>
      </w:pPr>
    </w:p>
    <w:p w14:paraId="19106E2D" w14:textId="77777777" w:rsidR="00436CD0" w:rsidRPr="00C44D8C" w:rsidRDefault="00436CD0" w:rsidP="002B69BD">
      <w:pPr>
        <w:pStyle w:val="Heading6"/>
        <w:rPr>
          <w:lang w:eastAsia="en-GB"/>
        </w:rPr>
      </w:pPr>
      <w:bookmarkStart w:id="147" w:name="_Toc462575356"/>
      <w:r w:rsidRPr="00C44D8C">
        <w:rPr>
          <w:lang w:eastAsia="en-GB"/>
        </w:rPr>
        <w:t>5.3.3. PCA analysis of mass spectrometry data</w:t>
      </w:r>
      <w:bookmarkEnd w:id="147"/>
    </w:p>
    <w:p w14:paraId="265F7BFB" w14:textId="77777777" w:rsidR="00436CD0" w:rsidRPr="00C44D8C" w:rsidRDefault="00436CD0" w:rsidP="00436CD0">
      <w:pPr>
        <w:spacing w:line="360" w:lineRule="auto"/>
        <w:rPr>
          <w:rFonts w:asciiTheme="minorHAnsi" w:eastAsia="Calibri" w:hAnsiTheme="minorHAnsi" w:cs="Arial"/>
          <w:sz w:val="22"/>
          <w:szCs w:val="22"/>
        </w:rPr>
      </w:pPr>
      <w:r w:rsidRPr="00C44D8C">
        <w:rPr>
          <w:rFonts w:asciiTheme="minorHAnsi" w:eastAsia="Calibri" w:hAnsiTheme="minorHAnsi" w:cs="Arial"/>
          <w:sz w:val="22"/>
          <w:szCs w:val="22"/>
        </w:rPr>
        <w:t xml:space="preserve">Four biological replicates for each biofilm condition were established to improve the robustness of the experiment, and also because the pooling together of a set number of coupons from each biological replicate from different bottles would incur some level of variation between replicates. </w:t>
      </w:r>
    </w:p>
    <w:p w14:paraId="38241889" w14:textId="77777777" w:rsidR="00436CD0" w:rsidRPr="00C44D8C" w:rsidRDefault="00436CD0" w:rsidP="005C5F28">
      <w:pPr>
        <w:spacing w:line="360" w:lineRule="auto"/>
        <w:ind w:firstLine="720"/>
        <w:rPr>
          <w:rFonts w:asciiTheme="minorHAnsi" w:eastAsia="Calibri" w:hAnsiTheme="minorHAnsi" w:cs="Arial"/>
          <w:sz w:val="22"/>
          <w:szCs w:val="22"/>
        </w:rPr>
      </w:pPr>
      <w:r w:rsidRPr="00C44D8C">
        <w:rPr>
          <w:rFonts w:asciiTheme="minorHAnsi" w:hAnsiTheme="minorHAnsi"/>
          <w:sz w:val="22"/>
          <w:szCs w:val="22"/>
          <w:lang w:eastAsia="en-GB"/>
        </w:rPr>
        <w:t>Cluster</w:t>
      </w:r>
      <w:r w:rsidRPr="00C44D8C">
        <w:rPr>
          <w:rFonts w:asciiTheme="minorHAnsi" w:eastAsia="Calibri" w:hAnsiTheme="minorHAnsi" w:cs="Arial"/>
          <w:sz w:val="22"/>
          <w:szCs w:val="22"/>
        </w:rPr>
        <w:t xml:space="preserve"> analysis using principal component analysis (PCA) was performed on the normalised relative reporter intensities for identified peptides from tandem mass spectrometry. The relative reporter ion intensities were associated with the relative abundance of each peptide, and PCA analysis can test for variances in protein expression between the biological replicates and as a means of quality control. </w:t>
      </w:r>
    </w:p>
    <w:p w14:paraId="0761F597" w14:textId="27224790" w:rsidR="009C18A0" w:rsidRDefault="000F254A" w:rsidP="000F254A">
      <w:pPr>
        <w:spacing w:line="360" w:lineRule="auto"/>
        <w:ind w:firstLine="720"/>
        <w:rPr>
          <w:rFonts w:asciiTheme="minorHAnsi" w:eastAsia="Calibri" w:hAnsiTheme="minorHAnsi" w:cs="Arial"/>
          <w:sz w:val="22"/>
          <w:szCs w:val="22"/>
        </w:rPr>
      </w:pPr>
      <w:r w:rsidRPr="000F254A">
        <w:rPr>
          <w:rFonts w:asciiTheme="minorHAnsi" w:eastAsia="Calibri" w:hAnsiTheme="minorHAnsi" w:cs="Arial"/>
          <w:sz w:val="22"/>
          <w:szCs w:val="22"/>
        </w:rPr>
        <w:t>The first principal component</w:t>
      </w:r>
      <w:r>
        <w:rPr>
          <w:rFonts w:asciiTheme="minorHAnsi" w:eastAsia="Calibri" w:hAnsiTheme="minorHAnsi" w:cs="Arial"/>
          <w:sz w:val="22"/>
          <w:szCs w:val="22"/>
        </w:rPr>
        <w:t xml:space="preserve"> </w:t>
      </w:r>
      <w:r w:rsidR="006C7FED">
        <w:rPr>
          <w:rFonts w:asciiTheme="minorHAnsi" w:eastAsia="Calibri" w:hAnsiTheme="minorHAnsi" w:cs="Arial"/>
          <w:sz w:val="22"/>
          <w:szCs w:val="22"/>
        </w:rPr>
        <w:t xml:space="preserve">of a PCA analysis </w:t>
      </w:r>
      <w:r>
        <w:rPr>
          <w:rFonts w:asciiTheme="minorHAnsi" w:eastAsia="Calibri" w:hAnsiTheme="minorHAnsi" w:cs="Arial"/>
          <w:sz w:val="22"/>
          <w:szCs w:val="22"/>
        </w:rPr>
        <w:t xml:space="preserve">describes the maximum variance in the original dataset </w:t>
      </w:r>
      <w:r>
        <w:rPr>
          <w:rFonts w:asciiTheme="minorHAnsi" w:eastAsia="Calibri" w:hAnsiTheme="minorHAnsi" w:cs="Arial"/>
          <w:sz w:val="22"/>
          <w:szCs w:val="22"/>
        </w:rPr>
        <w:fldChar w:fldCharType="begin" w:fldLock="1"/>
      </w:r>
      <w:r w:rsidR="007E3308">
        <w:rPr>
          <w:rFonts w:asciiTheme="minorHAnsi" w:eastAsia="Calibri" w:hAnsiTheme="minorHAnsi" w:cs="Arial"/>
          <w:sz w:val="22"/>
          <w:szCs w:val="22"/>
        </w:rPr>
        <w:instrText>ADDIN CSL_CITATION { "citationItems" : [ { "id" : "ITEM-1", "itemData" : { "DOI" : "10.1038/nbt823", "ISBN" : "1087-0156", "ISSN" : "1087-0156", "PMID" : "12740584", "abstract" : "Many technologies have been developed to help explain the function of genes discovered by systematic genome sequencing. At present, transcriptome and proteome studies dominate large-scale functional analysis strategies. Yet the metabolome, because it is 'downstream', should show greater effects of genetic or physiological changes and thus should be much closer to the phenotype of the organism. We earlier presented a functional analysis strategy that used metabolic fingerprinting to reveal the phenotype of silent mutations of yeast genes. However, this is difficult to scale up for high-throughput screening. Here we present an alternative that has the required throughput (2 min per sample). This 'metabolic footprinting' approach recognizes the significance of 'overflow metabolism' in appropriate media. Measuring intracellular metabolites is time-consuming and subject to technical difficulties caused by the rapid turnover of intracellular metabolites and the need to quench metabolism and separate metabolites from the extracellular space. We therefore focused instead on direct, noninvasive, mass spectrometric monitoring of extracellular metabolites in spent culture medium. Metabolic footprinting can distinguish between different physiological states of wild-type yeast and between yeast single-gene deletion mutants even from related areas of metabolism. By using appropriate clustering and machine learning techniques, the latter based on genetic programming, we show that metabolic footprinting is an effective method to classify 'unknown' mutants by genetic defect.", "author" : [ { "dropping-particle" : "", "family" : "Allen", "given" : "Jess", "non-dropping-particle" : "", "parse-names" : false, "suffix" : "" }, { "dropping-particle" : "", "family" : "Davey", "given" : "Hazel M", "non-dropping-particle" : "", "parse-names" : false, "suffix" : "" }, { "dropping-particle" : "", "family" : "Broadhurst", "given" : "David", "non-dropping-particle" : "", "parse-names" : false, "suffix" : "" }, { "dropping-particle" : "", "family" : "Heald", "given" : "Jim K", "non-dropping-particle" : "", "parse-names" : false, "suffix" : "" }, { "dropping-particle" : "", "family" : "Rowland", "given" : "Jem J", "non-dropping-particle" : "", "parse-names" : false, "suffix" : "" }, { "dropping-particle" : "", "family" : "Oliver", "given" : "Stephen G", "non-dropping-particle" : "", "parse-names" : false, "suffix" : "" }, { "dropping-particle" : "", "family" : "Kell", "given" : "Douglas B", "non-dropping-particle" : "", "parse-names" : false, "suffix" : "" } ], "container-title" : "Nature biotechnology", "id" : "ITEM-1", "issue" : "6", "issued" : { "date-parts" : [ [ "2003" ] ] }, "page" : "692-6", "title" : "High-throughput classification of yeast mutants for functional genomics using metabolic footprinting.", "type" : "article-journal", "volume" : "21" }, "uris" : [ "http://www.mendeley.com/documents/?uuid=8ca53bb9-9c13-4729-9ca5-73cc054a920b" ] } ], "mendeley" : { "formattedCitation" : "[199]", "plainTextFormattedCitation" : "[199]", "previouslyFormattedCitation" : "[199]" }, "properties" : { "noteIndex" : 0 }, "schema" : "https://github.com/citation-style-language/schema/raw/master/csl-citation.json" }</w:instrText>
      </w:r>
      <w:r>
        <w:rPr>
          <w:rFonts w:asciiTheme="minorHAnsi" w:eastAsia="Calibri" w:hAnsiTheme="minorHAnsi" w:cs="Arial"/>
          <w:sz w:val="22"/>
          <w:szCs w:val="22"/>
        </w:rPr>
        <w:fldChar w:fldCharType="separate"/>
      </w:r>
      <w:r w:rsidR="007E3308" w:rsidRPr="007E3308">
        <w:rPr>
          <w:rFonts w:asciiTheme="minorHAnsi" w:eastAsia="Calibri" w:hAnsiTheme="minorHAnsi" w:cs="Arial"/>
          <w:noProof/>
          <w:sz w:val="22"/>
          <w:szCs w:val="22"/>
        </w:rPr>
        <w:t>[199]</w:t>
      </w:r>
      <w:r>
        <w:rPr>
          <w:rFonts w:asciiTheme="minorHAnsi" w:eastAsia="Calibri" w:hAnsiTheme="minorHAnsi" w:cs="Arial"/>
          <w:sz w:val="22"/>
          <w:szCs w:val="22"/>
        </w:rPr>
        <w:fldChar w:fldCharType="end"/>
      </w:r>
      <w:r w:rsidR="006C7FED">
        <w:rPr>
          <w:rFonts w:asciiTheme="minorHAnsi" w:eastAsia="Calibri" w:hAnsiTheme="minorHAnsi" w:cs="Arial"/>
          <w:sz w:val="22"/>
          <w:szCs w:val="22"/>
        </w:rPr>
        <w:t>, and the PCA analysis in Fig. 5.6</w:t>
      </w:r>
      <w:r>
        <w:rPr>
          <w:rFonts w:asciiTheme="minorHAnsi" w:eastAsia="Calibri" w:hAnsiTheme="minorHAnsi" w:cs="Arial"/>
          <w:sz w:val="22"/>
          <w:szCs w:val="22"/>
        </w:rPr>
        <w:t xml:space="preserve"> showed a large level of variation between </w:t>
      </w:r>
      <w:r w:rsidR="00FB6918">
        <w:rPr>
          <w:rFonts w:asciiTheme="minorHAnsi" w:eastAsia="Calibri" w:hAnsiTheme="minorHAnsi" w:cs="Arial"/>
          <w:sz w:val="22"/>
          <w:szCs w:val="22"/>
        </w:rPr>
        <w:t xml:space="preserve">the four biological replicates of </w:t>
      </w:r>
      <w:r>
        <w:rPr>
          <w:rFonts w:asciiTheme="minorHAnsi" w:eastAsia="Calibri" w:hAnsiTheme="minorHAnsi" w:cs="Arial"/>
          <w:sz w:val="22"/>
          <w:szCs w:val="22"/>
        </w:rPr>
        <w:t>each biofilm condition. Such variation</w:t>
      </w:r>
      <w:r w:rsidR="009C18A0">
        <w:rPr>
          <w:rFonts w:asciiTheme="minorHAnsi" w:eastAsia="Calibri" w:hAnsiTheme="minorHAnsi" w:cs="Arial"/>
          <w:sz w:val="22"/>
          <w:szCs w:val="22"/>
        </w:rPr>
        <w:t xml:space="preserve"> is to be expected from such a large number of batch cultures </w:t>
      </w:r>
      <w:r w:rsidR="004D6F38">
        <w:rPr>
          <w:rFonts w:asciiTheme="minorHAnsi" w:eastAsia="Calibri" w:hAnsiTheme="minorHAnsi" w:cs="Arial"/>
          <w:sz w:val="22"/>
          <w:szCs w:val="22"/>
        </w:rPr>
        <w:t xml:space="preserve">where </w:t>
      </w:r>
      <w:r w:rsidR="009C18A0">
        <w:rPr>
          <w:rFonts w:asciiTheme="minorHAnsi" w:eastAsia="Calibri" w:hAnsiTheme="minorHAnsi" w:cs="Arial"/>
          <w:sz w:val="22"/>
          <w:szCs w:val="22"/>
        </w:rPr>
        <w:t>differences in inoculum levels, media</w:t>
      </w:r>
      <w:r w:rsidR="006C7FED">
        <w:rPr>
          <w:rFonts w:asciiTheme="minorHAnsi" w:eastAsia="Calibri" w:hAnsiTheme="minorHAnsi" w:cs="Arial"/>
          <w:sz w:val="22"/>
          <w:szCs w:val="22"/>
        </w:rPr>
        <w:t xml:space="preserve"> or starter cultures</w:t>
      </w:r>
      <w:r w:rsidR="004D6F38">
        <w:rPr>
          <w:rFonts w:asciiTheme="minorHAnsi" w:eastAsia="Calibri" w:hAnsiTheme="minorHAnsi" w:cs="Arial"/>
          <w:sz w:val="22"/>
          <w:szCs w:val="22"/>
        </w:rPr>
        <w:t xml:space="preserve"> can all be contributing factors.</w:t>
      </w:r>
      <w:r w:rsidR="006C7FED">
        <w:rPr>
          <w:rFonts w:asciiTheme="minorHAnsi" w:eastAsia="Calibri" w:hAnsiTheme="minorHAnsi" w:cs="Arial"/>
          <w:sz w:val="22"/>
          <w:szCs w:val="22"/>
        </w:rPr>
        <w:t xml:space="preserve"> Consequently, </w:t>
      </w:r>
      <w:r w:rsidR="009C18A0">
        <w:rPr>
          <w:rFonts w:asciiTheme="minorHAnsi" w:eastAsia="Calibri" w:hAnsiTheme="minorHAnsi" w:cs="Arial"/>
          <w:sz w:val="22"/>
          <w:szCs w:val="22"/>
        </w:rPr>
        <w:t xml:space="preserve">the </w:t>
      </w:r>
      <w:r w:rsidR="006C7FED">
        <w:rPr>
          <w:rFonts w:asciiTheme="minorHAnsi" w:eastAsia="Calibri" w:hAnsiTheme="minorHAnsi" w:cs="Arial"/>
          <w:sz w:val="22"/>
          <w:szCs w:val="22"/>
        </w:rPr>
        <w:t>‘</w:t>
      </w:r>
      <w:r w:rsidR="009C18A0">
        <w:rPr>
          <w:rFonts w:asciiTheme="minorHAnsi" w:eastAsia="Calibri" w:hAnsiTheme="minorHAnsi" w:cs="Arial"/>
          <w:sz w:val="22"/>
          <w:szCs w:val="22"/>
        </w:rPr>
        <w:t>noise</w:t>
      </w:r>
      <w:r w:rsidR="006C7FED">
        <w:rPr>
          <w:rFonts w:asciiTheme="minorHAnsi" w:eastAsia="Calibri" w:hAnsiTheme="minorHAnsi" w:cs="Arial"/>
          <w:sz w:val="22"/>
          <w:szCs w:val="22"/>
        </w:rPr>
        <w:t>’</w:t>
      </w:r>
      <w:r w:rsidR="009C18A0">
        <w:rPr>
          <w:rFonts w:asciiTheme="minorHAnsi" w:eastAsia="Calibri" w:hAnsiTheme="minorHAnsi" w:cs="Arial"/>
          <w:sz w:val="22"/>
          <w:szCs w:val="22"/>
        </w:rPr>
        <w:t xml:space="preserve"> from </w:t>
      </w:r>
      <w:r w:rsidR="009C18A0">
        <w:rPr>
          <w:rFonts w:asciiTheme="minorHAnsi" w:eastAsia="Calibri" w:hAnsiTheme="minorHAnsi" w:cs="Arial"/>
          <w:sz w:val="22"/>
          <w:szCs w:val="22"/>
        </w:rPr>
        <w:lastRenderedPageBreak/>
        <w:t>such variables can</w:t>
      </w:r>
      <w:r w:rsidR="004D6F38">
        <w:rPr>
          <w:rFonts w:asciiTheme="minorHAnsi" w:eastAsia="Calibri" w:hAnsiTheme="minorHAnsi" w:cs="Arial"/>
          <w:sz w:val="22"/>
          <w:szCs w:val="22"/>
        </w:rPr>
        <w:t xml:space="preserve"> mask </w:t>
      </w:r>
      <w:r w:rsidR="009C18A0">
        <w:rPr>
          <w:rFonts w:asciiTheme="minorHAnsi" w:eastAsia="Calibri" w:hAnsiTheme="minorHAnsi" w:cs="Arial"/>
          <w:sz w:val="22"/>
          <w:szCs w:val="22"/>
        </w:rPr>
        <w:t xml:space="preserve">any important statistical trends in protein expression between the biofilm conditions </w:t>
      </w:r>
      <w:r w:rsidR="009C18A0">
        <w:rPr>
          <w:rFonts w:asciiTheme="minorHAnsi" w:eastAsia="Calibri" w:hAnsiTheme="minorHAnsi" w:cs="Arial"/>
          <w:sz w:val="22"/>
          <w:szCs w:val="22"/>
        </w:rPr>
        <w:fldChar w:fldCharType="begin" w:fldLock="1"/>
      </w:r>
      <w:r w:rsidR="007E3308">
        <w:rPr>
          <w:rFonts w:asciiTheme="minorHAnsi" w:eastAsia="Calibri" w:hAnsiTheme="minorHAnsi" w:cs="Arial"/>
          <w:sz w:val="22"/>
          <w:szCs w:val="22"/>
        </w:rPr>
        <w:instrText>ADDIN CSL_CITATION { "citationItems" : [ { "id" : "ITEM-1", "itemData" : { "DOI" : "10.1038/nbt823", "ISBN" : "1087-0156", "ISSN" : "1087-0156", "PMID" : "12740584", "abstract" : "Many technologies have been developed to help explain the function of genes discovered by systematic genome sequencing. At present, transcriptome and proteome studies dominate large-scale functional analysis strategies. Yet the metabolome, because it is 'downstream', should show greater effects of genetic or physiological changes and thus should be much closer to the phenotype of the organism. We earlier presented a functional analysis strategy that used metabolic fingerprinting to reveal the phenotype of silent mutations of yeast genes. However, this is difficult to scale up for high-throughput screening. Here we present an alternative that has the required throughput (2 min per sample). This 'metabolic footprinting' approach recognizes the significance of 'overflow metabolism' in appropriate media. Measuring intracellular metabolites is time-consuming and subject to technical difficulties caused by the rapid turnover of intracellular metabolites and the need to quench metabolism and separate metabolites from the extracellular space. We therefore focused instead on direct, noninvasive, mass spectrometric monitoring of extracellular metabolites in spent culture medium. Metabolic footprinting can distinguish between different physiological states of wild-type yeast and between yeast single-gene deletion mutants even from related areas of metabolism. By using appropriate clustering and machine learning techniques, the latter based on genetic programming, we show that metabolic footprinting is an effective method to classify 'unknown' mutants by genetic defect.", "author" : [ { "dropping-particle" : "", "family" : "Allen", "given" : "Jess", "non-dropping-particle" : "", "parse-names" : false, "suffix" : "" }, { "dropping-particle" : "", "family" : "Davey", "given" : "Hazel M", "non-dropping-particle" : "", "parse-names" : false, "suffix" : "" }, { "dropping-particle" : "", "family" : "Broadhurst", "given" : "David", "non-dropping-particle" : "", "parse-names" : false, "suffix" : "" }, { "dropping-particle" : "", "family" : "Heald", "given" : "Jim K", "non-dropping-particle" : "", "parse-names" : false, "suffix" : "" }, { "dropping-particle" : "", "family" : "Rowland", "given" : "Jem J", "non-dropping-particle" : "", "parse-names" : false, "suffix" : "" }, { "dropping-particle" : "", "family" : "Oliver", "given" : "Stephen G", "non-dropping-particle" : "", "parse-names" : false, "suffix" : "" }, { "dropping-particle" : "", "family" : "Kell", "given" : "Douglas B", "non-dropping-particle" : "", "parse-names" : false, "suffix" : "" } ], "container-title" : "Nature biotechnology", "id" : "ITEM-1", "issue" : "6", "issued" : { "date-parts" : [ [ "2003" ] ] }, "page" : "692-6", "title" : "High-throughput classification of yeast mutants for functional genomics using metabolic footprinting.", "type" : "article-journal", "volume" : "21" }, "uris" : [ "http://www.mendeley.com/documents/?uuid=8ca53bb9-9c13-4729-9ca5-73cc054a920b" ] } ], "mendeley" : { "formattedCitation" : "[199]", "plainTextFormattedCitation" : "[199]", "previouslyFormattedCitation" : "[199]" }, "properties" : { "noteIndex" : 0 }, "schema" : "https://github.com/citation-style-language/schema/raw/master/csl-citation.json" }</w:instrText>
      </w:r>
      <w:r w:rsidR="009C18A0">
        <w:rPr>
          <w:rFonts w:asciiTheme="minorHAnsi" w:eastAsia="Calibri" w:hAnsiTheme="minorHAnsi" w:cs="Arial"/>
          <w:sz w:val="22"/>
          <w:szCs w:val="22"/>
        </w:rPr>
        <w:fldChar w:fldCharType="separate"/>
      </w:r>
      <w:r w:rsidR="007E3308" w:rsidRPr="007E3308">
        <w:rPr>
          <w:rFonts w:asciiTheme="minorHAnsi" w:eastAsia="Calibri" w:hAnsiTheme="minorHAnsi" w:cs="Arial"/>
          <w:noProof/>
          <w:sz w:val="22"/>
          <w:szCs w:val="22"/>
        </w:rPr>
        <w:t>[199]</w:t>
      </w:r>
      <w:r w:rsidR="009C18A0">
        <w:rPr>
          <w:rFonts w:asciiTheme="minorHAnsi" w:eastAsia="Calibri" w:hAnsiTheme="minorHAnsi" w:cs="Arial"/>
          <w:sz w:val="22"/>
          <w:szCs w:val="22"/>
        </w:rPr>
        <w:fldChar w:fldCharType="end"/>
      </w:r>
      <w:r w:rsidR="009C18A0">
        <w:rPr>
          <w:rFonts w:asciiTheme="minorHAnsi" w:eastAsia="Calibri" w:hAnsiTheme="minorHAnsi" w:cs="Arial"/>
          <w:sz w:val="22"/>
          <w:szCs w:val="22"/>
        </w:rPr>
        <w:t xml:space="preserve">. </w:t>
      </w:r>
    </w:p>
    <w:p w14:paraId="5BCE1D21" w14:textId="67BA6CC5" w:rsidR="00436CD0" w:rsidRPr="00C44D8C" w:rsidRDefault="000F254A" w:rsidP="009C18A0">
      <w:pPr>
        <w:spacing w:line="360" w:lineRule="auto"/>
        <w:ind w:firstLine="720"/>
        <w:rPr>
          <w:rFonts w:asciiTheme="minorHAnsi" w:eastAsia="Calibri" w:hAnsiTheme="minorHAnsi" w:cs="Arial"/>
          <w:sz w:val="22"/>
          <w:szCs w:val="22"/>
        </w:rPr>
      </w:pPr>
      <w:r>
        <w:rPr>
          <w:rFonts w:asciiTheme="minorHAnsi" w:eastAsia="Calibri" w:hAnsiTheme="minorHAnsi" w:cs="Arial"/>
          <w:sz w:val="22"/>
          <w:szCs w:val="22"/>
        </w:rPr>
        <w:t xml:space="preserve">However, </w:t>
      </w:r>
      <w:r w:rsidR="004D6F38">
        <w:rPr>
          <w:rFonts w:asciiTheme="minorHAnsi" w:eastAsia="Calibri" w:hAnsiTheme="minorHAnsi" w:cs="Arial"/>
          <w:sz w:val="22"/>
          <w:szCs w:val="22"/>
        </w:rPr>
        <w:t xml:space="preserve">the PCA analysis revealed </w:t>
      </w:r>
      <w:r w:rsidR="00436CD0" w:rsidRPr="00C44D8C">
        <w:rPr>
          <w:rFonts w:asciiTheme="minorHAnsi" w:eastAsia="Calibri" w:hAnsiTheme="minorHAnsi" w:cs="Arial"/>
          <w:sz w:val="22"/>
          <w:szCs w:val="22"/>
        </w:rPr>
        <w:t xml:space="preserve">distinct clustering </w:t>
      </w:r>
      <w:r w:rsidR="004D6F38">
        <w:rPr>
          <w:rFonts w:asciiTheme="minorHAnsi" w:eastAsia="Calibri" w:hAnsiTheme="minorHAnsi" w:cs="Arial"/>
          <w:sz w:val="22"/>
          <w:szCs w:val="22"/>
        </w:rPr>
        <w:t>of</w:t>
      </w:r>
      <w:r w:rsidR="00FB6918">
        <w:rPr>
          <w:rFonts w:asciiTheme="minorHAnsi" w:eastAsia="Calibri" w:hAnsiTheme="minorHAnsi" w:cs="Arial"/>
          <w:sz w:val="22"/>
          <w:szCs w:val="22"/>
        </w:rPr>
        <w:t xml:space="preserve"> two biological replicates </w:t>
      </w:r>
      <w:r w:rsidR="004D6F38">
        <w:rPr>
          <w:rFonts w:asciiTheme="minorHAnsi" w:eastAsia="Calibri" w:hAnsiTheme="minorHAnsi" w:cs="Arial"/>
          <w:sz w:val="22"/>
          <w:szCs w:val="22"/>
        </w:rPr>
        <w:t xml:space="preserve">in each biofilm condition </w:t>
      </w:r>
      <w:r w:rsidR="00FB6918">
        <w:rPr>
          <w:rFonts w:asciiTheme="minorHAnsi" w:eastAsia="Calibri" w:hAnsiTheme="minorHAnsi" w:cs="Arial"/>
          <w:sz w:val="22"/>
          <w:szCs w:val="22"/>
        </w:rPr>
        <w:t>(</w:t>
      </w:r>
      <w:r w:rsidR="00436CD0" w:rsidRPr="00C44D8C">
        <w:rPr>
          <w:rFonts w:asciiTheme="minorHAnsi" w:eastAsia="Calibri" w:hAnsiTheme="minorHAnsi" w:cs="Arial"/>
          <w:sz w:val="22"/>
          <w:szCs w:val="22"/>
        </w:rPr>
        <w:t>iTRAQ labels 113 and 114 corresponding to two PETG-biofilm replicates</w:t>
      </w:r>
      <w:r w:rsidR="00FB6918">
        <w:rPr>
          <w:rFonts w:asciiTheme="minorHAnsi" w:eastAsia="Calibri" w:hAnsiTheme="minorHAnsi" w:cs="Arial"/>
          <w:sz w:val="22"/>
          <w:szCs w:val="22"/>
        </w:rPr>
        <w:t xml:space="preserve">, and </w:t>
      </w:r>
      <w:r w:rsidR="00436CD0" w:rsidRPr="00C44D8C">
        <w:rPr>
          <w:rFonts w:asciiTheme="minorHAnsi" w:eastAsia="Calibri" w:hAnsiTheme="minorHAnsi" w:cs="Arial"/>
          <w:sz w:val="22"/>
          <w:szCs w:val="22"/>
        </w:rPr>
        <w:t>labels 117 and 118 corresponding to two PVC-biofilm replicates). These closely clustered biological replicates suggest</w:t>
      </w:r>
      <w:r w:rsidR="004D6F38">
        <w:rPr>
          <w:rFonts w:asciiTheme="minorHAnsi" w:eastAsia="Calibri" w:hAnsiTheme="minorHAnsi" w:cs="Arial"/>
          <w:sz w:val="22"/>
          <w:szCs w:val="22"/>
        </w:rPr>
        <w:t xml:space="preserve"> a similar level of protein expression and </w:t>
      </w:r>
      <w:r w:rsidR="006C7FED">
        <w:rPr>
          <w:rFonts w:asciiTheme="minorHAnsi" w:eastAsia="Calibri" w:hAnsiTheme="minorHAnsi" w:cs="Arial"/>
          <w:sz w:val="22"/>
          <w:szCs w:val="22"/>
        </w:rPr>
        <w:t>an</w:t>
      </w:r>
      <w:r w:rsidR="009C18A0">
        <w:rPr>
          <w:rFonts w:asciiTheme="minorHAnsi" w:eastAsia="Calibri" w:hAnsiTheme="minorHAnsi" w:cs="Arial"/>
          <w:sz w:val="22"/>
          <w:szCs w:val="22"/>
        </w:rPr>
        <w:t xml:space="preserve"> underlying biological relationship</w:t>
      </w:r>
      <w:r w:rsidR="00436CD0" w:rsidRPr="00C44D8C">
        <w:rPr>
          <w:rFonts w:asciiTheme="minorHAnsi" w:eastAsia="Calibri" w:hAnsiTheme="minorHAnsi" w:cs="Arial"/>
          <w:sz w:val="22"/>
          <w:szCs w:val="22"/>
        </w:rPr>
        <w:t>. Therefore, it was</w:t>
      </w:r>
      <w:r w:rsidR="006C7FED">
        <w:rPr>
          <w:rFonts w:asciiTheme="minorHAnsi" w:eastAsia="Calibri" w:hAnsiTheme="minorHAnsi" w:cs="Arial"/>
          <w:sz w:val="22"/>
          <w:szCs w:val="22"/>
        </w:rPr>
        <w:t xml:space="preserve"> decided to focus</w:t>
      </w:r>
      <w:r w:rsidR="009C18A0">
        <w:rPr>
          <w:rFonts w:asciiTheme="minorHAnsi" w:eastAsia="Calibri" w:hAnsiTheme="minorHAnsi" w:cs="Arial"/>
          <w:sz w:val="22"/>
          <w:szCs w:val="22"/>
        </w:rPr>
        <w:t xml:space="preserve"> only </w:t>
      </w:r>
      <w:r w:rsidR="006C7FED">
        <w:rPr>
          <w:rFonts w:asciiTheme="minorHAnsi" w:eastAsia="Calibri" w:hAnsiTheme="minorHAnsi" w:cs="Arial"/>
          <w:sz w:val="22"/>
          <w:szCs w:val="22"/>
        </w:rPr>
        <w:t xml:space="preserve">on </w:t>
      </w:r>
      <w:r w:rsidR="009C18A0">
        <w:rPr>
          <w:rFonts w:asciiTheme="minorHAnsi" w:eastAsia="Calibri" w:hAnsiTheme="minorHAnsi" w:cs="Arial"/>
          <w:sz w:val="22"/>
          <w:szCs w:val="22"/>
        </w:rPr>
        <w:t xml:space="preserve">the most closely clustered </w:t>
      </w:r>
      <w:r w:rsidR="006C7FED">
        <w:rPr>
          <w:rFonts w:asciiTheme="minorHAnsi" w:eastAsia="Calibri" w:hAnsiTheme="minorHAnsi" w:cs="Arial"/>
          <w:sz w:val="22"/>
          <w:szCs w:val="22"/>
        </w:rPr>
        <w:t xml:space="preserve">labels </w:t>
      </w:r>
      <w:r w:rsidR="006C7FED" w:rsidRPr="00C44D8C">
        <w:rPr>
          <w:rFonts w:asciiTheme="minorHAnsi" w:eastAsia="Calibri" w:hAnsiTheme="minorHAnsi" w:cs="Arial"/>
          <w:sz w:val="22"/>
          <w:szCs w:val="22"/>
        </w:rPr>
        <w:t xml:space="preserve">(113, 114, 117 and 118) for further data analysis </w:t>
      </w:r>
      <w:r w:rsidR="009C18A0">
        <w:rPr>
          <w:rFonts w:asciiTheme="minorHAnsi" w:eastAsia="Calibri" w:hAnsiTheme="minorHAnsi" w:cs="Arial"/>
          <w:sz w:val="22"/>
          <w:szCs w:val="22"/>
        </w:rPr>
        <w:t>in order to</w:t>
      </w:r>
      <w:r w:rsidR="006C7FED">
        <w:rPr>
          <w:rFonts w:asciiTheme="minorHAnsi" w:eastAsia="Calibri" w:hAnsiTheme="minorHAnsi" w:cs="Arial"/>
          <w:sz w:val="22"/>
          <w:szCs w:val="22"/>
        </w:rPr>
        <w:t xml:space="preserve"> conceal </w:t>
      </w:r>
      <w:r w:rsidR="009C18A0">
        <w:rPr>
          <w:rFonts w:asciiTheme="minorHAnsi" w:eastAsia="Calibri" w:hAnsiTheme="minorHAnsi" w:cs="Arial"/>
          <w:sz w:val="22"/>
          <w:szCs w:val="22"/>
        </w:rPr>
        <w:t>some of the noise and complexity</w:t>
      </w:r>
      <w:r w:rsidR="006C7FED">
        <w:rPr>
          <w:rFonts w:asciiTheme="minorHAnsi" w:eastAsia="Calibri" w:hAnsiTheme="minorHAnsi" w:cs="Arial"/>
          <w:sz w:val="22"/>
          <w:szCs w:val="22"/>
        </w:rPr>
        <w:t xml:space="preserve"> </w:t>
      </w:r>
      <w:r w:rsidR="000F1D28">
        <w:rPr>
          <w:rFonts w:asciiTheme="minorHAnsi" w:eastAsia="Calibri" w:hAnsiTheme="minorHAnsi" w:cs="Arial"/>
          <w:sz w:val="22"/>
          <w:szCs w:val="22"/>
        </w:rPr>
        <w:t xml:space="preserve">of the dataset </w:t>
      </w:r>
      <w:r w:rsidR="006C7FED">
        <w:rPr>
          <w:rFonts w:asciiTheme="minorHAnsi" w:eastAsia="Calibri" w:hAnsiTheme="minorHAnsi" w:cs="Arial"/>
          <w:sz w:val="22"/>
          <w:szCs w:val="22"/>
        </w:rPr>
        <w:t xml:space="preserve">from the labels with the most variation (115,116, 119, 121). </w:t>
      </w:r>
      <w:r w:rsidR="009C18A0">
        <w:rPr>
          <w:rFonts w:asciiTheme="minorHAnsi" w:eastAsia="Calibri" w:hAnsiTheme="minorHAnsi" w:cs="Arial"/>
          <w:sz w:val="22"/>
          <w:szCs w:val="22"/>
        </w:rPr>
        <w:t xml:space="preserve"> </w:t>
      </w:r>
    </w:p>
    <w:p w14:paraId="0D406145" w14:textId="77777777" w:rsidR="00436CD0" w:rsidRPr="00C44D8C" w:rsidRDefault="00436CD0" w:rsidP="00436CD0">
      <w:pPr>
        <w:spacing w:line="360" w:lineRule="auto"/>
        <w:rPr>
          <w:rFonts w:asciiTheme="minorHAnsi" w:hAnsiTheme="minorHAnsi"/>
          <w:bCs/>
          <w:color w:val="000000"/>
          <w:sz w:val="22"/>
          <w:szCs w:val="22"/>
          <w:lang w:eastAsia="en-GB"/>
        </w:rPr>
      </w:pPr>
    </w:p>
    <w:p w14:paraId="79E04537" w14:textId="77777777" w:rsidR="00436CD0" w:rsidRPr="00C44D8C" w:rsidRDefault="00436CD0" w:rsidP="00436CD0">
      <w:pPr>
        <w:spacing w:line="360" w:lineRule="auto"/>
        <w:rPr>
          <w:rFonts w:asciiTheme="minorHAnsi" w:eastAsia="Calibri" w:hAnsiTheme="minorHAnsi" w:cs="Arial"/>
          <w:sz w:val="22"/>
          <w:szCs w:val="22"/>
        </w:rPr>
      </w:pPr>
      <w:r w:rsidRPr="00C44D8C">
        <w:rPr>
          <w:rFonts w:asciiTheme="minorHAnsi" w:eastAsia="Calibri" w:hAnsiTheme="minorHAnsi" w:cs="Arial"/>
          <w:noProof/>
          <w:sz w:val="22"/>
          <w:szCs w:val="22"/>
          <w:lang w:eastAsia="en-GB"/>
        </w:rPr>
        <w:drawing>
          <wp:inline distT="0" distB="0" distL="0" distR="0" wp14:anchorId="78C6549A" wp14:editId="6BA8A09D">
            <wp:extent cx="5400040" cy="35274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 proteomics.jpg"/>
                    <pic:cNvPicPr/>
                  </pic:nvPicPr>
                  <pic:blipFill>
                    <a:blip r:embed="rId54">
                      <a:extLst>
                        <a:ext uri="{28A0092B-C50C-407E-A947-70E740481C1C}">
                          <a14:useLocalDpi xmlns:a14="http://schemas.microsoft.com/office/drawing/2010/main" val="0"/>
                        </a:ext>
                      </a:extLst>
                    </a:blip>
                    <a:stretch>
                      <a:fillRect/>
                    </a:stretch>
                  </pic:blipFill>
                  <pic:spPr>
                    <a:xfrm>
                      <a:off x="0" y="0"/>
                      <a:ext cx="5400040" cy="3527425"/>
                    </a:xfrm>
                    <a:prstGeom prst="rect">
                      <a:avLst/>
                    </a:prstGeom>
                  </pic:spPr>
                </pic:pic>
              </a:graphicData>
            </a:graphic>
          </wp:inline>
        </w:drawing>
      </w:r>
    </w:p>
    <w:p w14:paraId="2BCC552E" w14:textId="77777777" w:rsidR="00436CD0" w:rsidRPr="00C44D8C" w:rsidRDefault="00436CD0" w:rsidP="00436CD0">
      <w:pPr>
        <w:spacing w:line="360" w:lineRule="auto"/>
        <w:rPr>
          <w:rFonts w:asciiTheme="minorHAnsi" w:eastAsia="Calibri" w:hAnsiTheme="minorHAnsi" w:cs="Arial"/>
          <w:sz w:val="22"/>
          <w:szCs w:val="22"/>
        </w:rPr>
      </w:pPr>
      <w:r w:rsidRPr="00C44D8C">
        <w:rPr>
          <w:rFonts w:asciiTheme="minorHAnsi" w:eastAsia="Calibri" w:hAnsiTheme="minorHAnsi" w:cs="Arial"/>
          <w:b/>
          <w:sz w:val="22"/>
          <w:szCs w:val="22"/>
        </w:rPr>
        <w:t>Fig. 5.6</w:t>
      </w:r>
      <w:r w:rsidRPr="00C44D8C">
        <w:rPr>
          <w:rFonts w:asciiTheme="minorHAnsi" w:eastAsia="Calibri" w:hAnsiTheme="minorHAnsi" w:cs="Arial"/>
          <w:sz w:val="22"/>
          <w:szCs w:val="22"/>
        </w:rPr>
        <w:t xml:space="preserve"> PCA analysis of the relative reporter intensities of each iTRAQ label shows distinct clustering of labels 113 and 114 (corresponding to two PETG-biofilm replicates) from labels 117 and 118 (corresponding to two PVC-biofilm replicates).</w:t>
      </w:r>
    </w:p>
    <w:p w14:paraId="58EC8579" w14:textId="77777777" w:rsidR="00436CD0" w:rsidRPr="00C44D8C" w:rsidRDefault="00436CD0" w:rsidP="00436CD0">
      <w:pPr>
        <w:spacing w:line="360" w:lineRule="auto"/>
        <w:rPr>
          <w:rFonts w:asciiTheme="minorHAnsi" w:hAnsiTheme="minorHAnsi"/>
          <w:bCs/>
          <w:color w:val="000000"/>
          <w:sz w:val="22"/>
          <w:szCs w:val="22"/>
          <w:lang w:eastAsia="en-GB"/>
        </w:rPr>
      </w:pPr>
    </w:p>
    <w:p w14:paraId="04C962E7" w14:textId="77777777" w:rsidR="00436CD0" w:rsidRPr="00C44D8C" w:rsidRDefault="00436CD0" w:rsidP="002B69BD">
      <w:pPr>
        <w:pStyle w:val="Heading6"/>
        <w:rPr>
          <w:lang w:eastAsia="en-GB"/>
        </w:rPr>
      </w:pPr>
      <w:bookmarkStart w:id="148" w:name="_Toc462575357"/>
      <w:r w:rsidRPr="00C44D8C">
        <w:rPr>
          <w:lang w:eastAsia="en-GB"/>
        </w:rPr>
        <w:t>5.3.4. iTRAQ protein identification and quantification</w:t>
      </w:r>
      <w:bookmarkEnd w:id="148"/>
    </w:p>
    <w:p w14:paraId="3CE3F9A1" w14:textId="77777777" w:rsidR="00436CD0" w:rsidRPr="00C44D8C" w:rsidRDefault="00436CD0" w:rsidP="00436CD0">
      <w:pPr>
        <w:spacing w:line="360" w:lineRule="auto"/>
        <w:rPr>
          <w:rFonts w:asciiTheme="minorHAnsi" w:eastAsia="Calibri" w:hAnsiTheme="minorHAnsi" w:cs="Arial"/>
          <w:sz w:val="22"/>
          <w:szCs w:val="22"/>
        </w:rPr>
      </w:pPr>
      <w:r w:rsidRPr="00C44D8C">
        <w:rPr>
          <w:rFonts w:asciiTheme="minorHAnsi" w:hAnsiTheme="minorHAnsi"/>
          <w:sz w:val="22"/>
          <w:szCs w:val="22"/>
          <w:lang w:eastAsia="en-GB"/>
        </w:rPr>
        <w:t xml:space="preserve">The spectroscopic and microscopic results from chapter 4 revealed significant adaptive features from </w:t>
      </w:r>
      <w:r w:rsidRPr="00C44D8C">
        <w:rPr>
          <w:rFonts w:asciiTheme="minorHAnsi" w:hAnsiTheme="minorHAnsi"/>
          <w:i/>
          <w:sz w:val="22"/>
          <w:szCs w:val="22"/>
          <w:lang w:eastAsia="en-GB"/>
        </w:rPr>
        <w:t xml:space="preserve">M. barkeri </w:t>
      </w:r>
      <w:r w:rsidRPr="00C44D8C">
        <w:rPr>
          <w:rFonts w:asciiTheme="minorHAnsi" w:hAnsiTheme="minorHAnsi"/>
          <w:sz w:val="22"/>
          <w:szCs w:val="22"/>
          <w:lang w:eastAsia="en-GB"/>
        </w:rPr>
        <w:t xml:space="preserve">depending on the support material. Therefore, quantitative proteomics based on iTRAQ was used </w:t>
      </w:r>
      <w:r w:rsidRPr="00C44D8C">
        <w:rPr>
          <w:rFonts w:asciiTheme="minorHAnsi" w:hAnsiTheme="minorHAnsi"/>
          <w:color w:val="000000"/>
          <w:sz w:val="22"/>
          <w:szCs w:val="22"/>
          <w:lang w:eastAsia="en-GB"/>
        </w:rPr>
        <w:t xml:space="preserve">to elucidate whether the patterns of protein expression differed between </w:t>
      </w:r>
      <w:r w:rsidRPr="00C44D8C">
        <w:rPr>
          <w:rFonts w:asciiTheme="minorHAnsi" w:hAnsiTheme="minorHAnsi"/>
          <w:i/>
          <w:color w:val="000000"/>
          <w:sz w:val="22"/>
          <w:szCs w:val="22"/>
          <w:lang w:eastAsia="en-GB"/>
        </w:rPr>
        <w:t>M. barkeri</w:t>
      </w:r>
      <w:r w:rsidRPr="00C44D8C">
        <w:rPr>
          <w:rFonts w:asciiTheme="minorHAnsi" w:hAnsiTheme="minorHAnsi"/>
          <w:color w:val="000000"/>
          <w:sz w:val="22"/>
          <w:szCs w:val="22"/>
          <w:lang w:eastAsia="en-GB"/>
        </w:rPr>
        <w:t xml:space="preserve"> biofilms grown on two different support materials. </w:t>
      </w:r>
    </w:p>
    <w:p w14:paraId="10EC7ACB" w14:textId="6F3F0234" w:rsidR="00436CD0" w:rsidRPr="00C44D8C" w:rsidRDefault="00436CD0" w:rsidP="00436CD0">
      <w:pPr>
        <w:spacing w:line="360" w:lineRule="auto"/>
        <w:rPr>
          <w:rFonts w:asciiTheme="minorHAnsi" w:eastAsia="Calibri" w:hAnsiTheme="minorHAnsi" w:cs="Arial"/>
          <w:sz w:val="22"/>
          <w:szCs w:val="22"/>
        </w:rPr>
      </w:pPr>
      <w:r w:rsidRPr="00C44D8C">
        <w:rPr>
          <w:rFonts w:asciiTheme="minorHAnsi" w:eastAsia="Calibri" w:hAnsiTheme="minorHAnsi" w:cs="Arial"/>
          <w:sz w:val="22"/>
          <w:szCs w:val="22"/>
        </w:rPr>
        <w:lastRenderedPageBreak/>
        <w:tab/>
        <w:t xml:space="preserve">Further refinement of the iTRAQ dataset was performed by validating only those proteins that had two or more unique peptides, the removal of contaminants, and a false discovery rate (FDR) of 1%, which yielded 900 proteins in total. The FDR was automatically calculated on MaxQuant software by matching the identified MS/MS spectra to a reverse concatenated database based on the original </w:t>
      </w:r>
      <w:r w:rsidRPr="00C44D8C">
        <w:rPr>
          <w:rFonts w:asciiTheme="minorHAnsi" w:eastAsia="Calibri" w:hAnsiTheme="minorHAnsi" w:cs="Arial"/>
          <w:i/>
          <w:sz w:val="22"/>
          <w:szCs w:val="22"/>
        </w:rPr>
        <w:t xml:space="preserve">M. barkeri </w:t>
      </w:r>
      <w:r w:rsidRPr="00C44D8C">
        <w:rPr>
          <w:rFonts w:asciiTheme="minorHAnsi" w:eastAsia="Calibri" w:hAnsiTheme="minorHAnsi" w:cs="Arial"/>
          <w:sz w:val="22"/>
          <w:szCs w:val="22"/>
        </w:rPr>
        <w:t xml:space="preserve">FASTA file containing identified amino acid sequences. </w:t>
      </w:r>
      <w:r w:rsidRPr="00C44D8C">
        <w:rPr>
          <w:rFonts w:asciiTheme="minorHAnsi" w:hAnsiTheme="minorHAnsi"/>
          <w:color w:val="000000"/>
          <w:sz w:val="22"/>
          <w:szCs w:val="22"/>
          <w:lang w:eastAsia="en-GB"/>
        </w:rPr>
        <w:t>A fold change greater than 1 indicated a</w:t>
      </w:r>
      <w:r w:rsidR="00BA6EB9">
        <w:rPr>
          <w:rFonts w:asciiTheme="minorHAnsi" w:hAnsiTheme="minorHAnsi"/>
          <w:color w:val="000000"/>
          <w:sz w:val="22"/>
          <w:szCs w:val="22"/>
          <w:lang w:eastAsia="en-GB"/>
        </w:rPr>
        <w:t xml:space="preserve"> higher relative abundance</w:t>
      </w:r>
      <w:r w:rsidRPr="00C44D8C">
        <w:rPr>
          <w:rFonts w:asciiTheme="minorHAnsi" w:hAnsiTheme="minorHAnsi"/>
          <w:color w:val="000000"/>
          <w:sz w:val="22"/>
          <w:szCs w:val="22"/>
          <w:lang w:eastAsia="en-GB"/>
        </w:rPr>
        <w:t xml:space="preserve"> of protein from cells attached to PVC compared to PETG. A fold change of less than 1 indicated a</w:t>
      </w:r>
      <w:r w:rsidR="00BA6EB9">
        <w:rPr>
          <w:rFonts w:asciiTheme="minorHAnsi" w:hAnsiTheme="minorHAnsi"/>
          <w:color w:val="000000"/>
          <w:sz w:val="22"/>
          <w:szCs w:val="22"/>
          <w:lang w:eastAsia="en-GB"/>
        </w:rPr>
        <w:t xml:space="preserve"> lower relative abundance</w:t>
      </w:r>
      <w:r w:rsidRPr="00C44D8C">
        <w:rPr>
          <w:rFonts w:asciiTheme="minorHAnsi" w:hAnsiTheme="minorHAnsi"/>
          <w:color w:val="000000"/>
          <w:sz w:val="22"/>
          <w:szCs w:val="22"/>
          <w:lang w:eastAsia="en-GB"/>
        </w:rPr>
        <w:t xml:space="preserve"> of protein from cells attached to PETG compared to PVC.</w:t>
      </w:r>
    </w:p>
    <w:p w14:paraId="496A4319" w14:textId="605CD65D" w:rsidR="00436CD0" w:rsidRPr="00C44D8C" w:rsidRDefault="00436CD0" w:rsidP="0058312F">
      <w:pPr>
        <w:spacing w:line="360" w:lineRule="auto"/>
        <w:ind w:firstLine="720"/>
        <w:rPr>
          <w:rFonts w:asciiTheme="minorHAnsi" w:hAnsiTheme="minorHAnsi"/>
          <w:color w:val="000000"/>
          <w:sz w:val="22"/>
          <w:szCs w:val="22"/>
          <w:lang w:eastAsia="en-GB"/>
        </w:rPr>
      </w:pPr>
      <w:r w:rsidRPr="00C44D8C">
        <w:rPr>
          <w:rFonts w:asciiTheme="minorHAnsi" w:eastAsia="Calibri" w:hAnsiTheme="minorHAnsi" w:cs="Arial"/>
          <w:sz w:val="22"/>
          <w:szCs w:val="22"/>
        </w:rPr>
        <w:t xml:space="preserve">However, after the application of a </w:t>
      </w:r>
      <w:r w:rsidRPr="00C44D8C">
        <w:rPr>
          <w:rFonts w:asciiTheme="minorHAnsi" w:eastAsia="Calibri" w:hAnsiTheme="minorHAnsi" w:cs="Arial"/>
          <w:i/>
          <w:sz w:val="22"/>
          <w:szCs w:val="22"/>
        </w:rPr>
        <w:t>p</w:t>
      </w:r>
      <w:r w:rsidRPr="00C44D8C">
        <w:rPr>
          <w:rFonts w:asciiTheme="minorHAnsi" w:eastAsia="Calibri" w:hAnsiTheme="minorHAnsi" w:cs="Arial"/>
          <w:sz w:val="22"/>
          <w:szCs w:val="22"/>
        </w:rPr>
        <w:t xml:space="preserve">-value cut-off of 0.05 after multiple testing correction, 732 total proteins were finally identified as having a significant fold change (20.2% of the total proteome of </w:t>
      </w:r>
      <w:r w:rsidRPr="00C44D8C">
        <w:rPr>
          <w:rFonts w:asciiTheme="minorHAnsi" w:eastAsia="Calibri" w:hAnsiTheme="minorHAnsi" w:cs="Arial"/>
          <w:i/>
          <w:sz w:val="22"/>
          <w:szCs w:val="22"/>
        </w:rPr>
        <w:t>M. barkeri</w:t>
      </w:r>
      <w:r w:rsidRPr="00C44D8C">
        <w:rPr>
          <w:rFonts w:asciiTheme="minorHAnsi" w:eastAsia="Calibri" w:hAnsiTheme="minorHAnsi" w:cs="Arial"/>
          <w:sz w:val="22"/>
          <w:szCs w:val="22"/>
        </w:rPr>
        <w:t xml:space="preserve">). Of these, </w:t>
      </w:r>
      <w:r w:rsidRPr="00C44D8C">
        <w:rPr>
          <w:rFonts w:asciiTheme="minorHAnsi" w:hAnsiTheme="minorHAnsi"/>
          <w:color w:val="000000"/>
          <w:sz w:val="22"/>
          <w:szCs w:val="22"/>
          <w:lang w:eastAsia="en-GB"/>
        </w:rPr>
        <w:t xml:space="preserve">730 proteins were </w:t>
      </w:r>
      <w:r w:rsidR="00ED0E70">
        <w:rPr>
          <w:rFonts w:asciiTheme="minorHAnsi" w:hAnsiTheme="minorHAnsi"/>
          <w:color w:val="000000"/>
          <w:sz w:val="22"/>
          <w:szCs w:val="22"/>
          <w:lang w:eastAsia="en-GB"/>
        </w:rPr>
        <w:t>found in higher relative abundance</w:t>
      </w:r>
      <w:r w:rsidR="00ED0E70"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in biofilms of </w:t>
      </w:r>
      <w:r w:rsidRPr="00C44D8C">
        <w:rPr>
          <w:rFonts w:asciiTheme="minorHAnsi" w:hAnsiTheme="minorHAnsi"/>
          <w:i/>
          <w:iCs/>
          <w:color w:val="000000"/>
          <w:sz w:val="22"/>
          <w:szCs w:val="22"/>
          <w:lang w:eastAsia="en-GB"/>
        </w:rPr>
        <w:t xml:space="preserve">M. barkeri </w:t>
      </w:r>
      <w:r w:rsidRPr="00C44D8C">
        <w:rPr>
          <w:rFonts w:asciiTheme="minorHAnsi" w:hAnsiTheme="minorHAnsi"/>
          <w:color w:val="000000"/>
          <w:sz w:val="22"/>
          <w:szCs w:val="22"/>
          <w:lang w:eastAsia="en-GB"/>
        </w:rPr>
        <w:t xml:space="preserve">grown with PVC as the support material, and 2 proteins were </w:t>
      </w:r>
      <w:r w:rsidR="00ED0E70">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of </w:t>
      </w:r>
      <w:r w:rsidRPr="00C44D8C">
        <w:rPr>
          <w:rFonts w:asciiTheme="minorHAnsi" w:hAnsiTheme="minorHAnsi"/>
          <w:i/>
          <w:iCs/>
          <w:color w:val="000000"/>
          <w:sz w:val="22"/>
          <w:szCs w:val="22"/>
          <w:lang w:eastAsia="en-GB"/>
        </w:rPr>
        <w:t xml:space="preserve">M. barkeri </w:t>
      </w:r>
      <w:r w:rsidRPr="00C44D8C">
        <w:rPr>
          <w:rFonts w:asciiTheme="minorHAnsi" w:hAnsiTheme="minorHAnsi"/>
          <w:color w:val="000000"/>
          <w:sz w:val="22"/>
          <w:szCs w:val="22"/>
          <w:lang w:eastAsia="en-GB"/>
        </w:rPr>
        <w:t xml:space="preserve">grown with PETG as the support material. Of the total 732 identified proteins, 28.6% were poorly characterised or hypothetical proteins (Fig. 5.6). According to UniProt, 46% of the total proteome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consists of uncharacterised proteins, and it is therefore unsurprising that 28.6% of the identified proteins in this study were poorly characterised.</w:t>
      </w:r>
      <w:r w:rsidRPr="00C44D8C">
        <w:rPr>
          <w:rFonts w:asciiTheme="minorHAnsi" w:hAnsiTheme="minorHAnsi"/>
          <w:i/>
          <w:color w:val="000000"/>
          <w:sz w:val="22"/>
          <w:szCs w:val="22"/>
          <w:lang w:eastAsia="en-GB"/>
        </w:rPr>
        <w:t xml:space="preserve"> </w:t>
      </w:r>
    </w:p>
    <w:p w14:paraId="0C9CF744" w14:textId="77777777" w:rsidR="00436CD0" w:rsidRPr="00C44D8C" w:rsidRDefault="00436CD0" w:rsidP="00436CD0">
      <w:pPr>
        <w:spacing w:line="360" w:lineRule="auto"/>
        <w:rPr>
          <w:rFonts w:asciiTheme="minorHAnsi" w:hAnsiTheme="minorHAnsi"/>
          <w:color w:val="000000"/>
          <w:sz w:val="22"/>
          <w:szCs w:val="22"/>
          <w:lang w:eastAsia="en-GB"/>
        </w:rPr>
      </w:pPr>
    </w:p>
    <w:p w14:paraId="7CC6B5BB" w14:textId="77777777" w:rsidR="00436CD0" w:rsidRPr="00C44D8C" w:rsidRDefault="00436CD0" w:rsidP="00436CD0">
      <w:pPr>
        <w:spacing w:line="360" w:lineRule="auto"/>
        <w:jc w:val="center"/>
        <w:rPr>
          <w:rFonts w:asciiTheme="minorHAnsi" w:hAnsiTheme="minorHAnsi"/>
          <w:color w:val="000000"/>
          <w:sz w:val="22"/>
          <w:szCs w:val="22"/>
          <w:lang w:eastAsia="en-GB"/>
        </w:rPr>
      </w:pPr>
      <w:r w:rsidRPr="00C44D8C">
        <w:rPr>
          <w:rFonts w:asciiTheme="minorHAnsi" w:hAnsiTheme="minorHAnsi"/>
          <w:noProof/>
          <w:color w:val="000000"/>
          <w:sz w:val="22"/>
          <w:szCs w:val="22"/>
          <w:lang w:eastAsia="en-GB"/>
        </w:rPr>
        <w:drawing>
          <wp:inline distT="0" distB="0" distL="0" distR="0" wp14:anchorId="3F268CDD" wp14:editId="0732D58B">
            <wp:extent cx="3964625" cy="31448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teomics chart.jpg"/>
                    <pic:cNvPicPr/>
                  </pic:nvPicPr>
                  <pic:blipFill>
                    <a:blip r:embed="rId55">
                      <a:extLst>
                        <a:ext uri="{28A0092B-C50C-407E-A947-70E740481C1C}">
                          <a14:useLocalDpi xmlns:a14="http://schemas.microsoft.com/office/drawing/2010/main" val="0"/>
                        </a:ext>
                      </a:extLst>
                    </a:blip>
                    <a:stretch>
                      <a:fillRect/>
                    </a:stretch>
                  </pic:blipFill>
                  <pic:spPr>
                    <a:xfrm>
                      <a:off x="0" y="0"/>
                      <a:ext cx="3980340" cy="3157286"/>
                    </a:xfrm>
                    <a:prstGeom prst="rect">
                      <a:avLst/>
                    </a:prstGeom>
                  </pic:spPr>
                </pic:pic>
              </a:graphicData>
            </a:graphic>
          </wp:inline>
        </w:drawing>
      </w:r>
    </w:p>
    <w:p w14:paraId="6E36B274" w14:textId="77777777" w:rsidR="00436CD0" w:rsidRPr="00C44D8C" w:rsidRDefault="00436CD0" w:rsidP="00436CD0">
      <w:pPr>
        <w:spacing w:line="360" w:lineRule="auto"/>
        <w:rPr>
          <w:rFonts w:asciiTheme="minorHAnsi" w:hAnsiTheme="minorHAnsi"/>
          <w:b/>
          <w:color w:val="000000"/>
          <w:sz w:val="22"/>
          <w:szCs w:val="22"/>
          <w:lang w:eastAsia="en-GB"/>
        </w:rPr>
      </w:pPr>
      <w:r w:rsidRPr="00C44D8C">
        <w:rPr>
          <w:rFonts w:asciiTheme="minorHAnsi" w:hAnsiTheme="minorHAnsi"/>
          <w:b/>
          <w:color w:val="000000"/>
          <w:sz w:val="22"/>
          <w:szCs w:val="22"/>
          <w:lang w:eastAsia="en-GB"/>
        </w:rPr>
        <w:t>Fig. 5.7</w:t>
      </w:r>
      <w:r w:rsidRPr="00C44D8C">
        <w:rPr>
          <w:rFonts w:asciiTheme="minorHAnsi" w:hAnsiTheme="minorHAnsi"/>
          <w:color w:val="000000"/>
          <w:sz w:val="22"/>
          <w:szCs w:val="22"/>
          <w:lang w:eastAsia="en-GB"/>
        </w:rPr>
        <w:t xml:space="preserve"> The main functions assigned to the identified proteins from iTRAQ analysis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cells attached to PVC and PETG.</w:t>
      </w:r>
    </w:p>
    <w:p w14:paraId="4368FF28" w14:textId="77777777" w:rsidR="00436CD0" w:rsidRPr="00C44D8C" w:rsidRDefault="00436CD0" w:rsidP="00436CD0">
      <w:pPr>
        <w:spacing w:line="360" w:lineRule="auto"/>
        <w:rPr>
          <w:rFonts w:asciiTheme="minorHAnsi" w:hAnsiTheme="minorHAnsi"/>
          <w:color w:val="000000"/>
          <w:sz w:val="22"/>
          <w:szCs w:val="22"/>
          <w:lang w:eastAsia="en-GB"/>
        </w:rPr>
      </w:pPr>
    </w:p>
    <w:p w14:paraId="2E11747A" w14:textId="77777777" w:rsidR="00114AA3" w:rsidRPr="00C44D8C" w:rsidRDefault="00114AA3" w:rsidP="00436CD0">
      <w:pPr>
        <w:spacing w:line="360" w:lineRule="auto"/>
        <w:rPr>
          <w:rFonts w:asciiTheme="minorHAnsi" w:hAnsiTheme="minorHAnsi"/>
          <w:color w:val="000000"/>
          <w:sz w:val="22"/>
          <w:szCs w:val="22"/>
          <w:lang w:eastAsia="en-GB"/>
        </w:rPr>
      </w:pPr>
    </w:p>
    <w:p w14:paraId="2128BE30" w14:textId="64989B54" w:rsidR="0058312F" w:rsidRDefault="00436CD0" w:rsidP="005C5F28">
      <w:pPr>
        <w:spacing w:line="360" w:lineRule="auto"/>
        <w:ind w:firstLine="720"/>
        <w:rPr>
          <w:rFonts w:asciiTheme="minorHAnsi" w:hAnsiTheme="minorHAnsi"/>
          <w:color w:val="000000"/>
          <w:sz w:val="22"/>
          <w:szCs w:val="22"/>
          <w:lang w:eastAsia="en-GB"/>
        </w:rPr>
        <w:sectPr w:rsidR="0058312F" w:rsidSect="00DF337D">
          <w:pgSz w:w="11906" w:h="16838"/>
          <w:pgMar w:top="1418" w:right="1418" w:bottom="1418" w:left="2268" w:header="708" w:footer="708" w:gutter="0"/>
          <w:cols w:space="708"/>
          <w:docGrid w:linePitch="360"/>
        </w:sectPr>
      </w:pPr>
      <w:r w:rsidRPr="00C44D8C">
        <w:rPr>
          <w:rFonts w:asciiTheme="minorHAnsi" w:hAnsiTheme="minorHAnsi"/>
          <w:sz w:val="22"/>
          <w:szCs w:val="22"/>
          <w:lang w:eastAsia="en-GB"/>
        </w:rPr>
        <w:t xml:space="preserve">The majority of identified proteins were involved in metabolism (32.1%), followed by cellular processes (20.2%), substrate transport and folding (7.4%), methanogenesis (5.5%), signalling mechanisms (3.3%) and cell wall biogenesis (3.0%) (Fig. 5.7). These main functions were further decomposed into subfunctions to provide a better understanding of the functional proteome of </w:t>
      </w:r>
      <w:r w:rsidRPr="00C44D8C">
        <w:rPr>
          <w:rFonts w:asciiTheme="minorHAnsi" w:hAnsiTheme="minorHAnsi"/>
          <w:i/>
          <w:sz w:val="22"/>
          <w:szCs w:val="22"/>
          <w:lang w:eastAsia="en-GB"/>
        </w:rPr>
        <w:t xml:space="preserve">M. barkeri </w:t>
      </w:r>
      <w:r w:rsidRPr="00C44D8C">
        <w:rPr>
          <w:rFonts w:asciiTheme="minorHAnsi" w:hAnsiTheme="minorHAnsi"/>
          <w:sz w:val="22"/>
          <w:szCs w:val="22"/>
          <w:lang w:eastAsia="en-GB"/>
        </w:rPr>
        <w:t xml:space="preserve">in response to the support material after 96 h of growth (Tables 5.1-5.7). Some </w:t>
      </w:r>
      <w:r w:rsidRPr="00C44D8C">
        <w:rPr>
          <w:rFonts w:asciiTheme="minorHAnsi" w:hAnsiTheme="minorHAnsi"/>
          <w:color w:val="000000"/>
          <w:sz w:val="22"/>
          <w:szCs w:val="22"/>
          <w:lang w:eastAsia="en-GB"/>
        </w:rPr>
        <w:t xml:space="preserve">of the proteins </w:t>
      </w:r>
      <w:r w:rsidR="00ED0E70">
        <w:rPr>
          <w:rFonts w:asciiTheme="minorHAnsi" w:hAnsiTheme="minorHAnsi"/>
          <w:color w:val="000000"/>
          <w:sz w:val="22"/>
          <w:szCs w:val="22"/>
          <w:lang w:eastAsia="en-GB"/>
        </w:rPr>
        <w:t>found in higher relative abundance</w:t>
      </w:r>
      <w:r w:rsidR="00ED0E70"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from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whilst attac</w:t>
      </w:r>
      <w:r w:rsidR="005C5F28" w:rsidRPr="00C44D8C">
        <w:rPr>
          <w:rFonts w:asciiTheme="minorHAnsi" w:hAnsiTheme="minorHAnsi"/>
          <w:color w:val="000000"/>
          <w:sz w:val="22"/>
          <w:szCs w:val="22"/>
          <w:lang w:eastAsia="en-GB"/>
        </w:rPr>
        <w:t xml:space="preserve">hed to PVC and PETG after </w:t>
      </w:r>
      <w:r w:rsidRPr="00C44D8C">
        <w:rPr>
          <w:rFonts w:asciiTheme="minorHAnsi" w:hAnsiTheme="minorHAnsi"/>
          <w:color w:val="000000"/>
          <w:sz w:val="22"/>
          <w:szCs w:val="22"/>
          <w:lang w:eastAsia="en-GB"/>
        </w:rPr>
        <w:t>96 h are schematically shown in Fig. 5.8.</w:t>
      </w:r>
    </w:p>
    <w:p w14:paraId="21571E6D" w14:textId="77777777" w:rsidR="00436CD0" w:rsidRPr="00C44D8C" w:rsidRDefault="00436CD0" w:rsidP="00436CD0">
      <w:pPr>
        <w:spacing w:line="360" w:lineRule="auto"/>
        <w:jc w:val="right"/>
        <w:rPr>
          <w:rFonts w:asciiTheme="minorHAnsi" w:hAnsiTheme="minorHAnsi"/>
          <w:color w:val="000000"/>
          <w:sz w:val="22"/>
          <w:szCs w:val="22"/>
          <w:lang w:eastAsia="en-GB"/>
        </w:rPr>
      </w:pPr>
      <w:r w:rsidRPr="00C44D8C">
        <w:rPr>
          <w:rFonts w:asciiTheme="minorHAnsi" w:hAnsiTheme="minorHAnsi"/>
          <w:noProof/>
          <w:color w:val="000000"/>
          <w:sz w:val="22"/>
          <w:szCs w:val="22"/>
          <w:lang w:eastAsia="en-GB"/>
        </w:rPr>
        <w:lastRenderedPageBreak/>
        <mc:AlternateContent>
          <mc:Choice Requires="wps">
            <w:drawing>
              <wp:anchor distT="0" distB="0" distL="114300" distR="114300" simplePos="0" relativeHeight="251694080" behindDoc="0" locked="0" layoutInCell="1" allowOverlap="1" wp14:anchorId="4B5A2B20" wp14:editId="5D354A4F">
                <wp:simplePos x="0" y="0"/>
                <wp:positionH relativeFrom="column">
                  <wp:posOffset>-56653</wp:posOffset>
                </wp:positionH>
                <wp:positionV relativeFrom="paragraph">
                  <wp:posOffset>-179401</wp:posOffset>
                </wp:positionV>
                <wp:extent cx="1407381" cy="286247"/>
                <wp:effectExtent l="0" t="0" r="2540" b="0"/>
                <wp:wrapNone/>
                <wp:docPr id="54" name="Text Box 54"/>
                <wp:cNvGraphicFramePr/>
                <a:graphic xmlns:a="http://schemas.openxmlformats.org/drawingml/2006/main">
                  <a:graphicData uri="http://schemas.microsoft.com/office/word/2010/wordprocessingShape">
                    <wps:wsp>
                      <wps:cNvSpPr txBox="1"/>
                      <wps:spPr>
                        <a:xfrm>
                          <a:off x="0" y="0"/>
                          <a:ext cx="1407381" cy="286247"/>
                        </a:xfrm>
                        <a:prstGeom prst="rect">
                          <a:avLst/>
                        </a:prstGeom>
                        <a:solidFill>
                          <a:sysClr val="window" lastClr="FFFFFF"/>
                        </a:solidFill>
                        <a:ln w="6350">
                          <a:noFill/>
                        </a:ln>
                        <a:effectLst/>
                      </wps:spPr>
                      <wps:txbx>
                        <w:txbxContent>
                          <w:p w14:paraId="6FE80EDC" w14:textId="77777777" w:rsidR="007715D2" w:rsidRPr="00CC3159" w:rsidRDefault="007715D2" w:rsidP="00436CD0">
                            <w:pPr>
                              <w:rPr>
                                <w:b/>
                                <w:szCs w:val="24"/>
                              </w:rPr>
                            </w:pPr>
                            <w:r w:rsidRPr="00CC3159">
                              <w:rPr>
                                <w:b/>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B5A2B20" id="Text Box 54" o:spid="_x0000_s1051" type="#_x0000_t202" style="position:absolute;left:0;text-align:left;margin-left:-4.45pt;margin-top:-14.15pt;width:110.8pt;height:22.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" fillcolor="window" stroked="f" strokeweight=".5pt">
                <v:textbox>
                  <w:txbxContent>
                    <w:p w14:paraId="6FE80EDC" w14:textId="77777777" w:rsidR="007715D2" w:rsidRPr="00CC3159" w:rsidRDefault="007715D2" w:rsidP="00436CD0">
                      <w:pPr>
                        <w:rPr>
                          <w:b/>
                          <w:szCs w:val="24"/>
                        </w:rPr>
                      </w:pPr>
                      <w:r w:rsidRPr="00CC3159">
                        <w:rPr>
                          <w:b/>
                          <w:szCs w:val="24"/>
                        </w:rPr>
                        <w:t>A</w:t>
                      </w:r>
                    </w:p>
                  </w:txbxContent>
                </v:textbox>
              </v:shape>
            </w:pict>
          </mc:Fallback>
        </mc:AlternateContent>
      </w:r>
      <w:r w:rsidRPr="00C44D8C">
        <w:rPr>
          <w:rFonts w:asciiTheme="minorHAnsi" w:hAnsiTheme="minorHAnsi"/>
          <w:noProof/>
          <w:color w:val="000000"/>
          <w:sz w:val="22"/>
          <w:szCs w:val="22"/>
          <w:lang w:eastAsia="en-GB"/>
        </w:rPr>
        <w:drawing>
          <wp:inline distT="0" distB="0" distL="0" distR="0" wp14:anchorId="607090D0" wp14:editId="59706CC7">
            <wp:extent cx="5400040" cy="3387255"/>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VC proteins picture.jpg"/>
                    <pic:cNvPicPr/>
                  </pic:nvPicPr>
                  <pic:blipFill>
                    <a:blip r:embed="rId56">
                      <a:extLst>
                        <a:ext uri="{28A0092B-C50C-407E-A947-70E740481C1C}">
                          <a14:useLocalDpi xmlns:a14="http://schemas.microsoft.com/office/drawing/2010/main" val="0"/>
                        </a:ext>
                      </a:extLst>
                    </a:blip>
                    <a:stretch>
                      <a:fillRect/>
                    </a:stretch>
                  </pic:blipFill>
                  <pic:spPr>
                    <a:xfrm>
                      <a:off x="0" y="0"/>
                      <a:ext cx="5400040" cy="3387255"/>
                    </a:xfrm>
                    <a:prstGeom prst="rect">
                      <a:avLst/>
                    </a:prstGeom>
                  </pic:spPr>
                </pic:pic>
              </a:graphicData>
            </a:graphic>
          </wp:inline>
        </w:drawing>
      </w:r>
    </w:p>
    <w:p w14:paraId="26370BEC" w14:textId="77777777" w:rsidR="00436CD0" w:rsidRPr="00C44D8C" w:rsidRDefault="00436CD0" w:rsidP="00436CD0">
      <w:pPr>
        <w:spacing w:line="360" w:lineRule="auto"/>
        <w:rPr>
          <w:rFonts w:asciiTheme="minorHAnsi" w:hAnsiTheme="minorHAnsi"/>
          <w:color w:val="000000"/>
          <w:sz w:val="22"/>
          <w:szCs w:val="22"/>
          <w:lang w:eastAsia="en-GB"/>
        </w:rPr>
      </w:pPr>
    </w:p>
    <w:p w14:paraId="28D12BC9"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noProof/>
          <w:color w:val="000000"/>
          <w:sz w:val="22"/>
          <w:szCs w:val="22"/>
          <w:lang w:eastAsia="en-GB"/>
        </w:rPr>
        <mc:AlternateContent>
          <mc:Choice Requires="wps">
            <w:drawing>
              <wp:anchor distT="0" distB="0" distL="114300" distR="114300" simplePos="0" relativeHeight="251699200" behindDoc="0" locked="0" layoutInCell="1" allowOverlap="1" wp14:anchorId="4909F9BD" wp14:editId="1EBEB3A2">
                <wp:simplePos x="0" y="0"/>
                <wp:positionH relativeFrom="margin">
                  <wp:posOffset>0</wp:posOffset>
                </wp:positionH>
                <wp:positionV relativeFrom="paragraph">
                  <wp:posOffset>272139</wp:posOffset>
                </wp:positionV>
                <wp:extent cx="1407381" cy="286247"/>
                <wp:effectExtent l="0" t="0" r="2540" b="0"/>
                <wp:wrapNone/>
                <wp:docPr id="55" name="Text Box 55"/>
                <wp:cNvGraphicFramePr/>
                <a:graphic xmlns:a="http://schemas.openxmlformats.org/drawingml/2006/main">
                  <a:graphicData uri="http://schemas.microsoft.com/office/word/2010/wordprocessingShape">
                    <wps:wsp>
                      <wps:cNvSpPr txBox="1"/>
                      <wps:spPr>
                        <a:xfrm>
                          <a:off x="0" y="0"/>
                          <a:ext cx="1407381" cy="286247"/>
                        </a:xfrm>
                        <a:prstGeom prst="rect">
                          <a:avLst/>
                        </a:prstGeom>
                        <a:solidFill>
                          <a:sysClr val="window" lastClr="FFFFFF"/>
                        </a:solidFill>
                        <a:ln w="6350">
                          <a:noFill/>
                        </a:ln>
                        <a:effectLst/>
                      </wps:spPr>
                      <wps:txbx>
                        <w:txbxContent>
                          <w:p w14:paraId="6F34B256" w14:textId="77777777" w:rsidR="007715D2" w:rsidRPr="00CC3159" w:rsidRDefault="007715D2" w:rsidP="00436CD0">
                            <w:pPr>
                              <w:rPr>
                                <w:b/>
                                <w:szCs w:val="24"/>
                              </w:rPr>
                            </w:pPr>
                            <w:r>
                              <w:rPr>
                                <w:b/>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909F9BD" id="Text Box 55" o:spid="_x0000_s1052" type="#_x0000_t202" style="position:absolute;margin-left:0;margin-top:21.45pt;width:110.8pt;height:22.5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" fillcolor="window" stroked="f" strokeweight=".5pt">
                <v:textbox>
                  <w:txbxContent>
                    <w:p w14:paraId="6F34B256" w14:textId="77777777" w:rsidR="007715D2" w:rsidRPr="00CC3159" w:rsidRDefault="007715D2" w:rsidP="00436CD0">
                      <w:pPr>
                        <w:rPr>
                          <w:b/>
                          <w:szCs w:val="24"/>
                        </w:rPr>
                      </w:pPr>
                      <w:r>
                        <w:rPr>
                          <w:b/>
                          <w:szCs w:val="24"/>
                        </w:rPr>
                        <w:t>B</w:t>
                      </w:r>
                    </w:p>
                  </w:txbxContent>
                </v:textbox>
                <w10:wrap anchorx="margin"/>
              </v:shape>
            </w:pict>
          </mc:Fallback>
        </mc:AlternateContent>
      </w:r>
    </w:p>
    <w:p w14:paraId="7B8989B2"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noProof/>
          <w:color w:val="000000"/>
          <w:sz w:val="22"/>
          <w:szCs w:val="22"/>
          <w:lang w:eastAsia="en-GB"/>
        </w:rPr>
        <w:drawing>
          <wp:inline distT="0" distB="0" distL="0" distR="0" wp14:anchorId="14FE1DE1" wp14:editId="73CCF3E9">
            <wp:extent cx="5400040" cy="3236181"/>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TG proteins picture.jpg"/>
                    <pic:cNvPicPr/>
                  </pic:nvPicPr>
                  <pic:blipFill>
                    <a:blip r:embed="rId57">
                      <a:extLst>
                        <a:ext uri="{28A0092B-C50C-407E-A947-70E740481C1C}">
                          <a14:useLocalDpi xmlns:a14="http://schemas.microsoft.com/office/drawing/2010/main" val="0"/>
                        </a:ext>
                      </a:extLst>
                    </a:blip>
                    <a:stretch>
                      <a:fillRect/>
                    </a:stretch>
                  </pic:blipFill>
                  <pic:spPr>
                    <a:xfrm>
                      <a:off x="0" y="0"/>
                      <a:ext cx="5402707" cy="3237779"/>
                    </a:xfrm>
                    <a:prstGeom prst="rect">
                      <a:avLst/>
                    </a:prstGeom>
                  </pic:spPr>
                </pic:pic>
              </a:graphicData>
            </a:graphic>
          </wp:inline>
        </w:drawing>
      </w:r>
    </w:p>
    <w:p w14:paraId="66745D09" w14:textId="77777777" w:rsidR="00436CD0" w:rsidRPr="00C44D8C" w:rsidRDefault="00436CD0" w:rsidP="00436CD0">
      <w:pPr>
        <w:spacing w:line="360" w:lineRule="auto"/>
        <w:rPr>
          <w:rFonts w:asciiTheme="minorHAnsi" w:hAnsiTheme="minorHAnsi"/>
          <w:b/>
          <w:color w:val="000000"/>
          <w:sz w:val="22"/>
          <w:szCs w:val="22"/>
          <w:lang w:eastAsia="en-GB"/>
        </w:rPr>
      </w:pPr>
    </w:p>
    <w:p w14:paraId="0E7CEC20" w14:textId="086EF2BF" w:rsidR="00BD5CF2" w:rsidRDefault="00436CD0" w:rsidP="00436CD0">
      <w:pPr>
        <w:spacing w:line="360" w:lineRule="auto"/>
        <w:rPr>
          <w:rFonts w:asciiTheme="minorHAnsi" w:hAnsiTheme="minorHAnsi"/>
          <w:color w:val="000000"/>
          <w:sz w:val="22"/>
          <w:szCs w:val="22"/>
          <w:lang w:eastAsia="en-GB"/>
        </w:rPr>
        <w:sectPr w:rsidR="00BD5CF2" w:rsidSect="00DF337D">
          <w:pgSz w:w="11906" w:h="16838"/>
          <w:pgMar w:top="1418" w:right="1418" w:bottom="1418" w:left="2268" w:header="708" w:footer="708" w:gutter="0"/>
          <w:cols w:space="708"/>
          <w:docGrid w:linePitch="360"/>
        </w:sectPr>
      </w:pPr>
      <w:r w:rsidRPr="00C44D8C">
        <w:rPr>
          <w:rFonts w:asciiTheme="minorHAnsi" w:hAnsiTheme="minorHAnsi"/>
          <w:b/>
          <w:color w:val="000000"/>
          <w:sz w:val="22"/>
          <w:szCs w:val="22"/>
          <w:lang w:eastAsia="en-GB"/>
        </w:rPr>
        <w:t>Fig. 5.8</w:t>
      </w:r>
      <w:r w:rsidRPr="00C44D8C">
        <w:rPr>
          <w:rFonts w:asciiTheme="minorHAnsi" w:hAnsiTheme="minorHAnsi"/>
          <w:color w:val="000000"/>
          <w:sz w:val="22"/>
          <w:szCs w:val="22"/>
          <w:lang w:eastAsia="en-GB"/>
        </w:rPr>
        <w:t xml:space="preserve"> Schematic of some </w:t>
      </w:r>
      <w:r w:rsidR="00CE70B9">
        <w:rPr>
          <w:rFonts w:asciiTheme="minorHAnsi" w:hAnsiTheme="minorHAnsi"/>
          <w:color w:val="000000"/>
          <w:sz w:val="22"/>
          <w:szCs w:val="22"/>
          <w:lang w:eastAsia="en-GB"/>
        </w:rPr>
        <w:t xml:space="preserve">of </w:t>
      </w:r>
      <w:r w:rsidRPr="00C44D8C">
        <w:rPr>
          <w:rFonts w:asciiTheme="minorHAnsi" w:hAnsiTheme="minorHAnsi"/>
          <w:color w:val="000000"/>
          <w:sz w:val="22"/>
          <w:szCs w:val="22"/>
          <w:lang w:eastAsia="en-GB"/>
        </w:rPr>
        <w:t xml:space="preserve">the proteins </w:t>
      </w:r>
      <w:r w:rsidR="00ED0E70">
        <w:rPr>
          <w:rFonts w:asciiTheme="minorHAnsi" w:hAnsiTheme="minorHAnsi"/>
          <w:color w:val="000000"/>
          <w:sz w:val="22"/>
          <w:szCs w:val="22"/>
          <w:lang w:eastAsia="en-GB"/>
        </w:rPr>
        <w:t>found in higher relative abundance</w:t>
      </w:r>
      <w:r w:rsidR="00ED0E70"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when attached to PVC (A) and the 2 proteins </w:t>
      </w:r>
      <w:r w:rsidR="00ED0E70">
        <w:rPr>
          <w:rFonts w:asciiTheme="minorHAnsi" w:hAnsiTheme="minorHAnsi"/>
          <w:color w:val="000000"/>
          <w:sz w:val="22"/>
          <w:szCs w:val="22"/>
          <w:lang w:eastAsia="en-GB"/>
        </w:rPr>
        <w:t>found in higher relative abundance</w:t>
      </w:r>
      <w:r w:rsidR="00ED0E70"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in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attached to PETG (B) after 96 h.</w:t>
      </w:r>
    </w:p>
    <w:p w14:paraId="4980BC72" w14:textId="37B9A491" w:rsidR="00436CD0" w:rsidRPr="00C44D8C" w:rsidRDefault="00BD5CF2" w:rsidP="002B69BD">
      <w:pPr>
        <w:pStyle w:val="Heading6"/>
        <w:rPr>
          <w:lang w:eastAsia="en-GB"/>
        </w:rPr>
      </w:pPr>
      <w:bookmarkStart w:id="149" w:name="_Toc462575358"/>
      <w:r>
        <w:rPr>
          <w:lang w:eastAsia="en-GB"/>
        </w:rPr>
        <w:lastRenderedPageBreak/>
        <w:t>5</w:t>
      </w:r>
      <w:r w:rsidR="00436CD0" w:rsidRPr="00C44D8C">
        <w:rPr>
          <w:lang w:eastAsia="en-GB"/>
        </w:rPr>
        <w:t>.3.5. Investigation of cellular adaptation strategies during biofilm formation</w:t>
      </w:r>
      <w:bookmarkEnd w:id="149"/>
    </w:p>
    <w:p w14:paraId="6ACA3675" w14:textId="77777777" w:rsidR="00436CD0" w:rsidRPr="00C44D8C" w:rsidRDefault="00436CD0" w:rsidP="002B69BD">
      <w:pPr>
        <w:pStyle w:val="Heading7"/>
        <w:rPr>
          <w:lang w:eastAsia="en-GB"/>
        </w:rPr>
      </w:pPr>
      <w:bookmarkStart w:id="150" w:name="_Toc462575359"/>
      <w:r w:rsidRPr="00C44D8C">
        <w:rPr>
          <w:lang w:eastAsia="en-GB"/>
        </w:rPr>
        <w:t>5.3.5.1. Methanogenesis</w:t>
      </w:r>
      <w:bookmarkEnd w:id="150"/>
      <w:r w:rsidRPr="00C44D8C">
        <w:rPr>
          <w:lang w:eastAsia="en-GB"/>
        </w:rPr>
        <w:t xml:space="preserve"> </w:t>
      </w:r>
    </w:p>
    <w:p w14:paraId="6A98068F" w14:textId="32A9AA5F"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i/>
          <w:iCs/>
          <w:color w:val="000000"/>
          <w:sz w:val="22"/>
          <w:szCs w:val="22"/>
          <w:lang w:eastAsia="en-GB"/>
        </w:rPr>
        <w:t xml:space="preserve">Methanosarcina </w:t>
      </w:r>
      <w:r w:rsidRPr="00C44D8C">
        <w:rPr>
          <w:rFonts w:asciiTheme="minorHAnsi" w:hAnsiTheme="minorHAnsi"/>
          <w:color w:val="000000"/>
          <w:sz w:val="22"/>
          <w:szCs w:val="22"/>
          <w:lang w:eastAsia="en-GB"/>
        </w:rPr>
        <w:t>are the most metabolically versatile within the methanogenic archaea, with the ability to metabolise not only acetate, H</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and CO</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but also methanol and methylamines using all four methanogenesis pathways </w:t>
      </w:r>
      <w:r w:rsidR="0016337D">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"10.1128/JB.00810-06", "ISBN" : "0021-9193 (Print)", "ISSN" : "00219193", "PMID" : "16980466", "abstract" : "We report here a comparative analysis of the genome sequence of Methanosarcina barkeri with those of Methanosarcina acetivorans and Methanosarcina mazei. The genome of M. barkeri is distinguished by having an organization that is well conserved with respect to the other Methanosarcina spp. in the region proximal to the origin of replication, with interspecies gene similarities as high as 95%. However, it is disordered and marked by increased transposase frequency and decreased gene synteny and gene density in the distal semigenome. Of the 3,680 open reading frames (ORFs) in M. barkeri, 746 had homologs with better than 80% identity to both M. acetivorans and M. mazei, while 128 nonhypothetical ORFs were unique (nonorthologous) among these species, including a complete formate dehydrogenase operon, genes required for N-acetylmuramic acid synthesis, a 14-gene gas vesicle cluster, and a bacterial-like P450-specific ferredoxin reductase cluster not previously observed or characterized for this genus. A cryptic 36-kbp plasmid sequence that contains an orc1 gene flanked by a presumptive origin of replication consisting of 38 tandem repeats of a 143-nucleotide motif was detected in M. barkeri. Three-way comparison of these genomes reveals differing mechanisms for the accrual of changes. Elongation of the relatively large M. acetivorans genome is the result of uniformly distributed multiple gene scale insertions and duplications, while the M. barkeri genome is characterized by localized inversions associated with the loss of gene content. In contrast, the short M. mazei genome most closely approximates the putative ancestral organizational state of these species.", "author" : [ { "dropping-particle" : "", "family" : "Maeder", "given" : "Dennis L.", "non-dropping-particle" : "", "parse-names" : false, "suffix" : "" }, { "dropping-particle" : "", "family" : "Anderson", "given" : "Iain", "non-dropping-particle" : "", "parse-names" : false, "suffix" : "" }, { "dropping-particle" : "", "family" : "Brettin", "given" : "Thomas S.", "non-dropping-particle" : "", "parse-names" : false, "suffix" : "" }, { "dropping-particle" : "", "family" : "Bruce", "given" : "David C.", "non-dropping-particle" : "", "parse-names" : false, "suffix" : "" }, { "dropping-particle" : "", "family" : "Gilna", "given" : "Paul", "non-dropping-particle" : "", "parse-names" : false, "suffix" : "" }, { "dropping-particle" : "", "family" : "Han", "given" : "Cliff S.", "non-dropping-particle" : "", "parse-names" : false, "suffix" : "" }, { "dropping-particle" : "", "family" : "Lapidus", "given" : "Alla", "non-dropping-particle" : "", "parse-names" : false, "suffix" : "" }, { "dropping-particle" : "", "family" : "Metcalf", "given" : "William W.", "non-dropping-particle" : "", "parse-names" : false, "suffix" : "" }, { "dropping-particle" : "", "family" : "Saunders", "given" : "Elizabeth", "non-dropping-particle" : "", "parse-names" : false, "suffix" : "" }, { "dropping-particle" : "", "family" : "Tapia", "given" : "Roxanne", "non-dropping-particle" : "", "parse-names" : false, "suffix" : "" }, { "dropping-particle" : "", "family" : "Sowers", "given" : "Kevin R.", "non-dropping-particle" : "", "parse-names" : false, "suffix" : "" } ], "container-title" : "Journal of Bacteriology", "id" : "ITEM-1", "issue" : "22", "issued" : { "date-parts" : [ [ "2006" ] ] }, "page" : "7922-7931", "title" : "The Methanosarcina barkeri genome: Comparative analysis with Methanosarcina acetivorans and Methanosarcina mazei reveals extensive rearrangement within methanosarcinal genomes", "type" : "article-journal", "volume" : "188" }, "uris" : [ "http://www.mendeley.com/documents/?uuid=80ead8fe-3eb7-452a-af53-4c24fe0db45f" ] }, { "id" : "ITEM-2", "itemData" : { "DOI" : "10.1128/JB.01424-07", "ISBN" : "0021-9193", "ISSN" : "00219193", "PMID" : "18178739", "abstract" : "A series of Methanosarcina barkeri mutants lacking the genes encoding the enzymes involved in the C1 oxidation/reduction pathway were constructed. Mutants lacking the methyl-tetrahydromethanopterin (H4MPT):coenzyme M (CoM) methyltransferase-encoding operon (delta mtr), the methylene-H4MPT reductase-encoding gene (delta mer), the methylene-H4MPT dehydrogenase-encoding gene (delta mtd), and the formyl-methanofuran:H4MPT formyl-transferase-encoding gene (delta ftr) all failed to grow using either methanol or H2/CO2 as a growth substrate, indicating that there is an absolute requirement for the C1 oxidation/reduction pathway for hydrogenotrophic and methylotrophic methanogenesis. The mutants also failed to grow on acetate, and we suggest that this was due to an inability to generate the reducing equivalents needed for biosynthetic reactions. Despite their lack of growth on methanol, the delta mtr and delta mer mutants were capable of producing methane from this substrate, whereas the delta mtd and delta ftr mutants were not. Thus, there is an Mtr/Mer bypass pathway that allows oxidation of methanol to the level of methylene-H4MPT in M. barkeri. The data further suggested that formaldehyde may be an intermediate in this bypass; however, no methanol dehydrogenase activity was found in delta mtr cell extracts, nor was there an obligate role for the formaldehyde-activating enzyme (Fae), which has been shown to catalyze the condensation of formaldehyde and H4MPT in vitro. Both the delta mer and delta mtr mutants were able to grow on a combination of methanol plus acetate, but they did so by metabolic pathways that are clearly distinct from each other and from previously characterized methanogenic pathways.", "author" : [ { "dropping-particle" : "V.", "family" : "Welander", "given" : "Paula", "non-dropping-particle" : "", "parse-names" : false, "suffix" : "" }, { "dropping-particle" : "", "family" : "Metcalf", "given" : "William W.", "non-dropping-particle" : "", "parse-names" : false, "suffix" : "" } ], "container-title" : "Journal of Bacteriology", "id" : "ITEM-2", "issued" : { "date-parts" : [ [ "2008" ] ] }, "page" : "1928-1936", "title" : "Mutagenesis of the C1 oxidation pathway in Methanosarcina barkeri: New insights into the Mtr/Mer bypass pathway", "type" : "article-journal", "volume" : "190" }, "uris" : [ "http://www.mendeley.com/documents/?uuid=a53acf39-0f97-3b08-8426-8eadf64811cf" ] } ], "mendeley" : { "formattedCitation" : "[18,200]", "plainTextFormattedCitation" : "[18,200]", "previouslyFormattedCitation" : "[18,200]" }, "properties" : { "noteIndex" : 0 }, "schema" : "https://github.com/citation-style-language/schema/raw/master/csl-citation.json" }</w:instrText>
      </w:r>
      <w:r w:rsidR="0016337D">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[18,200]</w:t>
      </w:r>
      <w:r w:rsidR="0016337D">
        <w:rPr>
          <w:rFonts w:asciiTheme="minorHAnsi" w:hAnsiTheme="minorHAnsi"/>
          <w:color w:val="000000"/>
          <w:sz w:val="22"/>
          <w:szCs w:val="22"/>
          <w:lang w:eastAsia="en-GB"/>
        </w:rPr>
        <w:fldChar w:fldCharType="end"/>
      </w:r>
      <w:r w:rsidR="0016337D">
        <w:rPr>
          <w:rFonts w:asciiTheme="minorHAnsi" w:hAnsiTheme="minorHAnsi"/>
          <w:color w:val="000000"/>
          <w:sz w:val="22"/>
          <w:szCs w:val="22"/>
          <w:lang w:eastAsia="en-GB"/>
        </w:rPr>
        <w:t>.</w:t>
      </w:r>
      <w:r w:rsidRPr="00C44D8C">
        <w:rPr>
          <w:rFonts w:asciiTheme="minorHAnsi" w:hAnsiTheme="minorHAnsi"/>
          <w:color w:val="000000"/>
          <w:sz w:val="22"/>
          <w:szCs w:val="22"/>
          <w:lang w:eastAsia="en-GB"/>
        </w:rPr>
        <w:t xml:space="preserve"> As such, various proteins involved in methanogenesis from these different pathways were found </w:t>
      </w:r>
      <w:r w:rsidR="00ED0E70">
        <w:rPr>
          <w:rFonts w:asciiTheme="minorHAnsi" w:hAnsiTheme="minorHAnsi"/>
          <w:color w:val="000000"/>
          <w:sz w:val="22"/>
          <w:szCs w:val="22"/>
          <w:lang w:eastAsia="en-GB"/>
        </w:rPr>
        <w:t>in higher relative abundance</w:t>
      </w:r>
      <w:r w:rsidRPr="00C44D8C">
        <w:rPr>
          <w:rFonts w:asciiTheme="minorHAnsi" w:hAnsiTheme="minorHAnsi"/>
          <w:color w:val="000000"/>
          <w:sz w:val="22"/>
          <w:szCs w:val="22"/>
          <w:lang w:eastAsia="en-GB"/>
        </w:rPr>
        <w:t xml:space="preserve"> in </w:t>
      </w:r>
      <w:r w:rsidRPr="00C44D8C">
        <w:rPr>
          <w:rFonts w:asciiTheme="minorHAnsi" w:hAnsiTheme="minorHAnsi"/>
          <w:i/>
          <w:iCs/>
          <w:color w:val="000000"/>
          <w:sz w:val="22"/>
          <w:szCs w:val="22"/>
          <w:lang w:eastAsia="en-GB"/>
        </w:rPr>
        <w:t xml:space="preserve">M. barkeri </w:t>
      </w:r>
      <w:r w:rsidRPr="00C44D8C">
        <w:rPr>
          <w:rFonts w:asciiTheme="minorHAnsi" w:hAnsiTheme="minorHAnsi"/>
          <w:iCs/>
          <w:color w:val="000000"/>
          <w:sz w:val="22"/>
          <w:szCs w:val="22"/>
          <w:lang w:eastAsia="en-GB"/>
        </w:rPr>
        <w:t>attached to PVC</w:t>
      </w:r>
      <w:r w:rsidRPr="00C44D8C">
        <w:rPr>
          <w:rFonts w:asciiTheme="minorHAnsi" w:hAnsiTheme="minorHAnsi"/>
          <w:i/>
          <w:iCs/>
          <w:color w:val="000000"/>
          <w:sz w:val="22"/>
          <w:szCs w:val="22"/>
          <w:lang w:eastAsia="en-GB"/>
        </w:rPr>
        <w:t xml:space="preserve"> </w:t>
      </w:r>
      <w:r w:rsidRPr="00C44D8C">
        <w:rPr>
          <w:rFonts w:asciiTheme="minorHAnsi" w:hAnsiTheme="minorHAnsi"/>
          <w:color w:val="000000"/>
          <w:sz w:val="22"/>
          <w:szCs w:val="22"/>
          <w:lang w:eastAsia="en-GB"/>
        </w:rPr>
        <w:t>in this study compared to cells attached to PETG (Table 5.1). These proteins are schematically shown in Fig. 5.9.</w:t>
      </w:r>
    </w:p>
    <w:p w14:paraId="6540970E" w14:textId="77777777" w:rsidR="00436CD0" w:rsidRPr="00C44D8C" w:rsidRDefault="00436CD0" w:rsidP="00436CD0">
      <w:pPr>
        <w:spacing w:line="360" w:lineRule="auto"/>
        <w:rPr>
          <w:rFonts w:asciiTheme="minorHAnsi" w:hAnsiTheme="minorHAnsi"/>
          <w:color w:val="000000"/>
          <w:sz w:val="22"/>
          <w:szCs w:val="22"/>
          <w:lang w:eastAsia="en-GB"/>
        </w:rPr>
      </w:pPr>
    </w:p>
    <w:p w14:paraId="79EFDEA1"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noProof/>
          <w:color w:val="000000"/>
          <w:sz w:val="22"/>
          <w:szCs w:val="22"/>
          <w:lang w:eastAsia="en-GB"/>
        </w:rPr>
        <w:drawing>
          <wp:inline distT="0" distB="0" distL="0" distR="0" wp14:anchorId="18B6342C" wp14:editId="20FC3FA6">
            <wp:extent cx="5400040" cy="446595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fferent methanogenesis proteins kegg.tif"/>
                    <pic:cNvPicPr/>
                  </pic:nvPicPr>
                  <pic:blipFill>
                    <a:blip r:embed="rId58">
                      <a:extLst>
                        <a:ext uri="{28A0092B-C50C-407E-A947-70E740481C1C}">
                          <a14:useLocalDpi xmlns:a14="http://schemas.microsoft.com/office/drawing/2010/main" val="0"/>
                        </a:ext>
                      </a:extLst>
                    </a:blip>
                    <a:stretch>
                      <a:fillRect/>
                    </a:stretch>
                  </pic:blipFill>
                  <pic:spPr>
                    <a:xfrm>
                      <a:off x="0" y="0"/>
                      <a:ext cx="5400040" cy="4465955"/>
                    </a:xfrm>
                    <a:prstGeom prst="rect">
                      <a:avLst/>
                    </a:prstGeom>
                  </pic:spPr>
                </pic:pic>
              </a:graphicData>
            </a:graphic>
          </wp:inline>
        </w:drawing>
      </w:r>
    </w:p>
    <w:p w14:paraId="023CD1EF" w14:textId="31F9C086" w:rsidR="00436CD0" w:rsidRPr="00C44D8C" w:rsidRDefault="00436CD0" w:rsidP="00436CD0">
      <w:pPr>
        <w:spacing w:line="360" w:lineRule="auto"/>
        <w:textAlignment w:val="baseline"/>
        <w:rPr>
          <w:rFonts w:asciiTheme="minorHAnsi" w:hAnsiTheme="minorHAnsi"/>
          <w:color w:val="000000"/>
          <w:sz w:val="22"/>
          <w:szCs w:val="22"/>
          <w:lang w:eastAsia="en-GB"/>
        </w:rPr>
      </w:pPr>
      <w:r w:rsidRPr="00C44D8C">
        <w:rPr>
          <w:rFonts w:asciiTheme="minorHAnsi" w:hAnsiTheme="minorHAnsi"/>
          <w:b/>
          <w:color w:val="000000"/>
          <w:sz w:val="22"/>
          <w:szCs w:val="22"/>
          <w:lang w:eastAsia="en-GB"/>
        </w:rPr>
        <w:t xml:space="preserve">Fig. 5.9 </w:t>
      </w:r>
      <w:r w:rsidRPr="00C44D8C">
        <w:rPr>
          <w:rFonts w:asciiTheme="minorHAnsi" w:hAnsiTheme="minorHAnsi"/>
          <w:color w:val="000000"/>
          <w:sz w:val="22"/>
          <w:szCs w:val="22"/>
          <w:lang w:eastAsia="en-GB"/>
        </w:rPr>
        <w:t>A schematic of the proteins</w:t>
      </w:r>
      <w:r w:rsidR="003D18AD">
        <w:rPr>
          <w:rFonts w:asciiTheme="minorHAnsi" w:hAnsiTheme="minorHAnsi"/>
          <w:color w:val="000000"/>
          <w:sz w:val="22"/>
          <w:szCs w:val="22"/>
          <w:lang w:eastAsia="en-GB"/>
        </w:rPr>
        <w:t xml:space="preserve"> found in higher relative abundance</w:t>
      </w:r>
      <w:r w:rsidRPr="00C44D8C">
        <w:rPr>
          <w:rFonts w:asciiTheme="minorHAnsi" w:hAnsiTheme="minorHAnsi"/>
          <w:color w:val="000000"/>
          <w:sz w:val="22"/>
          <w:szCs w:val="22"/>
          <w:lang w:eastAsia="en-GB"/>
        </w:rPr>
        <w:t xml:space="preserve"> involved in the different methanogenesis pathways from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w:t>
      </w:r>
      <w:r w:rsidRPr="00C44D8C">
        <w:rPr>
          <w:rFonts w:asciiTheme="minorHAnsi" w:hAnsiTheme="minorHAnsi"/>
          <w:b/>
          <w:color w:val="FF0000"/>
          <w:sz w:val="22"/>
          <w:szCs w:val="22"/>
          <w:lang w:eastAsia="en-GB"/>
        </w:rPr>
        <w:t>Red</w:t>
      </w:r>
      <w:r w:rsidRPr="00C44D8C">
        <w:rPr>
          <w:rFonts w:asciiTheme="minorHAnsi" w:hAnsiTheme="minorHAnsi"/>
          <w:color w:val="000000"/>
          <w:sz w:val="22"/>
          <w:szCs w:val="22"/>
          <w:lang w:eastAsia="en-GB"/>
        </w:rPr>
        <w:t xml:space="preserve"> boxes correspond to proteins involved in methylamine methanogenesis, </w:t>
      </w:r>
      <w:r w:rsidRPr="00C44D8C">
        <w:rPr>
          <w:rFonts w:asciiTheme="minorHAnsi" w:hAnsiTheme="minorHAnsi"/>
          <w:b/>
          <w:color w:val="00B050"/>
          <w:sz w:val="22"/>
          <w:szCs w:val="22"/>
          <w:lang w:eastAsia="en-GB"/>
        </w:rPr>
        <w:t>green</w:t>
      </w:r>
      <w:r w:rsidRPr="00C44D8C">
        <w:rPr>
          <w:rFonts w:asciiTheme="minorHAnsi" w:hAnsiTheme="minorHAnsi"/>
          <w:color w:val="000000"/>
          <w:sz w:val="22"/>
          <w:szCs w:val="22"/>
          <w:lang w:eastAsia="en-GB"/>
        </w:rPr>
        <w:t xml:space="preserve"> boxes correspond to proteins involved in CO</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methanogenesis, </w:t>
      </w:r>
      <w:r w:rsidRPr="00C44D8C">
        <w:rPr>
          <w:rFonts w:asciiTheme="minorHAnsi" w:hAnsiTheme="minorHAnsi"/>
          <w:b/>
          <w:color w:val="0070C0"/>
          <w:sz w:val="22"/>
          <w:szCs w:val="22"/>
          <w:lang w:eastAsia="en-GB"/>
        </w:rPr>
        <w:t>blue</w:t>
      </w:r>
      <w:r w:rsidRPr="00C44D8C">
        <w:rPr>
          <w:rFonts w:asciiTheme="minorHAnsi" w:hAnsiTheme="minorHAnsi"/>
          <w:color w:val="000000"/>
          <w:sz w:val="22"/>
          <w:szCs w:val="22"/>
          <w:lang w:eastAsia="en-GB"/>
        </w:rPr>
        <w:t xml:space="preserve"> boxes correspond to proteins involved in methanol methanogenesis, and </w:t>
      </w:r>
      <w:r w:rsidRPr="00C44D8C">
        <w:rPr>
          <w:rFonts w:asciiTheme="minorHAnsi" w:hAnsiTheme="minorHAnsi"/>
          <w:b/>
          <w:color w:val="FF3399"/>
          <w:sz w:val="22"/>
          <w:szCs w:val="22"/>
          <w:lang w:eastAsia="en-GB"/>
        </w:rPr>
        <w:t>pink</w:t>
      </w:r>
      <w:r w:rsidRPr="00C44D8C">
        <w:rPr>
          <w:rFonts w:asciiTheme="minorHAnsi" w:hAnsiTheme="minorHAnsi"/>
          <w:color w:val="000000"/>
          <w:sz w:val="22"/>
          <w:szCs w:val="22"/>
          <w:lang w:eastAsia="en-GB"/>
        </w:rPr>
        <w:t xml:space="preserve"> boxes correspond </w:t>
      </w:r>
      <w:r w:rsidRPr="00C44D8C">
        <w:rPr>
          <w:rFonts w:asciiTheme="minorHAnsi" w:hAnsiTheme="minorHAnsi"/>
          <w:color w:val="000000"/>
          <w:sz w:val="22"/>
          <w:szCs w:val="22"/>
          <w:lang w:eastAsia="en-GB"/>
        </w:rPr>
        <w:lastRenderedPageBreak/>
        <w:t>to proteins common to all methanogenesis pathways. Map constructed from KEGG Mapper (http://www.genome.jp).</w:t>
      </w:r>
    </w:p>
    <w:p w14:paraId="724E72A5" w14:textId="77777777" w:rsidR="00436CD0" w:rsidRPr="00BD5CF2" w:rsidRDefault="00436CD0" w:rsidP="00436CD0">
      <w:pPr>
        <w:spacing w:line="360" w:lineRule="auto"/>
        <w:rPr>
          <w:rFonts w:asciiTheme="minorHAnsi" w:hAnsiTheme="minorHAnsi"/>
          <w:i/>
          <w:color w:val="000000"/>
          <w:sz w:val="20"/>
          <w:lang w:eastAsia="en-GB"/>
        </w:rPr>
      </w:pPr>
      <w:r w:rsidRPr="00BD5CF2">
        <w:rPr>
          <w:rFonts w:asciiTheme="minorHAnsi" w:hAnsiTheme="minorHAnsi"/>
          <w:i/>
          <w:color w:val="000000"/>
          <w:sz w:val="20"/>
          <w:lang w:eastAsia="en-GB"/>
        </w:rPr>
        <w:t xml:space="preserve">Enzyme commission numbers: </w:t>
      </w:r>
    </w:p>
    <w:p w14:paraId="46912652" w14:textId="42C0BAAB" w:rsidR="00436CD0" w:rsidRPr="00BD5CF2" w:rsidRDefault="00436CD0" w:rsidP="00436CD0">
      <w:pPr>
        <w:spacing w:line="360" w:lineRule="auto"/>
        <w:rPr>
          <w:rFonts w:asciiTheme="minorHAnsi" w:hAnsiTheme="minorHAnsi"/>
          <w:color w:val="000000"/>
          <w:sz w:val="20"/>
          <w:lang w:eastAsia="en-GB"/>
        </w:rPr>
      </w:pPr>
      <w:r w:rsidRPr="00BD5CF2">
        <w:rPr>
          <w:rFonts w:asciiTheme="minorHAnsi" w:hAnsiTheme="minorHAnsi"/>
          <w:b/>
          <w:color w:val="000000"/>
          <w:sz w:val="20"/>
          <w:lang w:eastAsia="en-GB"/>
        </w:rPr>
        <w:t>Pink boxes</w:t>
      </w:r>
      <w:r w:rsidRPr="00BD5CF2">
        <w:rPr>
          <w:rFonts w:asciiTheme="minorHAnsi" w:hAnsiTheme="minorHAnsi"/>
          <w:color w:val="000000"/>
          <w:sz w:val="20"/>
          <w:lang w:eastAsia="en-GB"/>
        </w:rPr>
        <w:t>: MttC (</w:t>
      </w:r>
      <w:r w:rsidRPr="00BD5CF2">
        <w:rPr>
          <w:rFonts w:asciiTheme="minorHAnsi" w:eastAsia="Calibri" w:hAnsiTheme="minorHAnsi" w:cs="Arial"/>
          <w:sz w:val="20"/>
        </w:rPr>
        <w:t xml:space="preserve">dimethylamine corrinoid protein), </w:t>
      </w:r>
      <w:r w:rsidRPr="00BD5CF2">
        <w:rPr>
          <w:rFonts w:asciiTheme="minorHAnsi" w:hAnsiTheme="minorHAnsi"/>
          <w:color w:val="000000"/>
          <w:sz w:val="20"/>
          <w:lang w:eastAsia="en-GB"/>
        </w:rPr>
        <w:t xml:space="preserve">2.8.4.1. (methylcoenzyme M reductase system, component A2), 1.8.98.1 (CoB--CoM heterodisulfide reductase subunit B), </w:t>
      </w:r>
      <w:r w:rsidRPr="00BD5CF2">
        <w:rPr>
          <w:rFonts w:asciiTheme="minorHAnsi" w:eastAsia="Calibri" w:hAnsiTheme="minorHAnsi" w:cs="Arial"/>
          <w:sz w:val="20"/>
        </w:rPr>
        <w:t xml:space="preserve">1.5.98.2 (methylenetetrahydromethanopterin reductase) </w:t>
      </w:r>
    </w:p>
    <w:p w14:paraId="4977E471" w14:textId="77777777" w:rsidR="00436CD0" w:rsidRPr="00BD5CF2" w:rsidRDefault="00436CD0" w:rsidP="005C5F28">
      <w:pPr>
        <w:spacing w:line="360" w:lineRule="auto"/>
        <w:rPr>
          <w:rFonts w:asciiTheme="minorHAnsi" w:hAnsiTheme="minorHAnsi"/>
          <w:color w:val="000000"/>
          <w:sz w:val="20"/>
          <w:lang w:eastAsia="en-GB"/>
        </w:rPr>
      </w:pPr>
      <w:r w:rsidRPr="00BD5CF2">
        <w:rPr>
          <w:rFonts w:asciiTheme="minorHAnsi" w:hAnsiTheme="minorHAnsi"/>
          <w:b/>
          <w:color w:val="000000"/>
          <w:sz w:val="20"/>
          <w:lang w:eastAsia="en-GB"/>
        </w:rPr>
        <w:t>Green boxes</w:t>
      </w:r>
      <w:r w:rsidRPr="00BD5CF2">
        <w:rPr>
          <w:rFonts w:asciiTheme="minorHAnsi" w:hAnsiTheme="minorHAnsi"/>
          <w:color w:val="000000"/>
          <w:sz w:val="20"/>
          <w:lang w:eastAsia="en-GB"/>
        </w:rPr>
        <w:t>: 2.1.1.86 (</w:t>
      </w:r>
      <w:r w:rsidRPr="00BD5CF2">
        <w:rPr>
          <w:rFonts w:asciiTheme="minorHAnsi" w:eastAsia="Calibri" w:hAnsiTheme="minorHAnsi" w:cs="Arial"/>
          <w:sz w:val="20"/>
        </w:rPr>
        <w:t>tetrahydromethanopterin S-methyltransferase, subunit A), 23.1.101 (formylmethanofuran-tetrahydromethanopterin formyltransferase), 3.5.4.27 (methenyltetrahydromethanopterin cyclohydrolase), 1.5.98.1 (methylenetetrahydromethanopterin dehydrogenase), 1.12.98.1 (coenzyme F</w:t>
      </w:r>
      <w:r w:rsidRPr="00BD5CF2">
        <w:rPr>
          <w:rFonts w:asciiTheme="minorHAnsi" w:eastAsia="Calibri" w:hAnsiTheme="minorHAnsi" w:cs="Arial"/>
          <w:sz w:val="20"/>
          <w:vertAlign w:val="subscript"/>
        </w:rPr>
        <w:t>420</w:t>
      </w:r>
      <w:r w:rsidRPr="00BD5CF2">
        <w:rPr>
          <w:rFonts w:asciiTheme="minorHAnsi" w:eastAsia="Calibri" w:hAnsiTheme="minorHAnsi" w:cs="Arial"/>
          <w:sz w:val="20"/>
        </w:rPr>
        <w:t xml:space="preserve">-reducing hydrogenase, beta subunit), 1.2.99.5 (formylmethanofuran dehydrogenase, subunit E) </w:t>
      </w:r>
    </w:p>
    <w:p w14:paraId="178395ED" w14:textId="77777777" w:rsidR="00436CD0" w:rsidRPr="00BD5CF2" w:rsidRDefault="00436CD0" w:rsidP="00436CD0">
      <w:pPr>
        <w:spacing w:line="360" w:lineRule="auto"/>
        <w:textAlignment w:val="baseline"/>
        <w:rPr>
          <w:rFonts w:asciiTheme="minorHAnsi" w:eastAsia="Calibri" w:hAnsiTheme="minorHAnsi" w:cs="Arial"/>
          <w:sz w:val="20"/>
        </w:rPr>
      </w:pPr>
      <w:r w:rsidRPr="00BD5CF2">
        <w:rPr>
          <w:rFonts w:asciiTheme="minorHAnsi" w:hAnsiTheme="minorHAnsi"/>
          <w:b/>
          <w:sz w:val="20"/>
          <w:lang w:eastAsia="en-GB"/>
        </w:rPr>
        <w:t>Red boxes</w:t>
      </w:r>
      <w:r w:rsidRPr="00BD5CF2">
        <w:rPr>
          <w:rFonts w:asciiTheme="minorHAnsi" w:hAnsiTheme="minorHAnsi"/>
          <w:sz w:val="20"/>
          <w:lang w:eastAsia="en-GB"/>
        </w:rPr>
        <w:t>: MtbA (</w:t>
      </w:r>
      <w:r w:rsidRPr="00BD5CF2">
        <w:rPr>
          <w:rFonts w:asciiTheme="minorHAnsi" w:eastAsia="Calibri" w:hAnsiTheme="minorHAnsi" w:cs="Arial"/>
          <w:sz w:val="20"/>
        </w:rPr>
        <w:t>methylamine-specific methylcobalamin:coenzyme M methyltransferase, MtbC (dimethylamine corrinoid protein)</w:t>
      </w:r>
    </w:p>
    <w:p w14:paraId="2E1B5487" w14:textId="77777777" w:rsidR="00436CD0" w:rsidRPr="00BD5CF2" w:rsidRDefault="00436CD0" w:rsidP="00436CD0">
      <w:pPr>
        <w:spacing w:line="360" w:lineRule="auto"/>
        <w:textAlignment w:val="baseline"/>
        <w:rPr>
          <w:rFonts w:asciiTheme="minorHAnsi" w:eastAsia="Calibri" w:hAnsiTheme="minorHAnsi" w:cs="Arial"/>
          <w:sz w:val="20"/>
        </w:rPr>
      </w:pPr>
      <w:r w:rsidRPr="00BD5CF2">
        <w:rPr>
          <w:rFonts w:asciiTheme="minorHAnsi" w:eastAsia="Calibri" w:hAnsiTheme="minorHAnsi" w:cs="Arial"/>
          <w:b/>
          <w:sz w:val="20"/>
        </w:rPr>
        <w:t>Blue boxes</w:t>
      </w:r>
      <w:r w:rsidRPr="00BD5CF2">
        <w:rPr>
          <w:rFonts w:asciiTheme="minorHAnsi" w:eastAsia="Calibri" w:hAnsiTheme="minorHAnsi" w:cs="Arial"/>
          <w:sz w:val="20"/>
        </w:rPr>
        <w:t>: MtaA (methanol-specific methylcobalamin: coenzyme M methyltransferase), MtaB (methanol:corrinoid methyltransferase), MtaC (methanol corrinoid protein)</w:t>
      </w:r>
    </w:p>
    <w:p w14:paraId="6986980E" w14:textId="77777777" w:rsidR="00436CD0" w:rsidRPr="00C44D8C" w:rsidRDefault="00436CD0" w:rsidP="00436CD0">
      <w:pPr>
        <w:spacing w:line="360" w:lineRule="auto"/>
        <w:rPr>
          <w:rFonts w:asciiTheme="minorHAnsi" w:hAnsiTheme="minorHAnsi"/>
          <w:color w:val="000000"/>
          <w:sz w:val="22"/>
          <w:szCs w:val="22"/>
          <w:lang w:eastAsia="en-GB"/>
        </w:rPr>
      </w:pPr>
    </w:p>
    <w:p w14:paraId="6B844932" w14:textId="77777777" w:rsidR="00436CD0" w:rsidRPr="00C44D8C" w:rsidRDefault="00436CD0" w:rsidP="00436CD0">
      <w:pPr>
        <w:spacing w:line="360" w:lineRule="auto"/>
        <w:rPr>
          <w:rFonts w:asciiTheme="minorHAnsi" w:hAnsiTheme="minorHAnsi"/>
          <w:color w:val="000000"/>
          <w:sz w:val="22"/>
          <w:szCs w:val="22"/>
          <w:lang w:eastAsia="en-GB"/>
        </w:rPr>
      </w:pPr>
    </w:p>
    <w:p w14:paraId="41C3758B" w14:textId="3968544F" w:rsidR="00BD5CF2" w:rsidRDefault="00436CD0" w:rsidP="0016337D">
      <w:pPr>
        <w:spacing w:line="360" w:lineRule="auto"/>
        <w:ind w:firstLine="720"/>
        <w:rPr>
          <w:rFonts w:asciiTheme="minorHAnsi" w:hAnsiTheme="minorHAnsi"/>
          <w:sz w:val="22"/>
          <w:szCs w:val="22"/>
          <w:lang w:eastAsia="en-GB"/>
        </w:rPr>
        <w:sectPr w:rsidR="00BD5CF2" w:rsidSect="00DF337D">
          <w:pgSz w:w="11906" w:h="16838"/>
          <w:pgMar w:top="1418" w:right="1418" w:bottom="1418" w:left="2268" w:header="708" w:footer="708" w:gutter="0"/>
          <w:cols w:space="708"/>
          <w:docGrid w:linePitch="360"/>
        </w:sectPr>
      </w:pPr>
      <w:r w:rsidRPr="00C44D8C">
        <w:rPr>
          <w:rFonts w:asciiTheme="minorHAnsi" w:hAnsiTheme="minorHAnsi"/>
          <w:color w:val="000000"/>
          <w:sz w:val="22"/>
          <w:szCs w:val="22"/>
          <w:lang w:eastAsia="en-GB"/>
        </w:rPr>
        <w:t xml:space="preserve">Three homologs of MtaB encoding the enzyme methanol-corrinoid co-methyltransferase (Mbar_A0741, Mbar_A1064 and Mbar_A3638), and the downstream gene MtaC encoding methanol-corrinoid protein (Mbar_A1063) were 2 fold </w:t>
      </w:r>
      <w:r w:rsidR="003D18AD">
        <w:rPr>
          <w:rFonts w:asciiTheme="minorHAnsi" w:hAnsiTheme="minorHAnsi"/>
          <w:color w:val="000000"/>
          <w:sz w:val="22"/>
          <w:szCs w:val="22"/>
          <w:lang w:eastAsia="en-GB"/>
        </w:rPr>
        <w:t>higher in relative abundance</w:t>
      </w:r>
      <w:r w:rsidRPr="00C44D8C">
        <w:rPr>
          <w:rFonts w:asciiTheme="minorHAnsi" w:hAnsiTheme="minorHAnsi"/>
          <w:color w:val="000000"/>
          <w:sz w:val="22"/>
          <w:szCs w:val="22"/>
          <w:lang w:eastAsia="en-GB"/>
        </w:rPr>
        <w:t xml:space="preserve"> in </w:t>
      </w:r>
      <w:r w:rsidRPr="00C44D8C">
        <w:rPr>
          <w:rFonts w:asciiTheme="minorHAnsi" w:hAnsiTheme="minorHAnsi"/>
          <w:i/>
          <w:iCs/>
          <w:color w:val="000000"/>
          <w:sz w:val="22"/>
          <w:szCs w:val="22"/>
          <w:lang w:eastAsia="en-GB"/>
        </w:rPr>
        <w:t xml:space="preserve">M. barkeri </w:t>
      </w:r>
      <w:r w:rsidRPr="00C44D8C">
        <w:rPr>
          <w:rFonts w:asciiTheme="minorHAnsi" w:hAnsiTheme="minorHAnsi"/>
          <w:iCs/>
          <w:color w:val="000000"/>
          <w:sz w:val="22"/>
          <w:szCs w:val="22"/>
          <w:lang w:eastAsia="en-GB"/>
        </w:rPr>
        <w:t>cells attached to</w:t>
      </w:r>
      <w:r w:rsidRPr="00C44D8C">
        <w:rPr>
          <w:rFonts w:asciiTheme="minorHAnsi" w:hAnsiTheme="minorHAnsi"/>
          <w:color w:val="000000"/>
          <w:sz w:val="22"/>
          <w:szCs w:val="22"/>
          <w:lang w:eastAsia="en-GB"/>
        </w:rPr>
        <w:t xml:space="preserve"> PVC compared to cells attached to PETG. These two subunits, MtaB and MtaC, comprise methyltransferase I, which is an essential protein complex responsible for transferring a methyl group from methanol to coenzyme M for methanogenesis </w:t>
      </w:r>
      <w:r w:rsidR="0016337D">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"10.1016/S0378-1097(02)00924-2", "ISBN" : "0378-1097 (Print)\\r0378-1097 (Linking)", "ISSN" : "03781097", "PMID" : "12393212", "abstract" : "Each of the genomic sequences of Methanosarcina acetivorans, Methanosarcina mazei, and Methanosarcina thermophila revealed two homologs of mtaA, three homologs of mtaB, and three homologs of mtaC encoding enzymes specific for methanogenesis from methanol. Two-dimensional gel electrophoretic analyses of polypeptides from M. thermophila established that methanol induces the expression of mtaA-1, mtaB-1, mtaB-2, mtaB-3, mtaC-1, mtaC-2, and mtaC-3 whereas mtaB-3 and mtaC-3 are constitutively expressed in acetate-grown cells. The gene product of one of three mttC homologs, encoding trimethylamine-specific methyltransferase I, was detected in methanol- but not acetate-grown M. thermophila. A postulated role for the multiple homologs is discussed. ?? 2002 Federation of European Microbiological Societies. Published by Elsevier Science B.V. All rights reserved.", "author" : [ { "dropping-particle" : "", "family" : "Ding", "given" : "Yan Huai R", "non-dropping-particle" : "", "parse-names" : false, "suffix" : "" }, { "dropping-particle" : "", "family" : "Zhang", "given" : "Shi Ping", "non-dropping-particle" : "", "parse-names" : false, "suffix" : "" }, { "dropping-particle" : "", "family" : "Tomb", "given" : "Jean Francois", "non-dropping-particle" : "", "parse-names" : false, "suffix" : "" }, { "dropping-particle" : "", "family" : "Ferry", "given" : "James G.", "non-dropping-particle" : "", "parse-names" : false, "suffix" : "" } ], "container-title" : "FEMS Microbiology Letters", "id" : "ITEM-1", "issue" : "1", "issued" : { "date-parts" : [ [ "2002" ] ] }, "page" : "127-132", "title" : "Genomic and proteomic analyses reveal multiple homologs of genes encoding enzymes of the methanol:coenzyme M methyltransferase system that are differentially expressed in methanol- and acetate-grown Methanosarcina thermophila", "type" : "article-journal", "volume" : "215" }, "uris" : [ "http://www.mendeley.com/documents/?uuid=4552ad3f-5447-461b-b4f6-87a01c999efc" ] } ], "mendeley" : { "formattedCitation" : "[201]", "plainTextFormattedCitation" : "[201]", "previouslyFormattedCitation" : "[201]" }, "properties" : { "noteIndex" : 0 }, "schema" : "https://github.com/citation-style-language/schema/raw/master/csl-citation.json" }</w:instrText>
      </w:r>
      <w:r w:rsidR="0016337D">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[201]</w:t>
      </w:r>
      <w:r w:rsidR="0016337D">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and is catalysed by MtaA encoding the enzyme methylcobamide:Coenzyme M methyltransferase. Two homologs of MtaA (Mbar_A1054, Mbar_A3639) were also </w:t>
      </w:r>
      <w:r w:rsidR="003D18AD">
        <w:rPr>
          <w:rFonts w:asciiTheme="minorHAnsi" w:hAnsiTheme="minorHAnsi"/>
          <w:color w:val="000000"/>
          <w:sz w:val="22"/>
          <w:szCs w:val="22"/>
          <w:lang w:eastAsia="en-GB"/>
        </w:rPr>
        <w:t>in higher relative abundance</w:t>
      </w:r>
      <w:r w:rsidRPr="00C44D8C">
        <w:rPr>
          <w:rFonts w:asciiTheme="minorHAnsi" w:hAnsiTheme="minorHAnsi"/>
          <w:color w:val="000000"/>
          <w:sz w:val="22"/>
          <w:szCs w:val="22"/>
          <w:lang w:eastAsia="en-GB"/>
        </w:rPr>
        <w:t xml:space="preserve"> by up to two fold by </w:t>
      </w:r>
      <w:r w:rsidRPr="00C44D8C">
        <w:rPr>
          <w:rFonts w:asciiTheme="minorHAnsi" w:hAnsiTheme="minorHAnsi"/>
          <w:i/>
          <w:iCs/>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This methyltransferase unit plays a key role in the terminal stages of methanol methanogenesis, </w:t>
      </w:r>
      <w:r w:rsidRPr="00C44D8C">
        <w:rPr>
          <w:rFonts w:asciiTheme="minorHAnsi" w:hAnsiTheme="minorHAnsi"/>
          <w:sz w:val="22"/>
          <w:szCs w:val="22"/>
          <w:lang w:eastAsia="en-GB"/>
        </w:rPr>
        <w:t xml:space="preserve">and is coupled to ATP production </w:t>
      </w:r>
      <w:r w:rsidR="0016337D">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"author" : [ { "dropping-particle" : "", "family" : "Blaut", "given" : "Michael", "non-dropping-particle" : "", "parse-names" : false, "suffix" : "" }, { "dropping-particle" : "", "family" : "Gottschalk", "given" : "Gerhard", "non-dropping-particle" : "", "parse-names" : false, "suffix" : "" } ], "container-title" : "European journal of biochemistry", "id" : "ITEM-1", "issued" : { "date-parts" : [ [ "1984" ] ] }, "page" : "217-222", "title" : "Coupling of ATP synthesis and methane formation from methanol and molecular hydrogen in", "type" : "article-journal", "volume" : "222" }, "uris" : [ "http://www.mendeley.com/documents/?uuid=11c9b0ce-04c3-4f7b-bd11-f49ebed1fab1" ] } ], "mendeley" : { "formattedCitation" : "[181]", "plainTextFormattedCitation" : "[181]", "previouslyFormattedCitation" : "[181]" }, "properties" : { "noteIndex" : 0 }, "schema" : "https://github.com/citation-style-language/schema/raw/master/csl-citation.json" }</w:instrText>
      </w:r>
      <w:r w:rsidR="0016337D">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[181]</w:t>
      </w:r>
      <w:r w:rsidR="0016337D">
        <w:rPr>
          <w:rFonts w:asciiTheme="minorHAnsi" w:hAnsiTheme="minorHAnsi"/>
          <w:sz w:val="22"/>
          <w:szCs w:val="22"/>
          <w:lang w:eastAsia="en-GB"/>
        </w:rPr>
        <w:fldChar w:fldCharType="end"/>
      </w:r>
      <w:r w:rsidRPr="00C44D8C">
        <w:rPr>
          <w:rFonts w:asciiTheme="minorHAnsi" w:hAnsiTheme="minorHAnsi"/>
          <w:sz w:val="22"/>
          <w:szCs w:val="22"/>
          <w:lang w:eastAsia="en-GB"/>
        </w:rPr>
        <w:t>.</w:t>
      </w:r>
      <w:r w:rsidR="0016337D">
        <w:rPr>
          <w:rFonts w:asciiTheme="minorHAnsi" w:hAnsiTheme="minorHAnsi"/>
          <w:sz w:val="22"/>
          <w:szCs w:val="22"/>
          <w:lang w:eastAsia="en-GB"/>
        </w:rPr>
        <w:t xml:space="preserve"> </w:t>
      </w:r>
    </w:p>
    <w:p w14:paraId="73016A0B" w14:textId="727724E0"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lastRenderedPageBreak/>
        <w:t>Table 5.1</w:t>
      </w:r>
      <w:r w:rsidRPr="00C44D8C">
        <w:rPr>
          <w:rFonts w:asciiTheme="minorHAnsi" w:hAnsiTheme="minorHAnsi"/>
          <w:color w:val="000000"/>
          <w:sz w:val="22"/>
          <w:szCs w:val="22"/>
          <w:lang w:eastAsia="en-GB"/>
        </w:rPr>
        <w:t xml:space="preserve"> Proteins involved in methanogenesis and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changes (p ≤ 0.05).</w:t>
      </w:r>
    </w:p>
    <w:tbl>
      <w:tblPr>
        <w:tblW w:w="5020" w:type="pct"/>
        <w:tblLayout w:type="fixed"/>
        <w:tblLook w:val="04A0" w:firstRow="1" w:lastRow="0" w:firstColumn="1" w:lastColumn="0" w:noHBand="0" w:noVBand="1"/>
      </w:tblPr>
      <w:tblGrid>
        <w:gridCol w:w="1505"/>
        <w:gridCol w:w="5411"/>
        <w:gridCol w:w="1312"/>
        <w:gridCol w:w="25"/>
      </w:tblGrid>
      <w:tr w:rsidR="00436CD0" w:rsidRPr="00C44D8C" w14:paraId="7B557A3E" w14:textId="77777777" w:rsidTr="002B29E5">
        <w:trPr>
          <w:trHeight w:val="620"/>
        </w:trPr>
        <w:tc>
          <w:tcPr>
            <w:tcW w:w="912" w:type="pct"/>
            <w:tcBorders>
              <w:top w:val="nil"/>
              <w:left w:val="nil"/>
              <w:bottom w:val="single" w:sz="4" w:space="0" w:color="auto"/>
              <w:right w:val="nil"/>
            </w:tcBorders>
            <w:shd w:val="clear" w:color="auto" w:fill="auto"/>
            <w:hideMark/>
          </w:tcPr>
          <w:p w14:paraId="184E0C07"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Loci</w:t>
            </w:r>
          </w:p>
        </w:tc>
        <w:tc>
          <w:tcPr>
            <w:tcW w:w="3278" w:type="pct"/>
            <w:tcBorders>
              <w:top w:val="nil"/>
              <w:left w:val="nil"/>
              <w:bottom w:val="single" w:sz="4" w:space="0" w:color="auto"/>
              <w:right w:val="nil"/>
            </w:tcBorders>
            <w:shd w:val="clear" w:color="auto" w:fill="auto"/>
            <w:hideMark/>
          </w:tcPr>
          <w:p w14:paraId="05302EE8"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Protein</w:t>
            </w:r>
          </w:p>
        </w:tc>
        <w:tc>
          <w:tcPr>
            <w:tcW w:w="809" w:type="pct"/>
            <w:gridSpan w:val="2"/>
            <w:tcBorders>
              <w:top w:val="nil"/>
              <w:left w:val="nil"/>
              <w:bottom w:val="single" w:sz="4" w:space="0" w:color="auto"/>
              <w:right w:val="nil"/>
            </w:tcBorders>
            <w:shd w:val="clear" w:color="auto" w:fill="auto"/>
            <w:hideMark/>
          </w:tcPr>
          <w:p w14:paraId="24841CE6"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Fold change</w:t>
            </w:r>
          </w:p>
        </w:tc>
      </w:tr>
      <w:tr w:rsidR="00436CD0" w:rsidRPr="00C44D8C" w14:paraId="395532C4" w14:textId="77777777" w:rsidTr="002B69BD">
        <w:trPr>
          <w:gridAfter w:val="1"/>
          <w:wAfter w:w="15" w:type="pct"/>
          <w:trHeight w:val="310"/>
        </w:trPr>
        <w:tc>
          <w:tcPr>
            <w:tcW w:w="4985" w:type="pct"/>
            <w:gridSpan w:val="3"/>
            <w:tcBorders>
              <w:top w:val="nil"/>
              <w:bottom w:val="nil"/>
              <w:right w:val="nil"/>
            </w:tcBorders>
            <w:shd w:val="clear" w:color="auto" w:fill="auto"/>
            <w:noWrap/>
            <w:hideMark/>
          </w:tcPr>
          <w:p w14:paraId="193FA2CC"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Methylamine methanogenesis</w:t>
            </w:r>
          </w:p>
        </w:tc>
      </w:tr>
      <w:tr w:rsidR="00436CD0" w:rsidRPr="00C44D8C" w14:paraId="1D1FD0A0" w14:textId="77777777" w:rsidTr="002B29E5">
        <w:trPr>
          <w:trHeight w:val="290"/>
        </w:trPr>
        <w:tc>
          <w:tcPr>
            <w:tcW w:w="912" w:type="pct"/>
            <w:tcBorders>
              <w:top w:val="nil"/>
              <w:left w:val="nil"/>
              <w:bottom w:val="nil"/>
              <w:right w:val="nil"/>
            </w:tcBorders>
            <w:shd w:val="clear" w:color="auto" w:fill="auto"/>
            <w:noWrap/>
            <w:hideMark/>
          </w:tcPr>
          <w:p w14:paraId="14896E0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Mbar_A0843</w:t>
            </w:r>
          </w:p>
        </w:tc>
        <w:tc>
          <w:tcPr>
            <w:tcW w:w="3278" w:type="pct"/>
            <w:tcBorders>
              <w:top w:val="nil"/>
              <w:left w:val="nil"/>
              <w:bottom w:val="nil"/>
              <w:right w:val="nil"/>
            </w:tcBorders>
            <w:shd w:val="clear" w:color="auto" w:fill="auto"/>
            <w:noWrap/>
            <w:hideMark/>
          </w:tcPr>
          <w:p w14:paraId="774FFBA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Monomethylamine methyltransferase MtmB1 </w:t>
            </w:r>
          </w:p>
        </w:tc>
        <w:tc>
          <w:tcPr>
            <w:tcW w:w="809" w:type="pct"/>
            <w:gridSpan w:val="2"/>
            <w:tcBorders>
              <w:top w:val="nil"/>
              <w:left w:val="nil"/>
              <w:bottom w:val="nil"/>
              <w:right w:val="nil"/>
            </w:tcBorders>
            <w:shd w:val="clear" w:color="auto" w:fill="auto"/>
            <w:noWrap/>
            <w:hideMark/>
          </w:tcPr>
          <w:p w14:paraId="52763D7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2.16</w:t>
            </w:r>
          </w:p>
        </w:tc>
      </w:tr>
      <w:tr w:rsidR="00436CD0" w:rsidRPr="00C44D8C" w14:paraId="5145FE01" w14:textId="77777777" w:rsidTr="002B29E5">
        <w:trPr>
          <w:trHeight w:val="290"/>
        </w:trPr>
        <w:tc>
          <w:tcPr>
            <w:tcW w:w="912" w:type="pct"/>
            <w:tcBorders>
              <w:top w:val="nil"/>
              <w:left w:val="nil"/>
              <w:bottom w:val="nil"/>
              <w:right w:val="nil"/>
            </w:tcBorders>
            <w:shd w:val="clear" w:color="auto" w:fill="auto"/>
            <w:noWrap/>
            <w:hideMark/>
          </w:tcPr>
          <w:p w14:paraId="689342E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Mbar_A3604</w:t>
            </w:r>
          </w:p>
        </w:tc>
        <w:tc>
          <w:tcPr>
            <w:tcW w:w="3278" w:type="pct"/>
            <w:tcBorders>
              <w:top w:val="nil"/>
              <w:left w:val="nil"/>
              <w:bottom w:val="nil"/>
              <w:right w:val="nil"/>
            </w:tcBorders>
            <w:shd w:val="clear" w:color="auto" w:fill="auto"/>
            <w:noWrap/>
            <w:hideMark/>
          </w:tcPr>
          <w:p w14:paraId="747B256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Dimethylamine corrinoid protein</w:t>
            </w:r>
          </w:p>
        </w:tc>
        <w:tc>
          <w:tcPr>
            <w:tcW w:w="809" w:type="pct"/>
            <w:gridSpan w:val="2"/>
            <w:tcBorders>
              <w:top w:val="nil"/>
              <w:left w:val="nil"/>
              <w:bottom w:val="nil"/>
              <w:right w:val="nil"/>
            </w:tcBorders>
            <w:shd w:val="clear" w:color="auto" w:fill="auto"/>
            <w:noWrap/>
            <w:hideMark/>
          </w:tcPr>
          <w:p w14:paraId="3357FB0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2.04</w:t>
            </w:r>
          </w:p>
        </w:tc>
      </w:tr>
      <w:tr w:rsidR="00436CD0" w:rsidRPr="00C44D8C" w14:paraId="265FB695" w14:textId="77777777" w:rsidTr="002B29E5">
        <w:trPr>
          <w:trHeight w:val="290"/>
        </w:trPr>
        <w:tc>
          <w:tcPr>
            <w:tcW w:w="912" w:type="pct"/>
            <w:tcBorders>
              <w:top w:val="nil"/>
              <w:left w:val="nil"/>
              <w:bottom w:val="nil"/>
              <w:right w:val="nil"/>
            </w:tcBorders>
            <w:shd w:val="clear" w:color="auto" w:fill="auto"/>
            <w:noWrap/>
            <w:hideMark/>
          </w:tcPr>
          <w:p w14:paraId="052E4AA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Mbar_A1506</w:t>
            </w:r>
          </w:p>
        </w:tc>
        <w:tc>
          <w:tcPr>
            <w:tcW w:w="3278" w:type="pct"/>
            <w:tcBorders>
              <w:top w:val="nil"/>
              <w:left w:val="nil"/>
              <w:bottom w:val="nil"/>
              <w:right w:val="nil"/>
            </w:tcBorders>
            <w:shd w:val="clear" w:color="auto" w:fill="auto"/>
            <w:noWrap/>
            <w:hideMark/>
          </w:tcPr>
          <w:p w14:paraId="5BF1A2E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Dimethylamine methyltransferase MtbB1</w:t>
            </w:r>
          </w:p>
        </w:tc>
        <w:tc>
          <w:tcPr>
            <w:tcW w:w="809" w:type="pct"/>
            <w:gridSpan w:val="2"/>
            <w:tcBorders>
              <w:top w:val="nil"/>
              <w:left w:val="nil"/>
              <w:bottom w:val="nil"/>
              <w:right w:val="nil"/>
            </w:tcBorders>
            <w:shd w:val="clear" w:color="auto" w:fill="auto"/>
            <w:noWrap/>
            <w:hideMark/>
          </w:tcPr>
          <w:p w14:paraId="6004774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1.93</w:t>
            </w:r>
          </w:p>
        </w:tc>
      </w:tr>
      <w:tr w:rsidR="00436CD0" w:rsidRPr="00C44D8C" w14:paraId="4902D622" w14:textId="77777777" w:rsidTr="002B29E5">
        <w:trPr>
          <w:trHeight w:val="290"/>
        </w:trPr>
        <w:tc>
          <w:tcPr>
            <w:tcW w:w="912" w:type="pct"/>
            <w:tcBorders>
              <w:top w:val="nil"/>
              <w:left w:val="nil"/>
              <w:bottom w:val="nil"/>
              <w:right w:val="nil"/>
            </w:tcBorders>
            <w:shd w:val="clear" w:color="auto" w:fill="auto"/>
            <w:noWrap/>
            <w:hideMark/>
          </w:tcPr>
          <w:p w14:paraId="40EC2DE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Mbar_A1502</w:t>
            </w:r>
          </w:p>
        </w:tc>
        <w:tc>
          <w:tcPr>
            <w:tcW w:w="3278" w:type="pct"/>
            <w:tcBorders>
              <w:top w:val="nil"/>
              <w:left w:val="nil"/>
              <w:bottom w:val="nil"/>
              <w:right w:val="nil"/>
            </w:tcBorders>
            <w:shd w:val="clear" w:color="auto" w:fill="auto"/>
            <w:noWrap/>
            <w:hideMark/>
          </w:tcPr>
          <w:p w14:paraId="3FAA8EA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Trimethylamine methyltransferase MtbB </w:t>
            </w:r>
          </w:p>
        </w:tc>
        <w:tc>
          <w:tcPr>
            <w:tcW w:w="809" w:type="pct"/>
            <w:gridSpan w:val="2"/>
            <w:tcBorders>
              <w:top w:val="nil"/>
              <w:left w:val="nil"/>
              <w:bottom w:val="nil"/>
              <w:right w:val="nil"/>
            </w:tcBorders>
            <w:shd w:val="clear" w:color="auto" w:fill="auto"/>
            <w:noWrap/>
            <w:hideMark/>
          </w:tcPr>
          <w:p w14:paraId="0D2E6C7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39361296" w14:textId="77777777" w:rsidTr="002B29E5">
        <w:trPr>
          <w:trHeight w:val="290"/>
        </w:trPr>
        <w:tc>
          <w:tcPr>
            <w:tcW w:w="912" w:type="pct"/>
            <w:tcBorders>
              <w:top w:val="nil"/>
              <w:left w:val="nil"/>
              <w:bottom w:val="nil"/>
              <w:right w:val="nil"/>
            </w:tcBorders>
            <w:shd w:val="clear" w:color="auto" w:fill="auto"/>
            <w:noWrap/>
            <w:hideMark/>
          </w:tcPr>
          <w:p w14:paraId="0CDDC13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Mbar_A0841</w:t>
            </w:r>
          </w:p>
        </w:tc>
        <w:tc>
          <w:tcPr>
            <w:tcW w:w="3278" w:type="pct"/>
            <w:tcBorders>
              <w:top w:val="nil"/>
              <w:left w:val="nil"/>
              <w:bottom w:val="nil"/>
              <w:right w:val="nil"/>
            </w:tcBorders>
            <w:shd w:val="clear" w:color="auto" w:fill="auto"/>
            <w:noWrap/>
            <w:hideMark/>
          </w:tcPr>
          <w:p w14:paraId="32499C1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Methylamine-specific methylcobalamin:coenzyme M methyltransferase</w:t>
            </w:r>
          </w:p>
        </w:tc>
        <w:tc>
          <w:tcPr>
            <w:tcW w:w="809" w:type="pct"/>
            <w:gridSpan w:val="2"/>
            <w:tcBorders>
              <w:top w:val="nil"/>
              <w:left w:val="nil"/>
              <w:bottom w:val="nil"/>
              <w:right w:val="nil"/>
            </w:tcBorders>
            <w:shd w:val="clear" w:color="auto" w:fill="auto"/>
            <w:noWrap/>
            <w:hideMark/>
          </w:tcPr>
          <w:p w14:paraId="4CF6F58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51E515F8" w14:textId="77777777" w:rsidTr="002B29E5">
        <w:trPr>
          <w:trHeight w:val="290"/>
        </w:trPr>
        <w:tc>
          <w:tcPr>
            <w:tcW w:w="912" w:type="pct"/>
            <w:tcBorders>
              <w:top w:val="nil"/>
              <w:left w:val="nil"/>
              <w:bottom w:val="nil"/>
              <w:right w:val="nil"/>
            </w:tcBorders>
            <w:shd w:val="clear" w:color="auto" w:fill="auto"/>
            <w:noWrap/>
            <w:hideMark/>
          </w:tcPr>
          <w:p w14:paraId="6A73D67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Mbar_A1501</w:t>
            </w:r>
          </w:p>
        </w:tc>
        <w:tc>
          <w:tcPr>
            <w:tcW w:w="3278" w:type="pct"/>
            <w:tcBorders>
              <w:top w:val="nil"/>
              <w:left w:val="nil"/>
              <w:bottom w:val="nil"/>
              <w:right w:val="nil"/>
            </w:tcBorders>
            <w:shd w:val="clear" w:color="auto" w:fill="auto"/>
            <w:noWrap/>
            <w:hideMark/>
          </w:tcPr>
          <w:p w14:paraId="78F7622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Dimethylamine corrinoid protein</w:t>
            </w:r>
          </w:p>
        </w:tc>
        <w:tc>
          <w:tcPr>
            <w:tcW w:w="809" w:type="pct"/>
            <w:gridSpan w:val="2"/>
            <w:tcBorders>
              <w:top w:val="nil"/>
              <w:left w:val="nil"/>
              <w:bottom w:val="nil"/>
              <w:right w:val="nil"/>
            </w:tcBorders>
            <w:shd w:val="clear" w:color="auto" w:fill="auto"/>
            <w:noWrap/>
            <w:hideMark/>
          </w:tcPr>
          <w:p w14:paraId="457C701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1.53</w:t>
            </w:r>
          </w:p>
        </w:tc>
      </w:tr>
      <w:tr w:rsidR="00436CD0" w:rsidRPr="00C44D8C" w14:paraId="551FB874" w14:textId="77777777" w:rsidTr="002B29E5">
        <w:trPr>
          <w:trHeight w:val="290"/>
        </w:trPr>
        <w:tc>
          <w:tcPr>
            <w:tcW w:w="912" w:type="pct"/>
            <w:tcBorders>
              <w:top w:val="nil"/>
              <w:left w:val="nil"/>
              <w:bottom w:val="single" w:sz="4" w:space="0" w:color="auto"/>
              <w:right w:val="nil"/>
            </w:tcBorders>
            <w:shd w:val="clear" w:color="auto" w:fill="auto"/>
            <w:noWrap/>
            <w:hideMark/>
          </w:tcPr>
          <w:p w14:paraId="5C88AF5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3278" w:type="pct"/>
            <w:tcBorders>
              <w:top w:val="nil"/>
              <w:left w:val="nil"/>
              <w:bottom w:val="single" w:sz="4" w:space="0" w:color="auto"/>
              <w:right w:val="nil"/>
            </w:tcBorders>
            <w:shd w:val="clear" w:color="auto" w:fill="auto"/>
            <w:noWrap/>
            <w:hideMark/>
          </w:tcPr>
          <w:p w14:paraId="02BBC48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809" w:type="pct"/>
            <w:gridSpan w:val="2"/>
            <w:tcBorders>
              <w:top w:val="nil"/>
              <w:left w:val="nil"/>
              <w:bottom w:val="single" w:sz="4" w:space="0" w:color="auto"/>
              <w:right w:val="nil"/>
            </w:tcBorders>
            <w:shd w:val="clear" w:color="auto" w:fill="auto"/>
            <w:noWrap/>
            <w:hideMark/>
          </w:tcPr>
          <w:p w14:paraId="786EFE53" w14:textId="77777777" w:rsidR="00436CD0" w:rsidRPr="00C44D8C" w:rsidRDefault="00436CD0" w:rsidP="00436CD0">
            <w:pPr>
              <w:jc w:val="center"/>
              <w:rPr>
                <w:rFonts w:asciiTheme="minorHAnsi" w:hAnsiTheme="minorHAnsi"/>
                <w:color w:val="000000"/>
                <w:sz w:val="22"/>
                <w:szCs w:val="22"/>
                <w:lang w:eastAsia="en-GB"/>
              </w:rPr>
            </w:pPr>
          </w:p>
        </w:tc>
      </w:tr>
      <w:tr w:rsidR="00436CD0" w:rsidRPr="00C44D8C" w14:paraId="7D66F68E" w14:textId="77777777" w:rsidTr="002B69BD">
        <w:trPr>
          <w:gridAfter w:val="1"/>
          <w:wAfter w:w="15" w:type="pct"/>
          <w:trHeight w:val="310"/>
        </w:trPr>
        <w:tc>
          <w:tcPr>
            <w:tcW w:w="4985" w:type="pct"/>
            <w:gridSpan w:val="3"/>
            <w:tcBorders>
              <w:top w:val="nil"/>
              <w:bottom w:val="nil"/>
              <w:right w:val="nil"/>
            </w:tcBorders>
            <w:shd w:val="clear" w:color="auto" w:fill="auto"/>
            <w:noWrap/>
            <w:hideMark/>
          </w:tcPr>
          <w:p w14:paraId="3CF4261D"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Methanol methanogenesis</w:t>
            </w:r>
          </w:p>
        </w:tc>
      </w:tr>
      <w:tr w:rsidR="00436CD0" w:rsidRPr="00C44D8C" w14:paraId="388D517F" w14:textId="77777777" w:rsidTr="002B29E5">
        <w:trPr>
          <w:trHeight w:val="290"/>
        </w:trPr>
        <w:tc>
          <w:tcPr>
            <w:tcW w:w="912" w:type="pct"/>
            <w:tcBorders>
              <w:top w:val="nil"/>
              <w:left w:val="nil"/>
              <w:bottom w:val="nil"/>
              <w:right w:val="nil"/>
            </w:tcBorders>
            <w:shd w:val="clear" w:color="auto" w:fill="auto"/>
            <w:noWrap/>
            <w:hideMark/>
          </w:tcPr>
          <w:p w14:paraId="720DA57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Mbar_A1054</w:t>
            </w:r>
          </w:p>
        </w:tc>
        <w:tc>
          <w:tcPr>
            <w:tcW w:w="3278" w:type="pct"/>
            <w:tcBorders>
              <w:top w:val="nil"/>
              <w:left w:val="nil"/>
              <w:bottom w:val="nil"/>
              <w:right w:val="nil"/>
            </w:tcBorders>
            <w:shd w:val="clear" w:color="auto" w:fill="auto"/>
            <w:noWrap/>
            <w:hideMark/>
          </w:tcPr>
          <w:p w14:paraId="109288A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Methylcobamide:CoM methyltransferase MtaA </w:t>
            </w:r>
          </w:p>
        </w:tc>
        <w:tc>
          <w:tcPr>
            <w:tcW w:w="809" w:type="pct"/>
            <w:gridSpan w:val="2"/>
            <w:tcBorders>
              <w:top w:val="nil"/>
              <w:left w:val="nil"/>
              <w:bottom w:val="nil"/>
              <w:right w:val="nil"/>
            </w:tcBorders>
            <w:shd w:val="clear" w:color="auto" w:fill="auto"/>
            <w:noWrap/>
            <w:hideMark/>
          </w:tcPr>
          <w:p w14:paraId="609112D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2.23</w:t>
            </w:r>
          </w:p>
        </w:tc>
      </w:tr>
      <w:tr w:rsidR="00436CD0" w:rsidRPr="00C44D8C" w14:paraId="41746C58" w14:textId="77777777" w:rsidTr="002B29E5">
        <w:trPr>
          <w:trHeight w:val="290"/>
        </w:trPr>
        <w:tc>
          <w:tcPr>
            <w:tcW w:w="912" w:type="pct"/>
            <w:tcBorders>
              <w:top w:val="nil"/>
              <w:left w:val="nil"/>
              <w:bottom w:val="nil"/>
              <w:right w:val="nil"/>
            </w:tcBorders>
            <w:shd w:val="clear" w:color="auto" w:fill="auto"/>
            <w:noWrap/>
            <w:hideMark/>
          </w:tcPr>
          <w:p w14:paraId="207C4B3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Mbar_A0741</w:t>
            </w:r>
          </w:p>
        </w:tc>
        <w:tc>
          <w:tcPr>
            <w:tcW w:w="3278" w:type="pct"/>
            <w:tcBorders>
              <w:top w:val="nil"/>
              <w:left w:val="nil"/>
              <w:bottom w:val="nil"/>
              <w:right w:val="nil"/>
            </w:tcBorders>
            <w:shd w:val="clear" w:color="auto" w:fill="auto"/>
            <w:noWrap/>
            <w:hideMark/>
          </w:tcPr>
          <w:p w14:paraId="5B5EE4F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Methanol--corrinoid protein co-methyltransferase MtaB</w:t>
            </w:r>
          </w:p>
        </w:tc>
        <w:tc>
          <w:tcPr>
            <w:tcW w:w="809" w:type="pct"/>
            <w:gridSpan w:val="2"/>
            <w:tcBorders>
              <w:top w:val="nil"/>
              <w:left w:val="nil"/>
              <w:bottom w:val="nil"/>
              <w:right w:val="nil"/>
            </w:tcBorders>
            <w:shd w:val="clear" w:color="auto" w:fill="auto"/>
            <w:noWrap/>
            <w:hideMark/>
          </w:tcPr>
          <w:p w14:paraId="628272A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3E7207C2" w14:textId="77777777" w:rsidTr="002B29E5">
        <w:trPr>
          <w:trHeight w:val="290"/>
        </w:trPr>
        <w:tc>
          <w:tcPr>
            <w:tcW w:w="912" w:type="pct"/>
            <w:tcBorders>
              <w:top w:val="nil"/>
              <w:left w:val="nil"/>
              <w:bottom w:val="nil"/>
              <w:right w:val="nil"/>
            </w:tcBorders>
            <w:shd w:val="clear" w:color="auto" w:fill="auto"/>
            <w:noWrap/>
            <w:hideMark/>
          </w:tcPr>
          <w:p w14:paraId="2A6D4E5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Mbar_A3638</w:t>
            </w:r>
          </w:p>
        </w:tc>
        <w:tc>
          <w:tcPr>
            <w:tcW w:w="3278" w:type="pct"/>
            <w:tcBorders>
              <w:top w:val="nil"/>
              <w:left w:val="nil"/>
              <w:bottom w:val="nil"/>
              <w:right w:val="nil"/>
            </w:tcBorders>
            <w:shd w:val="clear" w:color="auto" w:fill="auto"/>
            <w:noWrap/>
            <w:hideMark/>
          </w:tcPr>
          <w:p w14:paraId="3E63992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Methanol:corrinoid methyltransferase MtaB</w:t>
            </w:r>
          </w:p>
        </w:tc>
        <w:tc>
          <w:tcPr>
            <w:tcW w:w="809" w:type="pct"/>
            <w:gridSpan w:val="2"/>
            <w:tcBorders>
              <w:top w:val="nil"/>
              <w:left w:val="nil"/>
              <w:bottom w:val="nil"/>
              <w:right w:val="nil"/>
            </w:tcBorders>
            <w:shd w:val="clear" w:color="auto" w:fill="auto"/>
            <w:noWrap/>
            <w:hideMark/>
          </w:tcPr>
          <w:p w14:paraId="0DF656F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08ECC9A0" w14:textId="77777777" w:rsidTr="002B29E5">
        <w:trPr>
          <w:trHeight w:val="290"/>
        </w:trPr>
        <w:tc>
          <w:tcPr>
            <w:tcW w:w="912" w:type="pct"/>
            <w:tcBorders>
              <w:top w:val="nil"/>
              <w:left w:val="nil"/>
              <w:bottom w:val="nil"/>
              <w:right w:val="nil"/>
            </w:tcBorders>
            <w:shd w:val="clear" w:color="auto" w:fill="auto"/>
            <w:noWrap/>
            <w:hideMark/>
          </w:tcPr>
          <w:p w14:paraId="37A07DC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Mbar_A3639</w:t>
            </w:r>
          </w:p>
        </w:tc>
        <w:tc>
          <w:tcPr>
            <w:tcW w:w="3278" w:type="pct"/>
            <w:tcBorders>
              <w:top w:val="nil"/>
              <w:left w:val="nil"/>
              <w:bottom w:val="nil"/>
              <w:right w:val="nil"/>
            </w:tcBorders>
            <w:shd w:val="clear" w:color="auto" w:fill="auto"/>
            <w:noWrap/>
            <w:hideMark/>
          </w:tcPr>
          <w:p w14:paraId="230564F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Methanol-specific methylcobalamin: coenzyme M methyltransferase MtaA</w:t>
            </w:r>
          </w:p>
        </w:tc>
        <w:tc>
          <w:tcPr>
            <w:tcW w:w="809" w:type="pct"/>
            <w:gridSpan w:val="2"/>
            <w:tcBorders>
              <w:top w:val="nil"/>
              <w:left w:val="nil"/>
              <w:bottom w:val="nil"/>
              <w:right w:val="nil"/>
            </w:tcBorders>
            <w:shd w:val="clear" w:color="auto" w:fill="auto"/>
            <w:noWrap/>
            <w:hideMark/>
          </w:tcPr>
          <w:p w14:paraId="20FF9B1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47B00D70" w14:textId="77777777" w:rsidTr="002B29E5">
        <w:trPr>
          <w:trHeight w:val="290"/>
        </w:trPr>
        <w:tc>
          <w:tcPr>
            <w:tcW w:w="912" w:type="pct"/>
            <w:tcBorders>
              <w:top w:val="nil"/>
              <w:left w:val="nil"/>
              <w:bottom w:val="nil"/>
              <w:right w:val="nil"/>
            </w:tcBorders>
            <w:shd w:val="clear" w:color="auto" w:fill="auto"/>
            <w:noWrap/>
            <w:hideMark/>
          </w:tcPr>
          <w:p w14:paraId="7EFFA88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Mbar_A1063</w:t>
            </w:r>
          </w:p>
        </w:tc>
        <w:tc>
          <w:tcPr>
            <w:tcW w:w="3278" w:type="pct"/>
            <w:tcBorders>
              <w:top w:val="nil"/>
              <w:left w:val="nil"/>
              <w:bottom w:val="nil"/>
              <w:right w:val="nil"/>
            </w:tcBorders>
            <w:shd w:val="clear" w:color="auto" w:fill="auto"/>
            <w:noWrap/>
            <w:hideMark/>
          </w:tcPr>
          <w:p w14:paraId="30F260F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Methanol corrinoid protein MtaC</w:t>
            </w:r>
          </w:p>
        </w:tc>
        <w:tc>
          <w:tcPr>
            <w:tcW w:w="809" w:type="pct"/>
            <w:gridSpan w:val="2"/>
            <w:tcBorders>
              <w:top w:val="nil"/>
              <w:left w:val="nil"/>
              <w:bottom w:val="nil"/>
              <w:right w:val="nil"/>
            </w:tcBorders>
            <w:shd w:val="clear" w:color="auto" w:fill="auto"/>
            <w:noWrap/>
            <w:hideMark/>
          </w:tcPr>
          <w:p w14:paraId="5D7E0C7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1.72</w:t>
            </w:r>
          </w:p>
        </w:tc>
      </w:tr>
      <w:tr w:rsidR="00436CD0" w:rsidRPr="00C44D8C" w14:paraId="59D2D657" w14:textId="77777777" w:rsidTr="002B29E5">
        <w:trPr>
          <w:trHeight w:val="290"/>
        </w:trPr>
        <w:tc>
          <w:tcPr>
            <w:tcW w:w="912" w:type="pct"/>
            <w:tcBorders>
              <w:top w:val="nil"/>
              <w:left w:val="nil"/>
              <w:bottom w:val="nil"/>
              <w:right w:val="nil"/>
            </w:tcBorders>
            <w:shd w:val="clear" w:color="auto" w:fill="auto"/>
            <w:noWrap/>
            <w:hideMark/>
          </w:tcPr>
          <w:p w14:paraId="480058F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Mbar_A1064</w:t>
            </w:r>
          </w:p>
        </w:tc>
        <w:tc>
          <w:tcPr>
            <w:tcW w:w="3278" w:type="pct"/>
            <w:tcBorders>
              <w:top w:val="nil"/>
              <w:left w:val="nil"/>
              <w:bottom w:val="nil"/>
              <w:right w:val="nil"/>
            </w:tcBorders>
            <w:shd w:val="clear" w:color="auto" w:fill="auto"/>
            <w:noWrap/>
            <w:hideMark/>
          </w:tcPr>
          <w:p w14:paraId="5062601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Methanol:corrinoid methyltransferase MtaB</w:t>
            </w:r>
          </w:p>
        </w:tc>
        <w:tc>
          <w:tcPr>
            <w:tcW w:w="809" w:type="pct"/>
            <w:gridSpan w:val="2"/>
            <w:tcBorders>
              <w:top w:val="nil"/>
              <w:left w:val="nil"/>
              <w:bottom w:val="nil"/>
              <w:right w:val="nil"/>
            </w:tcBorders>
            <w:shd w:val="clear" w:color="auto" w:fill="auto"/>
            <w:noWrap/>
            <w:hideMark/>
          </w:tcPr>
          <w:p w14:paraId="690E049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1.65</w:t>
            </w:r>
          </w:p>
        </w:tc>
      </w:tr>
      <w:tr w:rsidR="00436CD0" w:rsidRPr="00C44D8C" w14:paraId="48A16118" w14:textId="77777777" w:rsidTr="002B29E5">
        <w:trPr>
          <w:trHeight w:val="290"/>
        </w:trPr>
        <w:tc>
          <w:tcPr>
            <w:tcW w:w="912" w:type="pct"/>
            <w:tcBorders>
              <w:top w:val="nil"/>
              <w:left w:val="nil"/>
              <w:bottom w:val="single" w:sz="4" w:space="0" w:color="auto"/>
              <w:right w:val="nil"/>
            </w:tcBorders>
            <w:shd w:val="clear" w:color="auto" w:fill="auto"/>
            <w:noWrap/>
            <w:hideMark/>
          </w:tcPr>
          <w:p w14:paraId="0875BE5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3278" w:type="pct"/>
            <w:tcBorders>
              <w:top w:val="nil"/>
              <w:left w:val="nil"/>
              <w:bottom w:val="single" w:sz="4" w:space="0" w:color="auto"/>
              <w:right w:val="nil"/>
            </w:tcBorders>
            <w:shd w:val="clear" w:color="auto" w:fill="auto"/>
            <w:noWrap/>
            <w:hideMark/>
          </w:tcPr>
          <w:p w14:paraId="2814F22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809" w:type="pct"/>
            <w:gridSpan w:val="2"/>
            <w:tcBorders>
              <w:top w:val="nil"/>
              <w:left w:val="nil"/>
              <w:bottom w:val="single" w:sz="4" w:space="0" w:color="auto"/>
              <w:right w:val="nil"/>
            </w:tcBorders>
            <w:shd w:val="clear" w:color="auto" w:fill="auto"/>
            <w:noWrap/>
            <w:hideMark/>
          </w:tcPr>
          <w:p w14:paraId="469B232D" w14:textId="77777777" w:rsidR="00436CD0" w:rsidRPr="00C44D8C" w:rsidRDefault="00436CD0" w:rsidP="00436CD0">
            <w:pPr>
              <w:jc w:val="center"/>
              <w:rPr>
                <w:rFonts w:asciiTheme="minorHAnsi" w:hAnsiTheme="minorHAnsi"/>
                <w:color w:val="000000"/>
                <w:sz w:val="22"/>
                <w:szCs w:val="22"/>
                <w:lang w:eastAsia="en-GB"/>
              </w:rPr>
            </w:pPr>
          </w:p>
        </w:tc>
      </w:tr>
      <w:tr w:rsidR="00436CD0" w:rsidRPr="00C44D8C" w14:paraId="6C7F056D" w14:textId="77777777" w:rsidTr="002B69BD">
        <w:trPr>
          <w:gridAfter w:val="1"/>
          <w:wAfter w:w="15" w:type="pct"/>
          <w:trHeight w:val="310"/>
        </w:trPr>
        <w:tc>
          <w:tcPr>
            <w:tcW w:w="4985" w:type="pct"/>
            <w:gridSpan w:val="3"/>
            <w:tcBorders>
              <w:top w:val="nil"/>
              <w:bottom w:val="nil"/>
              <w:right w:val="nil"/>
            </w:tcBorders>
            <w:shd w:val="clear" w:color="auto" w:fill="auto"/>
            <w:noWrap/>
            <w:hideMark/>
          </w:tcPr>
          <w:p w14:paraId="7216B733"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CO</w:t>
            </w:r>
            <w:r w:rsidRPr="00C44D8C">
              <w:rPr>
                <w:rFonts w:asciiTheme="minorHAnsi" w:hAnsiTheme="minorHAnsi"/>
                <w:i/>
                <w:iCs/>
                <w:color w:val="000000"/>
                <w:sz w:val="22"/>
                <w:szCs w:val="22"/>
                <w:vertAlign w:val="subscript"/>
                <w:lang w:eastAsia="en-GB"/>
              </w:rPr>
              <w:t>2</w:t>
            </w:r>
            <w:r w:rsidRPr="00C44D8C">
              <w:rPr>
                <w:rFonts w:asciiTheme="minorHAnsi" w:hAnsiTheme="minorHAnsi"/>
                <w:i/>
                <w:iCs/>
                <w:color w:val="000000"/>
                <w:sz w:val="22"/>
                <w:szCs w:val="22"/>
                <w:lang w:eastAsia="en-GB"/>
              </w:rPr>
              <w:t xml:space="preserve"> methanogenesis</w:t>
            </w:r>
          </w:p>
        </w:tc>
      </w:tr>
      <w:tr w:rsidR="00436CD0" w:rsidRPr="00C44D8C" w14:paraId="0E8092BE" w14:textId="77777777" w:rsidTr="002B29E5">
        <w:trPr>
          <w:trHeight w:val="290"/>
        </w:trPr>
        <w:tc>
          <w:tcPr>
            <w:tcW w:w="912" w:type="pct"/>
            <w:tcBorders>
              <w:top w:val="nil"/>
              <w:left w:val="nil"/>
              <w:bottom w:val="nil"/>
              <w:right w:val="nil"/>
            </w:tcBorders>
            <w:shd w:val="clear" w:color="auto" w:fill="auto"/>
            <w:noWrap/>
            <w:hideMark/>
          </w:tcPr>
          <w:p w14:paraId="600027F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Mbar_A1256</w:t>
            </w:r>
          </w:p>
        </w:tc>
        <w:tc>
          <w:tcPr>
            <w:tcW w:w="3278" w:type="pct"/>
            <w:tcBorders>
              <w:top w:val="nil"/>
              <w:left w:val="nil"/>
              <w:bottom w:val="nil"/>
              <w:right w:val="nil"/>
            </w:tcBorders>
            <w:shd w:val="clear" w:color="auto" w:fill="auto"/>
            <w:noWrap/>
            <w:hideMark/>
          </w:tcPr>
          <w:p w14:paraId="010B562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Tetrahydromethanopterin S-methyltransferase subunit G </w:t>
            </w:r>
          </w:p>
        </w:tc>
        <w:tc>
          <w:tcPr>
            <w:tcW w:w="809" w:type="pct"/>
            <w:gridSpan w:val="2"/>
            <w:tcBorders>
              <w:top w:val="nil"/>
              <w:left w:val="nil"/>
              <w:bottom w:val="nil"/>
              <w:right w:val="nil"/>
            </w:tcBorders>
            <w:shd w:val="clear" w:color="auto" w:fill="auto"/>
            <w:noWrap/>
            <w:hideMark/>
          </w:tcPr>
          <w:p w14:paraId="2AF4DAF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2.24</w:t>
            </w:r>
          </w:p>
        </w:tc>
      </w:tr>
      <w:tr w:rsidR="00436CD0" w:rsidRPr="00C44D8C" w14:paraId="67C29513" w14:textId="77777777" w:rsidTr="002B29E5">
        <w:trPr>
          <w:trHeight w:val="290"/>
        </w:trPr>
        <w:tc>
          <w:tcPr>
            <w:tcW w:w="912" w:type="pct"/>
            <w:tcBorders>
              <w:top w:val="nil"/>
              <w:left w:val="nil"/>
              <w:bottom w:val="nil"/>
              <w:right w:val="nil"/>
            </w:tcBorders>
            <w:shd w:val="clear" w:color="auto" w:fill="auto"/>
            <w:noWrap/>
            <w:hideMark/>
          </w:tcPr>
          <w:p w14:paraId="758A48A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Mbar_A2923</w:t>
            </w:r>
          </w:p>
        </w:tc>
        <w:tc>
          <w:tcPr>
            <w:tcW w:w="3278" w:type="pct"/>
            <w:tcBorders>
              <w:top w:val="nil"/>
              <w:left w:val="nil"/>
              <w:bottom w:val="nil"/>
              <w:right w:val="nil"/>
            </w:tcBorders>
            <w:shd w:val="clear" w:color="auto" w:fill="auto"/>
            <w:noWrap/>
            <w:hideMark/>
          </w:tcPr>
          <w:p w14:paraId="5512AEC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Formylmethanofuran dehydrogenase, subunit D</w:t>
            </w:r>
          </w:p>
        </w:tc>
        <w:tc>
          <w:tcPr>
            <w:tcW w:w="809" w:type="pct"/>
            <w:gridSpan w:val="2"/>
            <w:tcBorders>
              <w:top w:val="nil"/>
              <w:left w:val="nil"/>
              <w:bottom w:val="nil"/>
              <w:right w:val="nil"/>
            </w:tcBorders>
            <w:shd w:val="clear" w:color="auto" w:fill="auto"/>
            <w:noWrap/>
            <w:hideMark/>
          </w:tcPr>
          <w:p w14:paraId="48C925F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2.20</w:t>
            </w:r>
          </w:p>
        </w:tc>
      </w:tr>
      <w:tr w:rsidR="00436CD0" w:rsidRPr="00C44D8C" w14:paraId="2C0AD81F" w14:textId="77777777" w:rsidTr="002B29E5">
        <w:trPr>
          <w:trHeight w:val="290"/>
        </w:trPr>
        <w:tc>
          <w:tcPr>
            <w:tcW w:w="912" w:type="pct"/>
            <w:tcBorders>
              <w:top w:val="nil"/>
              <w:left w:val="nil"/>
              <w:bottom w:val="nil"/>
              <w:right w:val="nil"/>
            </w:tcBorders>
            <w:shd w:val="clear" w:color="auto" w:fill="auto"/>
            <w:noWrap/>
            <w:hideMark/>
          </w:tcPr>
          <w:p w14:paraId="2EDDEF0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Mbar_A1845</w:t>
            </w:r>
          </w:p>
        </w:tc>
        <w:tc>
          <w:tcPr>
            <w:tcW w:w="3278" w:type="pct"/>
            <w:tcBorders>
              <w:top w:val="nil"/>
              <w:left w:val="nil"/>
              <w:bottom w:val="nil"/>
              <w:right w:val="nil"/>
            </w:tcBorders>
            <w:shd w:val="clear" w:color="auto" w:fill="auto"/>
            <w:noWrap/>
            <w:hideMark/>
          </w:tcPr>
          <w:p w14:paraId="132742A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Methanophenazine-reducing hydrogenase, cytochrome B subunit </w:t>
            </w:r>
          </w:p>
        </w:tc>
        <w:tc>
          <w:tcPr>
            <w:tcW w:w="809" w:type="pct"/>
            <w:gridSpan w:val="2"/>
            <w:tcBorders>
              <w:top w:val="nil"/>
              <w:left w:val="nil"/>
              <w:bottom w:val="nil"/>
              <w:right w:val="nil"/>
            </w:tcBorders>
            <w:shd w:val="clear" w:color="auto" w:fill="auto"/>
            <w:noWrap/>
            <w:hideMark/>
          </w:tcPr>
          <w:p w14:paraId="6433A34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2.16</w:t>
            </w:r>
          </w:p>
        </w:tc>
      </w:tr>
      <w:tr w:rsidR="00436CD0" w:rsidRPr="00C44D8C" w14:paraId="2DC40E01" w14:textId="77777777" w:rsidTr="002B29E5">
        <w:trPr>
          <w:trHeight w:val="290"/>
        </w:trPr>
        <w:tc>
          <w:tcPr>
            <w:tcW w:w="912" w:type="pct"/>
            <w:tcBorders>
              <w:top w:val="nil"/>
              <w:left w:val="nil"/>
              <w:bottom w:val="nil"/>
              <w:right w:val="nil"/>
            </w:tcBorders>
            <w:shd w:val="clear" w:color="auto" w:fill="auto"/>
            <w:noWrap/>
            <w:hideMark/>
          </w:tcPr>
          <w:p w14:paraId="3711D92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Mbar_A2233</w:t>
            </w:r>
          </w:p>
        </w:tc>
        <w:tc>
          <w:tcPr>
            <w:tcW w:w="3278" w:type="pct"/>
            <w:tcBorders>
              <w:top w:val="nil"/>
              <w:left w:val="nil"/>
              <w:bottom w:val="nil"/>
              <w:right w:val="nil"/>
            </w:tcBorders>
            <w:shd w:val="clear" w:color="auto" w:fill="auto"/>
            <w:noWrap/>
            <w:hideMark/>
          </w:tcPr>
          <w:p w14:paraId="42C3A5D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Methenyltetrahydromethanopterin cyclohydrolase </w:t>
            </w:r>
          </w:p>
        </w:tc>
        <w:tc>
          <w:tcPr>
            <w:tcW w:w="809" w:type="pct"/>
            <w:gridSpan w:val="2"/>
            <w:tcBorders>
              <w:top w:val="nil"/>
              <w:left w:val="nil"/>
              <w:bottom w:val="nil"/>
              <w:right w:val="nil"/>
            </w:tcBorders>
            <w:shd w:val="clear" w:color="auto" w:fill="auto"/>
            <w:noWrap/>
            <w:hideMark/>
          </w:tcPr>
          <w:p w14:paraId="66BE4E0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2.05</w:t>
            </w:r>
          </w:p>
        </w:tc>
      </w:tr>
      <w:tr w:rsidR="00436CD0" w:rsidRPr="00C44D8C" w14:paraId="582C475F" w14:textId="77777777" w:rsidTr="002B29E5">
        <w:trPr>
          <w:trHeight w:val="290"/>
        </w:trPr>
        <w:tc>
          <w:tcPr>
            <w:tcW w:w="912" w:type="pct"/>
            <w:tcBorders>
              <w:top w:val="nil"/>
              <w:left w:val="nil"/>
              <w:bottom w:val="nil"/>
              <w:right w:val="nil"/>
            </w:tcBorders>
            <w:shd w:val="clear" w:color="auto" w:fill="auto"/>
            <w:noWrap/>
            <w:hideMark/>
          </w:tcPr>
          <w:p w14:paraId="5559FD5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Mbar_A1292</w:t>
            </w:r>
          </w:p>
        </w:tc>
        <w:tc>
          <w:tcPr>
            <w:tcW w:w="3278" w:type="pct"/>
            <w:tcBorders>
              <w:top w:val="nil"/>
              <w:left w:val="nil"/>
              <w:bottom w:val="nil"/>
              <w:right w:val="nil"/>
            </w:tcBorders>
            <w:shd w:val="clear" w:color="auto" w:fill="auto"/>
            <w:noWrap/>
            <w:hideMark/>
          </w:tcPr>
          <w:p w14:paraId="7858457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Formylmethanofuran dehydrogenase, subunit B </w:t>
            </w:r>
          </w:p>
        </w:tc>
        <w:tc>
          <w:tcPr>
            <w:tcW w:w="809" w:type="pct"/>
            <w:gridSpan w:val="2"/>
            <w:tcBorders>
              <w:top w:val="nil"/>
              <w:left w:val="nil"/>
              <w:bottom w:val="nil"/>
              <w:right w:val="nil"/>
            </w:tcBorders>
            <w:shd w:val="clear" w:color="auto" w:fill="auto"/>
            <w:noWrap/>
            <w:hideMark/>
          </w:tcPr>
          <w:p w14:paraId="6D6F0C0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2.01</w:t>
            </w:r>
          </w:p>
        </w:tc>
      </w:tr>
      <w:tr w:rsidR="00436CD0" w:rsidRPr="00C44D8C" w14:paraId="46C6F0C6" w14:textId="77777777" w:rsidTr="002B29E5">
        <w:trPr>
          <w:trHeight w:val="290"/>
        </w:trPr>
        <w:tc>
          <w:tcPr>
            <w:tcW w:w="912" w:type="pct"/>
            <w:tcBorders>
              <w:top w:val="nil"/>
              <w:left w:val="nil"/>
              <w:bottom w:val="nil"/>
              <w:right w:val="nil"/>
            </w:tcBorders>
            <w:shd w:val="clear" w:color="auto" w:fill="auto"/>
            <w:noWrap/>
            <w:hideMark/>
          </w:tcPr>
          <w:p w14:paraId="35BAEC9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Mbar_A0980</w:t>
            </w:r>
          </w:p>
        </w:tc>
        <w:tc>
          <w:tcPr>
            <w:tcW w:w="3278" w:type="pct"/>
            <w:tcBorders>
              <w:top w:val="nil"/>
              <w:left w:val="nil"/>
              <w:bottom w:val="nil"/>
              <w:right w:val="nil"/>
            </w:tcBorders>
            <w:shd w:val="clear" w:color="auto" w:fill="auto"/>
            <w:noWrap/>
            <w:hideMark/>
          </w:tcPr>
          <w:p w14:paraId="5F1337F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Formylmethanofuran--tetrahydromethanopterin formyltransferase </w:t>
            </w:r>
          </w:p>
        </w:tc>
        <w:tc>
          <w:tcPr>
            <w:tcW w:w="809" w:type="pct"/>
            <w:gridSpan w:val="2"/>
            <w:tcBorders>
              <w:top w:val="nil"/>
              <w:left w:val="nil"/>
              <w:bottom w:val="nil"/>
              <w:right w:val="nil"/>
            </w:tcBorders>
            <w:shd w:val="clear" w:color="auto" w:fill="auto"/>
            <w:noWrap/>
            <w:hideMark/>
          </w:tcPr>
          <w:p w14:paraId="7F56FA2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1.93</w:t>
            </w:r>
          </w:p>
        </w:tc>
      </w:tr>
      <w:tr w:rsidR="00436CD0" w:rsidRPr="00C44D8C" w14:paraId="069762AA" w14:textId="77777777" w:rsidTr="002B29E5">
        <w:trPr>
          <w:trHeight w:val="290"/>
        </w:trPr>
        <w:tc>
          <w:tcPr>
            <w:tcW w:w="912" w:type="pct"/>
            <w:tcBorders>
              <w:top w:val="nil"/>
              <w:left w:val="nil"/>
              <w:bottom w:val="nil"/>
              <w:right w:val="nil"/>
            </w:tcBorders>
            <w:shd w:val="clear" w:color="auto" w:fill="auto"/>
            <w:noWrap/>
            <w:hideMark/>
          </w:tcPr>
          <w:p w14:paraId="590FB0A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Mbar_A1288</w:t>
            </w:r>
          </w:p>
        </w:tc>
        <w:tc>
          <w:tcPr>
            <w:tcW w:w="3278" w:type="pct"/>
            <w:tcBorders>
              <w:top w:val="nil"/>
              <w:left w:val="nil"/>
              <w:bottom w:val="nil"/>
              <w:right w:val="nil"/>
            </w:tcBorders>
            <w:shd w:val="clear" w:color="auto" w:fill="auto"/>
            <w:noWrap/>
            <w:hideMark/>
          </w:tcPr>
          <w:p w14:paraId="49F9A10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Formylmethanofuran dehydrogenase, subunit F </w:t>
            </w:r>
          </w:p>
        </w:tc>
        <w:tc>
          <w:tcPr>
            <w:tcW w:w="809" w:type="pct"/>
            <w:gridSpan w:val="2"/>
            <w:tcBorders>
              <w:top w:val="nil"/>
              <w:left w:val="nil"/>
              <w:bottom w:val="nil"/>
              <w:right w:val="nil"/>
            </w:tcBorders>
            <w:shd w:val="clear" w:color="auto" w:fill="auto"/>
            <w:noWrap/>
            <w:hideMark/>
          </w:tcPr>
          <w:p w14:paraId="08A394F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1.92</w:t>
            </w:r>
          </w:p>
        </w:tc>
      </w:tr>
      <w:tr w:rsidR="00436CD0" w:rsidRPr="00C44D8C" w14:paraId="00ADB28A" w14:textId="77777777" w:rsidTr="002B29E5">
        <w:trPr>
          <w:trHeight w:val="290"/>
        </w:trPr>
        <w:tc>
          <w:tcPr>
            <w:tcW w:w="912" w:type="pct"/>
            <w:tcBorders>
              <w:top w:val="nil"/>
              <w:left w:val="nil"/>
              <w:bottom w:val="nil"/>
              <w:right w:val="nil"/>
            </w:tcBorders>
            <w:shd w:val="clear" w:color="auto" w:fill="auto"/>
            <w:noWrap/>
            <w:hideMark/>
          </w:tcPr>
          <w:p w14:paraId="78B0C26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Mbar_A1095</w:t>
            </w:r>
          </w:p>
        </w:tc>
        <w:tc>
          <w:tcPr>
            <w:tcW w:w="3278" w:type="pct"/>
            <w:tcBorders>
              <w:top w:val="nil"/>
              <w:left w:val="nil"/>
              <w:bottom w:val="nil"/>
              <w:right w:val="nil"/>
            </w:tcBorders>
            <w:shd w:val="clear" w:color="auto" w:fill="auto"/>
            <w:noWrap/>
            <w:hideMark/>
          </w:tcPr>
          <w:p w14:paraId="302022B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F</w:t>
            </w:r>
            <w:r w:rsidRPr="00C44D8C">
              <w:rPr>
                <w:rFonts w:asciiTheme="minorHAnsi" w:hAnsiTheme="minorHAnsi"/>
                <w:color w:val="000000"/>
                <w:sz w:val="22"/>
                <w:szCs w:val="22"/>
                <w:vertAlign w:val="subscript"/>
                <w:lang w:eastAsia="en-GB"/>
              </w:rPr>
              <w:t>420</w:t>
            </w:r>
            <w:r w:rsidRPr="00C44D8C">
              <w:rPr>
                <w:rFonts w:asciiTheme="minorHAnsi" w:hAnsiTheme="minorHAnsi"/>
                <w:color w:val="000000"/>
                <w:sz w:val="22"/>
                <w:szCs w:val="22"/>
                <w:lang w:eastAsia="en-GB"/>
              </w:rPr>
              <w:t xml:space="preserve">-dependent methylenetetrahydromethanopterin dehydrogenase </w:t>
            </w:r>
          </w:p>
        </w:tc>
        <w:tc>
          <w:tcPr>
            <w:tcW w:w="809" w:type="pct"/>
            <w:gridSpan w:val="2"/>
            <w:tcBorders>
              <w:top w:val="nil"/>
              <w:left w:val="nil"/>
              <w:bottom w:val="nil"/>
              <w:right w:val="nil"/>
            </w:tcBorders>
            <w:shd w:val="clear" w:color="auto" w:fill="auto"/>
            <w:noWrap/>
            <w:hideMark/>
          </w:tcPr>
          <w:p w14:paraId="5BE1CE2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1.89</w:t>
            </w:r>
          </w:p>
        </w:tc>
      </w:tr>
      <w:tr w:rsidR="00436CD0" w:rsidRPr="00C44D8C" w14:paraId="56869052" w14:textId="77777777" w:rsidTr="002B29E5">
        <w:trPr>
          <w:trHeight w:val="290"/>
        </w:trPr>
        <w:tc>
          <w:tcPr>
            <w:tcW w:w="912" w:type="pct"/>
            <w:tcBorders>
              <w:top w:val="nil"/>
              <w:left w:val="nil"/>
              <w:bottom w:val="nil"/>
              <w:right w:val="nil"/>
            </w:tcBorders>
            <w:shd w:val="clear" w:color="auto" w:fill="auto"/>
            <w:noWrap/>
            <w:hideMark/>
          </w:tcPr>
          <w:p w14:paraId="22A716D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Mbar_A1290</w:t>
            </w:r>
          </w:p>
        </w:tc>
        <w:tc>
          <w:tcPr>
            <w:tcW w:w="3278" w:type="pct"/>
            <w:tcBorders>
              <w:top w:val="nil"/>
              <w:left w:val="nil"/>
              <w:bottom w:val="nil"/>
              <w:right w:val="nil"/>
            </w:tcBorders>
            <w:shd w:val="clear" w:color="auto" w:fill="auto"/>
            <w:noWrap/>
            <w:hideMark/>
          </w:tcPr>
          <w:p w14:paraId="7F245DF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Molybdenum-containing formylmethanofuran dehydrogenase 1 subunit C </w:t>
            </w:r>
          </w:p>
        </w:tc>
        <w:tc>
          <w:tcPr>
            <w:tcW w:w="809" w:type="pct"/>
            <w:gridSpan w:val="2"/>
            <w:tcBorders>
              <w:top w:val="nil"/>
              <w:left w:val="nil"/>
              <w:bottom w:val="nil"/>
              <w:right w:val="nil"/>
            </w:tcBorders>
            <w:shd w:val="clear" w:color="auto" w:fill="auto"/>
            <w:noWrap/>
            <w:hideMark/>
          </w:tcPr>
          <w:p w14:paraId="3134ED7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76AAF8DB" w14:textId="77777777" w:rsidTr="002B29E5">
        <w:trPr>
          <w:trHeight w:val="290"/>
        </w:trPr>
        <w:tc>
          <w:tcPr>
            <w:tcW w:w="912" w:type="pct"/>
            <w:tcBorders>
              <w:top w:val="nil"/>
              <w:left w:val="nil"/>
              <w:bottom w:val="nil"/>
              <w:right w:val="nil"/>
            </w:tcBorders>
            <w:shd w:val="clear" w:color="auto" w:fill="auto"/>
            <w:noWrap/>
            <w:hideMark/>
          </w:tcPr>
          <w:p w14:paraId="035B8C6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Mbar_A1289</w:t>
            </w:r>
          </w:p>
        </w:tc>
        <w:tc>
          <w:tcPr>
            <w:tcW w:w="3278" w:type="pct"/>
            <w:tcBorders>
              <w:top w:val="nil"/>
              <w:left w:val="nil"/>
              <w:bottom w:val="nil"/>
              <w:right w:val="nil"/>
            </w:tcBorders>
            <w:shd w:val="clear" w:color="auto" w:fill="auto"/>
            <w:noWrap/>
            <w:hideMark/>
          </w:tcPr>
          <w:p w14:paraId="6A272E5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Formylmethanofuran dehydrogenase, subunit A</w:t>
            </w:r>
          </w:p>
        </w:tc>
        <w:tc>
          <w:tcPr>
            <w:tcW w:w="809" w:type="pct"/>
            <w:gridSpan w:val="2"/>
            <w:tcBorders>
              <w:top w:val="nil"/>
              <w:left w:val="nil"/>
              <w:bottom w:val="nil"/>
              <w:right w:val="nil"/>
            </w:tcBorders>
            <w:shd w:val="clear" w:color="auto" w:fill="auto"/>
            <w:noWrap/>
            <w:hideMark/>
          </w:tcPr>
          <w:p w14:paraId="7C2A1D1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1.72</w:t>
            </w:r>
          </w:p>
        </w:tc>
      </w:tr>
      <w:tr w:rsidR="00436CD0" w:rsidRPr="00C44D8C" w14:paraId="7176A840" w14:textId="77777777" w:rsidTr="002B29E5">
        <w:trPr>
          <w:trHeight w:val="290"/>
        </w:trPr>
        <w:tc>
          <w:tcPr>
            <w:tcW w:w="912" w:type="pct"/>
            <w:tcBorders>
              <w:top w:val="nil"/>
              <w:left w:val="nil"/>
              <w:bottom w:val="nil"/>
              <w:right w:val="nil"/>
            </w:tcBorders>
            <w:shd w:val="clear" w:color="auto" w:fill="auto"/>
            <w:noWrap/>
            <w:hideMark/>
          </w:tcPr>
          <w:p w14:paraId="1819F35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Mbar_A1287</w:t>
            </w:r>
          </w:p>
        </w:tc>
        <w:tc>
          <w:tcPr>
            <w:tcW w:w="3278" w:type="pct"/>
            <w:tcBorders>
              <w:top w:val="nil"/>
              <w:left w:val="nil"/>
              <w:bottom w:val="nil"/>
              <w:right w:val="nil"/>
            </w:tcBorders>
            <w:shd w:val="clear" w:color="auto" w:fill="auto"/>
            <w:noWrap/>
            <w:hideMark/>
          </w:tcPr>
          <w:p w14:paraId="36999F0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Formylmethanofuran dehydrogenase, subunit E </w:t>
            </w:r>
          </w:p>
        </w:tc>
        <w:tc>
          <w:tcPr>
            <w:tcW w:w="809" w:type="pct"/>
            <w:gridSpan w:val="2"/>
            <w:tcBorders>
              <w:top w:val="nil"/>
              <w:left w:val="nil"/>
              <w:bottom w:val="nil"/>
              <w:right w:val="nil"/>
            </w:tcBorders>
            <w:shd w:val="clear" w:color="auto" w:fill="auto"/>
            <w:noWrap/>
            <w:hideMark/>
          </w:tcPr>
          <w:p w14:paraId="3E76DFD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1.69</w:t>
            </w:r>
          </w:p>
        </w:tc>
      </w:tr>
      <w:tr w:rsidR="00436CD0" w:rsidRPr="00C44D8C" w14:paraId="72A19D95" w14:textId="77777777" w:rsidTr="002B29E5">
        <w:trPr>
          <w:trHeight w:val="290"/>
        </w:trPr>
        <w:tc>
          <w:tcPr>
            <w:tcW w:w="912" w:type="pct"/>
            <w:tcBorders>
              <w:top w:val="nil"/>
              <w:left w:val="nil"/>
              <w:bottom w:val="nil"/>
              <w:right w:val="nil"/>
            </w:tcBorders>
            <w:shd w:val="clear" w:color="auto" w:fill="auto"/>
            <w:noWrap/>
            <w:hideMark/>
          </w:tcPr>
          <w:p w14:paraId="70219B5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Mbar_A2922</w:t>
            </w:r>
          </w:p>
        </w:tc>
        <w:tc>
          <w:tcPr>
            <w:tcW w:w="3278" w:type="pct"/>
            <w:tcBorders>
              <w:top w:val="nil"/>
              <w:left w:val="nil"/>
              <w:bottom w:val="nil"/>
              <w:right w:val="nil"/>
            </w:tcBorders>
            <w:shd w:val="clear" w:color="auto" w:fill="auto"/>
            <w:noWrap/>
            <w:hideMark/>
          </w:tcPr>
          <w:p w14:paraId="5450DDE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Formylmethanofuran dehydrogenase, subunit B </w:t>
            </w:r>
          </w:p>
        </w:tc>
        <w:tc>
          <w:tcPr>
            <w:tcW w:w="809" w:type="pct"/>
            <w:gridSpan w:val="2"/>
            <w:tcBorders>
              <w:top w:val="nil"/>
              <w:left w:val="nil"/>
              <w:bottom w:val="nil"/>
              <w:right w:val="nil"/>
            </w:tcBorders>
            <w:shd w:val="clear" w:color="auto" w:fill="auto"/>
            <w:noWrap/>
            <w:hideMark/>
          </w:tcPr>
          <w:p w14:paraId="3D5EA30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1.67</w:t>
            </w:r>
          </w:p>
        </w:tc>
      </w:tr>
      <w:tr w:rsidR="00436CD0" w:rsidRPr="00C44D8C" w14:paraId="513593F2" w14:textId="77777777" w:rsidTr="002B29E5">
        <w:trPr>
          <w:trHeight w:val="290"/>
        </w:trPr>
        <w:tc>
          <w:tcPr>
            <w:tcW w:w="912" w:type="pct"/>
            <w:tcBorders>
              <w:top w:val="nil"/>
              <w:left w:val="nil"/>
              <w:bottom w:val="nil"/>
              <w:right w:val="nil"/>
            </w:tcBorders>
            <w:shd w:val="clear" w:color="auto" w:fill="auto"/>
            <w:noWrap/>
            <w:hideMark/>
          </w:tcPr>
          <w:p w14:paraId="3D274CF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Mbar_A2589</w:t>
            </w:r>
          </w:p>
        </w:tc>
        <w:tc>
          <w:tcPr>
            <w:tcW w:w="3278" w:type="pct"/>
            <w:tcBorders>
              <w:top w:val="nil"/>
              <w:left w:val="nil"/>
              <w:bottom w:val="nil"/>
              <w:right w:val="nil"/>
            </w:tcBorders>
            <w:shd w:val="clear" w:color="auto" w:fill="auto"/>
            <w:noWrap/>
            <w:hideMark/>
          </w:tcPr>
          <w:p w14:paraId="27C1B3D2" w14:textId="77777777" w:rsidR="00436CD0" w:rsidRPr="00C44D8C" w:rsidRDefault="00436CD0" w:rsidP="00436CD0">
            <w:pPr>
              <w:rPr>
                <w:rFonts w:asciiTheme="minorHAnsi" w:hAnsiTheme="minorHAnsi"/>
                <w:color w:val="000000"/>
                <w:sz w:val="22"/>
                <w:szCs w:val="22"/>
                <w:lang w:val="pt-PT" w:eastAsia="en-GB"/>
              </w:rPr>
            </w:pPr>
            <w:r w:rsidRPr="00C44D8C">
              <w:rPr>
                <w:rFonts w:asciiTheme="minorHAnsi" w:hAnsiTheme="minorHAnsi"/>
                <w:color w:val="000000"/>
                <w:sz w:val="22"/>
                <w:szCs w:val="22"/>
                <w:lang w:val="pt-PT" w:eastAsia="en-GB"/>
              </w:rPr>
              <w:t>CoB--CoM heterodisulfide reductase subunit A</w:t>
            </w:r>
          </w:p>
        </w:tc>
        <w:tc>
          <w:tcPr>
            <w:tcW w:w="809" w:type="pct"/>
            <w:gridSpan w:val="2"/>
            <w:tcBorders>
              <w:top w:val="nil"/>
              <w:left w:val="nil"/>
              <w:bottom w:val="nil"/>
              <w:right w:val="nil"/>
            </w:tcBorders>
            <w:shd w:val="clear" w:color="auto" w:fill="auto"/>
            <w:noWrap/>
            <w:hideMark/>
          </w:tcPr>
          <w:p w14:paraId="4D1C495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1.65</w:t>
            </w:r>
          </w:p>
        </w:tc>
      </w:tr>
      <w:tr w:rsidR="00436CD0" w:rsidRPr="00C44D8C" w14:paraId="5B338F4C" w14:textId="77777777" w:rsidTr="002B29E5">
        <w:trPr>
          <w:trHeight w:val="290"/>
        </w:trPr>
        <w:tc>
          <w:tcPr>
            <w:tcW w:w="912" w:type="pct"/>
            <w:tcBorders>
              <w:top w:val="nil"/>
              <w:left w:val="nil"/>
              <w:bottom w:val="nil"/>
              <w:right w:val="nil"/>
            </w:tcBorders>
            <w:shd w:val="clear" w:color="auto" w:fill="auto"/>
            <w:noWrap/>
            <w:hideMark/>
          </w:tcPr>
          <w:p w14:paraId="0F799DD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Mbar_A0662</w:t>
            </w:r>
          </w:p>
        </w:tc>
        <w:tc>
          <w:tcPr>
            <w:tcW w:w="3278" w:type="pct"/>
            <w:tcBorders>
              <w:top w:val="nil"/>
              <w:left w:val="nil"/>
              <w:bottom w:val="nil"/>
              <w:right w:val="nil"/>
            </w:tcBorders>
            <w:shd w:val="clear" w:color="auto" w:fill="auto"/>
            <w:noWrap/>
            <w:hideMark/>
          </w:tcPr>
          <w:p w14:paraId="47A9A67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Coenzyme F</w:t>
            </w:r>
            <w:r w:rsidRPr="00C44D8C">
              <w:rPr>
                <w:rFonts w:asciiTheme="minorHAnsi" w:hAnsiTheme="minorHAnsi"/>
                <w:color w:val="000000"/>
                <w:sz w:val="22"/>
                <w:szCs w:val="22"/>
                <w:vertAlign w:val="subscript"/>
                <w:lang w:eastAsia="en-GB"/>
              </w:rPr>
              <w:t>420</w:t>
            </w:r>
            <w:r w:rsidRPr="00C44D8C">
              <w:rPr>
                <w:rFonts w:asciiTheme="minorHAnsi" w:hAnsiTheme="minorHAnsi"/>
                <w:color w:val="000000"/>
                <w:sz w:val="22"/>
                <w:szCs w:val="22"/>
                <w:lang w:eastAsia="en-GB"/>
              </w:rPr>
              <w:t xml:space="preserve"> hydrogenase beta subunit</w:t>
            </w:r>
          </w:p>
        </w:tc>
        <w:tc>
          <w:tcPr>
            <w:tcW w:w="809" w:type="pct"/>
            <w:gridSpan w:val="2"/>
            <w:tcBorders>
              <w:top w:val="nil"/>
              <w:left w:val="nil"/>
              <w:bottom w:val="nil"/>
              <w:right w:val="nil"/>
            </w:tcBorders>
            <w:shd w:val="clear" w:color="auto" w:fill="auto"/>
            <w:noWrap/>
            <w:hideMark/>
          </w:tcPr>
          <w:p w14:paraId="5263D6C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1.60</w:t>
            </w:r>
          </w:p>
        </w:tc>
      </w:tr>
      <w:tr w:rsidR="00436CD0" w:rsidRPr="00C44D8C" w14:paraId="21E2E97B" w14:textId="77777777" w:rsidTr="002B29E5">
        <w:trPr>
          <w:trHeight w:val="290"/>
        </w:trPr>
        <w:tc>
          <w:tcPr>
            <w:tcW w:w="912" w:type="pct"/>
            <w:tcBorders>
              <w:top w:val="nil"/>
              <w:left w:val="nil"/>
              <w:bottom w:val="nil"/>
              <w:right w:val="nil"/>
            </w:tcBorders>
            <w:shd w:val="clear" w:color="auto" w:fill="auto"/>
            <w:noWrap/>
            <w:hideMark/>
          </w:tcPr>
          <w:p w14:paraId="640D2BE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Mbar_A0452</w:t>
            </w:r>
          </w:p>
        </w:tc>
        <w:tc>
          <w:tcPr>
            <w:tcW w:w="3278" w:type="pct"/>
            <w:tcBorders>
              <w:top w:val="nil"/>
              <w:left w:val="nil"/>
              <w:bottom w:val="nil"/>
              <w:right w:val="nil"/>
            </w:tcBorders>
            <w:shd w:val="clear" w:color="auto" w:fill="auto"/>
            <w:noWrap/>
            <w:hideMark/>
          </w:tcPr>
          <w:p w14:paraId="6859255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Coenzyme F</w:t>
            </w:r>
            <w:r w:rsidRPr="00C44D8C">
              <w:rPr>
                <w:rFonts w:asciiTheme="minorHAnsi" w:hAnsiTheme="minorHAnsi"/>
                <w:color w:val="000000"/>
                <w:sz w:val="22"/>
                <w:szCs w:val="22"/>
                <w:vertAlign w:val="subscript"/>
                <w:lang w:eastAsia="en-GB"/>
              </w:rPr>
              <w:t>420</w:t>
            </w:r>
            <w:r w:rsidRPr="00C44D8C">
              <w:rPr>
                <w:rFonts w:asciiTheme="minorHAnsi" w:hAnsiTheme="minorHAnsi"/>
                <w:color w:val="000000"/>
                <w:sz w:val="22"/>
                <w:szCs w:val="22"/>
                <w:lang w:eastAsia="en-GB"/>
              </w:rPr>
              <w:t xml:space="preserve"> hydrogenase subunit alpha</w:t>
            </w:r>
          </w:p>
        </w:tc>
        <w:tc>
          <w:tcPr>
            <w:tcW w:w="809" w:type="pct"/>
            <w:gridSpan w:val="2"/>
            <w:tcBorders>
              <w:top w:val="nil"/>
              <w:left w:val="nil"/>
              <w:bottom w:val="nil"/>
              <w:right w:val="nil"/>
            </w:tcBorders>
            <w:shd w:val="clear" w:color="auto" w:fill="auto"/>
            <w:noWrap/>
            <w:hideMark/>
          </w:tcPr>
          <w:p w14:paraId="3EFA42D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1.39</w:t>
            </w:r>
          </w:p>
        </w:tc>
      </w:tr>
      <w:tr w:rsidR="00436CD0" w:rsidRPr="00C44D8C" w14:paraId="62BC6F87" w14:textId="77777777" w:rsidTr="002B29E5">
        <w:trPr>
          <w:trHeight w:val="290"/>
        </w:trPr>
        <w:tc>
          <w:tcPr>
            <w:tcW w:w="912" w:type="pct"/>
            <w:tcBorders>
              <w:top w:val="nil"/>
              <w:left w:val="nil"/>
              <w:bottom w:val="single" w:sz="4" w:space="0" w:color="auto"/>
              <w:right w:val="nil"/>
            </w:tcBorders>
            <w:shd w:val="clear" w:color="auto" w:fill="auto"/>
            <w:noWrap/>
            <w:hideMark/>
          </w:tcPr>
          <w:p w14:paraId="1923D01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3278" w:type="pct"/>
            <w:tcBorders>
              <w:top w:val="nil"/>
              <w:left w:val="nil"/>
              <w:bottom w:val="single" w:sz="4" w:space="0" w:color="auto"/>
              <w:right w:val="nil"/>
            </w:tcBorders>
            <w:shd w:val="clear" w:color="auto" w:fill="auto"/>
            <w:noWrap/>
            <w:hideMark/>
          </w:tcPr>
          <w:p w14:paraId="0DF2522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809" w:type="pct"/>
            <w:gridSpan w:val="2"/>
            <w:tcBorders>
              <w:top w:val="nil"/>
              <w:left w:val="nil"/>
              <w:bottom w:val="single" w:sz="4" w:space="0" w:color="auto"/>
              <w:right w:val="nil"/>
            </w:tcBorders>
            <w:shd w:val="clear" w:color="auto" w:fill="auto"/>
            <w:noWrap/>
            <w:hideMark/>
          </w:tcPr>
          <w:p w14:paraId="24476A0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r>
      <w:tr w:rsidR="00436CD0" w:rsidRPr="00C44D8C" w14:paraId="58248BD4" w14:textId="77777777" w:rsidTr="00436CD0">
        <w:trPr>
          <w:gridAfter w:val="1"/>
          <w:wAfter w:w="15" w:type="pct"/>
          <w:trHeight w:val="290"/>
        </w:trPr>
        <w:tc>
          <w:tcPr>
            <w:tcW w:w="4985" w:type="pct"/>
            <w:gridSpan w:val="3"/>
            <w:tcBorders>
              <w:top w:val="single" w:sz="4" w:space="0" w:color="auto"/>
              <w:left w:val="nil"/>
              <w:bottom w:val="nil"/>
              <w:right w:val="nil"/>
            </w:tcBorders>
            <w:shd w:val="clear" w:color="auto" w:fill="auto"/>
            <w:noWrap/>
            <w:hideMark/>
          </w:tcPr>
          <w:p w14:paraId="720F8314"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Common to all methanogenesis pathways</w:t>
            </w:r>
          </w:p>
        </w:tc>
      </w:tr>
      <w:tr w:rsidR="00436CD0" w:rsidRPr="00C44D8C" w14:paraId="6FD2488B" w14:textId="77777777" w:rsidTr="002B29E5">
        <w:trPr>
          <w:trHeight w:val="290"/>
        </w:trPr>
        <w:tc>
          <w:tcPr>
            <w:tcW w:w="912" w:type="pct"/>
            <w:tcBorders>
              <w:top w:val="nil"/>
              <w:left w:val="nil"/>
              <w:bottom w:val="nil"/>
              <w:right w:val="nil"/>
            </w:tcBorders>
            <w:shd w:val="clear" w:color="auto" w:fill="auto"/>
            <w:noWrap/>
            <w:hideMark/>
          </w:tcPr>
          <w:p w14:paraId="0D151DB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Mbar_A0202</w:t>
            </w:r>
          </w:p>
        </w:tc>
        <w:tc>
          <w:tcPr>
            <w:tcW w:w="3278" w:type="pct"/>
            <w:tcBorders>
              <w:top w:val="nil"/>
              <w:left w:val="nil"/>
              <w:bottom w:val="nil"/>
              <w:right w:val="nil"/>
            </w:tcBorders>
            <w:shd w:val="clear" w:color="auto" w:fill="auto"/>
            <w:noWrap/>
            <w:hideMark/>
          </w:tcPr>
          <w:p w14:paraId="7E216C7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Acetyl-CoA decarbonylase/synthase complex subunit beta </w:t>
            </w:r>
          </w:p>
        </w:tc>
        <w:tc>
          <w:tcPr>
            <w:tcW w:w="809" w:type="pct"/>
            <w:gridSpan w:val="2"/>
            <w:tcBorders>
              <w:top w:val="nil"/>
              <w:left w:val="nil"/>
              <w:bottom w:val="nil"/>
              <w:right w:val="nil"/>
            </w:tcBorders>
            <w:shd w:val="clear" w:color="auto" w:fill="auto"/>
            <w:noWrap/>
            <w:hideMark/>
          </w:tcPr>
          <w:p w14:paraId="634BD90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1.60</w:t>
            </w:r>
          </w:p>
        </w:tc>
      </w:tr>
      <w:tr w:rsidR="00436CD0" w:rsidRPr="00C44D8C" w14:paraId="3E73668C" w14:textId="77777777" w:rsidTr="002B29E5">
        <w:trPr>
          <w:trHeight w:val="290"/>
        </w:trPr>
        <w:tc>
          <w:tcPr>
            <w:tcW w:w="912" w:type="pct"/>
            <w:tcBorders>
              <w:top w:val="nil"/>
              <w:left w:val="nil"/>
              <w:bottom w:val="nil"/>
              <w:right w:val="nil"/>
            </w:tcBorders>
            <w:shd w:val="clear" w:color="auto" w:fill="auto"/>
            <w:noWrap/>
            <w:hideMark/>
          </w:tcPr>
          <w:p w14:paraId="7135FC9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Mbar_A0430</w:t>
            </w:r>
          </w:p>
        </w:tc>
        <w:tc>
          <w:tcPr>
            <w:tcW w:w="3278" w:type="pct"/>
            <w:tcBorders>
              <w:top w:val="nil"/>
              <w:left w:val="nil"/>
              <w:bottom w:val="nil"/>
              <w:right w:val="nil"/>
            </w:tcBorders>
            <w:shd w:val="clear" w:color="auto" w:fill="auto"/>
            <w:noWrap/>
            <w:hideMark/>
          </w:tcPr>
          <w:p w14:paraId="3F2950F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Acetyl-CoA decarbonylase/synthase complex subunit delta</w:t>
            </w:r>
          </w:p>
        </w:tc>
        <w:tc>
          <w:tcPr>
            <w:tcW w:w="809" w:type="pct"/>
            <w:gridSpan w:val="2"/>
            <w:tcBorders>
              <w:top w:val="nil"/>
              <w:left w:val="nil"/>
              <w:bottom w:val="nil"/>
              <w:right w:val="nil"/>
            </w:tcBorders>
            <w:shd w:val="clear" w:color="auto" w:fill="auto"/>
            <w:noWrap/>
            <w:hideMark/>
          </w:tcPr>
          <w:p w14:paraId="2F14725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1.54</w:t>
            </w:r>
          </w:p>
        </w:tc>
      </w:tr>
      <w:tr w:rsidR="00436CD0" w:rsidRPr="00C44D8C" w14:paraId="44593B62" w14:textId="77777777" w:rsidTr="002B29E5">
        <w:trPr>
          <w:trHeight w:val="290"/>
        </w:trPr>
        <w:tc>
          <w:tcPr>
            <w:tcW w:w="912" w:type="pct"/>
            <w:tcBorders>
              <w:top w:val="nil"/>
              <w:left w:val="nil"/>
              <w:bottom w:val="nil"/>
              <w:right w:val="nil"/>
            </w:tcBorders>
            <w:shd w:val="clear" w:color="auto" w:fill="auto"/>
            <w:noWrap/>
            <w:hideMark/>
          </w:tcPr>
          <w:p w14:paraId="6C31D4C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Mbar_A0148</w:t>
            </w:r>
          </w:p>
        </w:tc>
        <w:tc>
          <w:tcPr>
            <w:tcW w:w="3278" w:type="pct"/>
            <w:tcBorders>
              <w:top w:val="nil"/>
              <w:left w:val="nil"/>
              <w:bottom w:val="nil"/>
              <w:right w:val="nil"/>
            </w:tcBorders>
            <w:shd w:val="clear" w:color="auto" w:fill="auto"/>
            <w:noWrap/>
            <w:hideMark/>
          </w:tcPr>
          <w:p w14:paraId="4EBC16C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Ech hydrogenase subunit E</w:t>
            </w:r>
          </w:p>
        </w:tc>
        <w:tc>
          <w:tcPr>
            <w:tcW w:w="809" w:type="pct"/>
            <w:gridSpan w:val="2"/>
            <w:tcBorders>
              <w:top w:val="nil"/>
              <w:left w:val="nil"/>
              <w:bottom w:val="nil"/>
              <w:right w:val="nil"/>
            </w:tcBorders>
            <w:shd w:val="clear" w:color="auto" w:fill="auto"/>
            <w:noWrap/>
            <w:hideMark/>
          </w:tcPr>
          <w:p w14:paraId="20C1C2C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1A195F65" w14:textId="77777777" w:rsidTr="002B29E5">
        <w:trPr>
          <w:trHeight w:val="290"/>
        </w:trPr>
        <w:tc>
          <w:tcPr>
            <w:tcW w:w="912" w:type="pct"/>
            <w:tcBorders>
              <w:top w:val="nil"/>
              <w:left w:val="nil"/>
              <w:bottom w:val="nil"/>
              <w:right w:val="nil"/>
            </w:tcBorders>
            <w:shd w:val="clear" w:color="auto" w:fill="auto"/>
            <w:noWrap/>
            <w:hideMark/>
          </w:tcPr>
          <w:p w14:paraId="2E47ED3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Mbar_A0639</w:t>
            </w:r>
          </w:p>
        </w:tc>
        <w:tc>
          <w:tcPr>
            <w:tcW w:w="3278" w:type="pct"/>
            <w:tcBorders>
              <w:top w:val="nil"/>
              <w:left w:val="nil"/>
              <w:bottom w:val="nil"/>
              <w:right w:val="nil"/>
            </w:tcBorders>
            <w:shd w:val="clear" w:color="auto" w:fill="auto"/>
            <w:noWrap/>
            <w:hideMark/>
          </w:tcPr>
          <w:p w14:paraId="1863AC20" w14:textId="77777777" w:rsidR="00436CD0" w:rsidRPr="00C44D8C" w:rsidRDefault="00436CD0" w:rsidP="00436CD0">
            <w:pPr>
              <w:rPr>
                <w:rFonts w:asciiTheme="minorHAnsi" w:hAnsiTheme="minorHAnsi"/>
                <w:color w:val="000000"/>
                <w:sz w:val="22"/>
                <w:szCs w:val="22"/>
                <w:lang w:val="pt-PT" w:eastAsia="en-GB"/>
              </w:rPr>
            </w:pPr>
            <w:r w:rsidRPr="00C44D8C">
              <w:rPr>
                <w:rFonts w:asciiTheme="minorHAnsi" w:hAnsiTheme="minorHAnsi"/>
                <w:color w:val="000000"/>
                <w:sz w:val="22"/>
                <w:szCs w:val="22"/>
                <w:lang w:val="pt-PT" w:eastAsia="en-GB"/>
              </w:rPr>
              <w:t>CoB--CoM heterodisulfide reductase subunit B</w:t>
            </w:r>
          </w:p>
        </w:tc>
        <w:tc>
          <w:tcPr>
            <w:tcW w:w="809" w:type="pct"/>
            <w:gridSpan w:val="2"/>
            <w:tcBorders>
              <w:top w:val="nil"/>
              <w:left w:val="nil"/>
              <w:bottom w:val="nil"/>
              <w:right w:val="nil"/>
            </w:tcBorders>
            <w:shd w:val="clear" w:color="auto" w:fill="auto"/>
            <w:noWrap/>
            <w:hideMark/>
          </w:tcPr>
          <w:p w14:paraId="42CEFEF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2.11</w:t>
            </w:r>
          </w:p>
        </w:tc>
      </w:tr>
      <w:tr w:rsidR="00436CD0" w:rsidRPr="00C44D8C" w14:paraId="6289E917" w14:textId="77777777" w:rsidTr="002B29E5">
        <w:trPr>
          <w:trHeight w:val="290"/>
        </w:trPr>
        <w:tc>
          <w:tcPr>
            <w:tcW w:w="912" w:type="pct"/>
            <w:tcBorders>
              <w:top w:val="nil"/>
              <w:left w:val="nil"/>
              <w:bottom w:val="nil"/>
              <w:right w:val="nil"/>
            </w:tcBorders>
            <w:shd w:val="clear" w:color="auto" w:fill="auto"/>
            <w:noWrap/>
            <w:hideMark/>
          </w:tcPr>
          <w:p w14:paraId="0AC7B5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Mbar_A0254</w:t>
            </w:r>
          </w:p>
        </w:tc>
        <w:tc>
          <w:tcPr>
            <w:tcW w:w="3278" w:type="pct"/>
            <w:tcBorders>
              <w:top w:val="nil"/>
              <w:left w:val="nil"/>
              <w:bottom w:val="nil"/>
              <w:right w:val="nil"/>
            </w:tcBorders>
            <w:shd w:val="clear" w:color="auto" w:fill="auto"/>
            <w:noWrap/>
            <w:hideMark/>
          </w:tcPr>
          <w:p w14:paraId="2A96EC8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5,10-methylenetetrahydromethanopterin reductase </w:t>
            </w:r>
          </w:p>
        </w:tc>
        <w:tc>
          <w:tcPr>
            <w:tcW w:w="809" w:type="pct"/>
            <w:gridSpan w:val="2"/>
            <w:tcBorders>
              <w:top w:val="nil"/>
              <w:left w:val="nil"/>
              <w:bottom w:val="nil"/>
              <w:right w:val="nil"/>
            </w:tcBorders>
            <w:shd w:val="clear" w:color="auto" w:fill="auto"/>
            <w:noWrap/>
            <w:hideMark/>
          </w:tcPr>
          <w:p w14:paraId="7AFD4D4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2.10</w:t>
            </w:r>
          </w:p>
        </w:tc>
      </w:tr>
      <w:tr w:rsidR="00436CD0" w:rsidRPr="00C44D8C" w14:paraId="3C1DC754" w14:textId="77777777" w:rsidTr="002B29E5">
        <w:trPr>
          <w:trHeight w:val="290"/>
        </w:trPr>
        <w:tc>
          <w:tcPr>
            <w:tcW w:w="912" w:type="pct"/>
            <w:tcBorders>
              <w:top w:val="nil"/>
              <w:left w:val="nil"/>
              <w:bottom w:val="nil"/>
              <w:right w:val="nil"/>
            </w:tcBorders>
            <w:shd w:val="clear" w:color="auto" w:fill="auto"/>
            <w:noWrap/>
            <w:hideMark/>
          </w:tcPr>
          <w:p w14:paraId="5FC00AF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Mbar_A0894</w:t>
            </w:r>
          </w:p>
        </w:tc>
        <w:tc>
          <w:tcPr>
            <w:tcW w:w="3278" w:type="pct"/>
            <w:tcBorders>
              <w:top w:val="nil"/>
              <w:left w:val="nil"/>
              <w:bottom w:val="nil"/>
              <w:right w:val="nil"/>
            </w:tcBorders>
            <w:shd w:val="clear" w:color="auto" w:fill="auto"/>
            <w:noWrap/>
            <w:hideMark/>
          </w:tcPr>
          <w:p w14:paraId="6571B05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Methyl-coenzyme M reductase subunit gamma </w:t>
            </w:r>
          </w:p>
        </w:tc>
        <w:tc>
          <w:tcPr>
            <w:tcW w:w="809" w:type="pct"/>
            <w:gridSpan w:val="2"/>
            <w:tcBorders>
              <w:top w:val="nil"/>
              <w:left w:val="nil"/>
              <w:bottom w:val="nil"/>
              <w:right w:val="nil"/>
            </w:tcBorders>
            <w:shd w:val="clear" w:color="auto" w:fill="auto"/>
            <w:noWrap/>
            <w:hideMark/>
          </w:tcPr>
          <w:p w14:paraId="5587218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2.08</w:t>
            </w:r>
          </w:p>
        </w:tc>
      </w:tr>
      <w:tr w:rsidR="00436CD0" w:rsidRPr="00C44D8C" w14:paraId="682DC20E" w14:textId="77777777" w:rsidTr="002B29E5">
        <w:trPr>
          <w:trHeight w:val="290"/>
        </w:trPr>
        <w:tc>
          <w:tcPr>
            <w:tcW w:w="912" w:type="pct"/>
            <w:tcBorders>
              <w:top w:val="nil"/>
              <w:left w:val="nil"/>
              <w:bottom w:val="nil"/>
              <w:right w:val="nil"/>
            </w:tcBorders>
            <w:shd w:val="clear" w:color="auto" w:fill="auto"/>
            <w:noWrap/>
            <w:hideMark/>
          </w:tcPr>
          <w:p w14:paraId="5D74BD7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Mbar_A0676</w:t>
            </w:r>
          </w:p>
        </w:tc>
        <w:tc>
          <w:tcPr>
            <w:tcW w:w="3278" w:type="pct"/>
            <w:tcBorders>
              <w:top w:val="nil"/>
              <w:left w:val="nil"/>
              <w:bottom w:val="nil"/>
              <w:right w:val="nil"/>
            </w:tcBorders>
            <w:shd w:val="clear" w:color="auto" w:fill="auto"/>
            <w:noWrap/>
            <w:hideMark/>
          </w:tcPr>
          <w:p w14:paraId="6294E01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Methylcoenzyme M reductase system, component A2</w:t>
            </w:r>
          </w:p>
        </w:tc>
        <w:tc>
          <w:tcPr>
            <w:tcW w:w="809" w:type="pct"/>
            <w:gridSpan w:val="2"/>
            <w:tcBorders>
              <w:top w:val="nil"/>
              <w:left w:val="nil"/>
              <w:bottom w:val="nil"/>
              <w:right w:val="nil"/>
            </w:tcBorders>
            <w:shd w:val="clear" w:color="auto" w:fill="auto"/>
            <w:noWrap/>
            <w:hideMark/>
          </w:tcPr>
          <w:p w14:paraId="04666B4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2.05</w:t>
            </w:r>
          </w:p>
        </w:tc>
      </w:tr>
      <w:tr w:rsidR="00436CD0" w:rsidRPr="00C44D8C" w14:paraId="008B8ACC" w14:textId="77777777" w:rsidTr="002B29E5">
        <w:trPr>
          <w:trHeight w:val="290"/>
        </w:trPr>
        <w:tc>
          <w:tcPr>
            <w:tcW w:w="912" w:type="pct"/>
            <w:tcBorders>
              <w:top w:val="nil"/>
              <w:left w:val="nil"/>
              <w:bottom w:val="nil"/>
              <w:right w:val="nil"/>
            </w:tcBorders>
            <w:shd w:val="clear" w:color="auto" w:fill="auto"/>
            <w:noWrap/>
            <w:hideMark/>
          </w:tcPr>
          <w:p w14:paraId="3E7A6F5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Mbar_A1610</w:t>
            </w:r>
          </w:p>
        </w:tc>
        <w:tc>
          <w:tcPr>
            <w:tcW w:w="3278" w:type="pct"/>
            <w:tcBorders>
              <w:top w:val="nil"/>
              <w:left w:val="nil"/>
              <w:bottom w:val="nil"/>
              <w:right w:val="nil"/>
            </w:tcBorders>
            <w:shd w:val="clear" w:color="auto" w:fill="auto"/>
            <w:noWrap/>
            <w:hideMark/>
          </w:tcPr>
          <w:p w14:paraId="7A0D8DA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Archaeal flavoprotein</w:t>
            </w:r>
          </w:p>
        </w:tc>
        <w:tc>
          <w:tcPr>
            <w:tcW w:w="809" w:type="pct"/>
            <w:gridSpan w:val="2"/>
            <w:tcBorders>
              <w:top w:val="nil"/>
              <w:left w:val="nil"/>
              <w:bottom w:val="nil"/>
              <w:right w:val="nil"/>
            </w:tcBorders>
            <w:shd w:val="clear" w:color="auto" w:fill="auto"/>
            <w:noWrap/>
            <w:hideMark/>
          </w:tcPr>
          <w:p w14:paraId="74FF487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1AB41324" w14:textId="77777777" w:rsidTr="002B29E5">
        <w:trPr>
          <w:trHeight w:val="290"/>
        </w:trPr>
        <w:tc>
          <w:tcPr>
            <w:tcW w:w="912" w:type="pct"/>
            <w:tcBorders>
              <w:top w:val="nil"/>
              <w:left w:val="nil"/>
              <w:bottom w:val="nil"/>
              <w:right w:val="nil"/>
            </w:tcBorders>
            <w:shd w:val="clear" w:color="auto" w:fill="auto"/>
            <w:noWrap/>
            <w:hideMark/>
          </w:tcPr>
          <w:p w14:paraId="045862F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Mbar_A0895</w:t>
            </w:r>
          </w:p>
        </w:tc>
        <w:tc>
          <w:tcPr>
            <w:tcW w:w="3278" w:type="pct"/>
            <w:tcBorders>
              <w:top w:val="nil"/>
              <w:left w:val="nil"/>
              <w:bottom w:val="nil"/>
              <w:right w:val="nil"/>
            </w:tcBorders>
            <w:shd w:val="clear" w:color="auto" w:fill="auto"/>
            <w:noWrap/>
            <w:hideMark/>
          </w:tcPr>
          <w:p w14:paraId="4DD87F2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Methyl-coenzyme M reductase operon protein C</w:t>
            </w:r>
          </w:p>
        </w:tc>
        <w:tc>
          <w:tcPr>
            <w:tcW w:w="809" w:type="pct"/>
            <w:gridSpan w:val="2"/>
            <w:tcBorders>
              <w:top w:val="nil"/>
              <w:left w:val="nil"/>
              <w:bottom w:val="nil"/>
              <w:right w:val="nil"/>
            </w:tcBorders>
            <w:shd w:val="clear" w:color="auto" w:fill="auto"/>
            <w:noWrap/>
            <w:hideMark/>
          </w:tcPr>
          <w:p w14:paraId="059405E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273912BD" w14:textId="77777777" w:rsidTr="002B29E5">
        <w:trPr>
          <w:trHeight w:val="290"/>
        </w:trPr>
        <w:tc>
          <w:tcPr>
            <w:tcW w:w="912" w:type="pct"/>
            <w:tcBorders>
              <w:top w:val="nil"/>
              <w:left w:val="nil"/>
              <w:bottom w:val="nil"/>
              <w:right w:val="nil"/>
            </w:tcBorders>
            <w:shd w:val="clear" w:color="auto" w:fill="auto"/>
            <w:noWrap/>
            <w:hideMark/>
          </w:tcPr>
          <w:p w14:paraId="094F0ED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Mbar_A0897</w:t>
            </w:r>
          </w:p>
        </w:tc>
        <w:tc>
          <w:tcPr>
            <w:tcW w:w="3278" w:type="pct"/>
            <w:tcBorders>
              <w:top w:val="nil"/>
              <w:left w:val="nil"/>
              <w:bottom w:val="nil"/>
              <w:right w:val="nil"/>
            </w:tcBorders>
            <w:shd w:val="clear" w:color="auto" w:fill="auto"/>
            <w:noWrap/>
            <w:hideMark/>
          </w:tcPr>
          <w:p w14:paraId="38F921E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Methyl-coenzyme M reductase subunit beta</w:t>
            </w:r>
          </w:p>
        </w:tc>
        <w:tc>
          <w:tcPr>
            <w:tcW w:w="809" w:type="pct"/>
            <w:gridSpan w:val="2"/>
            <w:tcBorders>
              <w:top w:val="nil"/>
              <w:left w:val="nil"/>
              <w:bottom w:val="nil"/>
              <w:right w:val="nil"/>
            </w:tcBorders>
            <w:shd w:val="clear" w:color="auto" w:fill="auto"/>
            <w:noWrap/>
            <w:hideMark/>
          </w:tcPr>
          <w:p w14:paraId="48956B1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1.96</w:t>
            </w:r>
          </w:p>
        </w:tc>
      </w:tr>
      <w:tr w:rsidR="00436CD0" w:rsidRPr="00C44D8C" w14:paraId="53C5C271" w14:textId="77777777" w:rsidTr="002B29E5">
        <w:trPr>
          <w:trHeight w:val="290"/>
        </w:trPr>
        <w:tc>
          <w:tcPr>
            <w:tcW w:w="912" w:type="pct"/>
            <w:tcBorders>
              <w:top w:val="nil"/>
              <w:left w:val="nil"/>
              <w:bottom w:val="nil"/>
              <w:right w:val="nil"/>
            </w:tcBorders>
            <w:shd w:val="clear" w:color="auto" w:fill="auto"/>
            <w:noWrap/>
            <w:hideMark/>
          </w:tcPr>
          <w:p w14:paraId="5390B2E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Mbar_A1503</w:t>
            </w:r>
          </w:p>
        </w:tc>
        <w:tc>
          <w:tcPr>
            <w:tcW w:w="3278" w:type="pct"/>
            <w:tcBorders>
              <w:top w:val="nil"/>
              <w:left w:val="nil"/>
              <w:bottom w:val="nil"/>
              <w:right w:val="nil"/>
            </w:tcBorders>
            <w:shd w:val="clear" w:color="auto" w:fill="auto"/>
            <w:noWrap/>
            <w:hideMark/>
          </w:tcPr>
          <w:p w14:paraId="712C246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Dimethylamine corrinoid protein</w:t>
            </w:r>
          </w:p>
        </w:tc>
        <w:tc>
          <w:tcPr>
            <w:tcW w:w="809" w:type="pct"/>
            <w:gridSpan w:val="2"/>
            <w:tcBorders>
              <w:top w:val="nil"/>
              <w:left w:val="nil"/>
              <w:bottom w:val="nil"/>
              <w:right w:val="nil"/>
            </w:tcBorders>
            <w:shd w:val="clear" w:color="auto" w:fill="auto"/>
            <w:noWrap/>
            <w:hideMark/>
          </w:tcPr>
          <w:p w14:paraId="457C7C9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1.95</w:t>
            </w:r>
          </w:p>
        </w:tc>
      </w:tr>
      <w:tr w:rsidR="00436CD0" w:rsidRPr="00C44D8C" w14:paraId="10D110F8" w14:textId="77777777" w:rsidTr="002B29E5">
        <w:trPr>
          <w:trHeight w:val="290"/>
        </w:trPr>
        <w:tc>
          <w:tcPr>
            <w:tcW w:w="912" w:type="pct"/>
            <w:tcBorders>
              <w:top w:val="nil"/>
              <w:left w:val="nil"/>
              <w:bottom w:val="nil"/>
              <w:right w:val="nil"/>
            </w:tcBorders>
            <w:shd w:val="clear" w:color="auto" w:fill="auto"/>
            <w:noWrap/>
            <w:hideMark/>
          </w:tcPr>
          <w:p w14:paraId="64C14B5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Mbar_A0896</w:t>
            </w:r>
          </w:p>
        </w:tc>
        <w:tc>
          <w:tcPr>
            <w:tcW w:w="3278" w:type="pct"/>
            <w:tcBorders>
              <w:top w:val="nil"/>
              <w:left w:val="nil"/>
              <w:bottom w:val="nil"/>
              <w:right w:val="nil"/>
            </w:tcBorders>
            <w:shd w:val="clear" w:color="auto" w:fill="auto"/>
            <w:noWrap/>
            <w:hideMark/>
          </w:tcPr>
          <w:p w14:paraId="6674C7E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Methyl-coenzyme M reductase operon protein D</w:t>
            </w:r>
          </w:p>
        </w:tc>
        <w:tc>
          <w:tcPr>
            <w:tcW w:w="809" w:type="pct"/>
            <w:gridSpan w:val="2"/>
            <w:tcBorders>
              <w:top w:val="nil"/>
              <w:left w:val="nil"/>
              <w:bottom w:val="nil"/>
              <w:right w:val="nil"/>
            </w:tcBorders>
            <w:shd w:val="clear" w:color="auto" w:fill="auto"/>
            <w:noWrap/>
            <w:hideMark/>
          </w:tcPr>
          <w:p w14:paraId="2925238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1.81</w:t>
            </w:r>
          </w:p>
        </w:tc>
      </w:tr>
      <w:tr w:rsidR="00436CD0" w:rsidRPr="00C44D8C" w14:paraId="595A5A6B" w14:textId="77777777" w:rsidTr="002B29E5">
        <w:trPr>
          <w:trHeight w:val="290"/>
        </w:trPr>
        <w:tc>
          <w:tcPr>
            <w:tcW w:w="912" w:type="pct"/>
            <w:tcBorders>
              <w:top w:val="nil"/>
              <w:left w:val="nil"/>
              <w:bottom w:val="nil"/>
              <w:right w:val="nil"/>
            </w:tcBorders>
            <w:shd w:val="clear" w:color="auto" w:fill="auto"/>
            <w:noWrap/>
            <w:hideMark/>
          </w:tcPr>
          <w:p w14:paraId="3F84B78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Mbar_A0893</w:t>
            </w:r>
          </w:p>
        </w:tc>
        <w:tc>
          <w:tcPr>
            <w:tcW w:w="3278" w:type="pct"/>
            <w:tcBorders>
              <w:top w:val="nil"/>
              <w:left w:val="nil"/>
              <w:bottom w:val="nil"/>
              <w:right w:val="nil"/>
            </w:tcBorders>
            <w:shd w:val="clear" w:color="auto" w:fill="auto"/>
            <w:noWrap/>
            <w:hideMark/>
          </w:tcPr>
          <w:p w14:paraId="6181DA8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Methyl-coenzyme M reductase subunit alpha McrA</w:t>
            </w:r>
          </w:p>
        </w:tc>
        <w:tc>
          <w:tcPr>
            <w:tcW w:w="809" w:type="pct"/>
            <w:gridSpan w:val="2"/>
            <w:tcBorders>
              <w:top w:val="nil"/>
              <w:left w:val="nil"/>
              <w:bottom w:val="nil"/>
              <w:right w:val="nil"/>
            </w:tcBorders>
            <w:shd w:val="clear" w:color="auto" w:fill="auto"/>
            <w:noWrap/>
            <w:hideMark/>
          </w:tcPr>
          <w:p w14:paraId="4DA8A1F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1.78</w:t>
            </w:r>
          </w:p>
        </w:tc>
      </w:tr>
      <w:tr w:rsidR="00436CD0" w:rsidRPr="00C44D8C" w14:paraId="2B8A2F07" w14:textId="77777777" w:rsidTr="002B29E5">
        <w:trPr>
          <w:trHeight w:val="290"/>
        </w:trPr>
        <w:tc>
          <w:tcPr>
            <w:tcW w:w="912" w:type="pct"/>
            <w:tcBorders>
              <w:top w:val="nil"/>
              <w:left w:val="nil"/>
              <w:right w:val="nil"/>
            </w:tcBorders>
            <w:shd w:val="clear" w:color="auto" w:fill="auto"/>
            <w:noWrap/>
            <w:hideMark/>
          </w:tcPr>
          <w:p w14:paraId="7A4BA4F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Mbar_A2588</w:t>
            </w:r>
          </w:p>
        </w:tc>
        <w:tc>
          <w:tcPr>
            <w:tcW w:w="3278" w:type="pct"/>
            <w:tcBorders>
              <w:top w:val="nil"/>
              <w:left w:val="nil"/>
              <w:right w:val="nil"/>
            </w:tcBorders>
            <w:shd w:val="clear" w:color="auto" w:fill="auto"/>
            <w:noWrap/>
            <w:hideMark/>
          </w:tcPr>
          <w:p w14:paraId="43049FB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Formylmethanofuran dehydrogenase, subunit F </w:t>
            </w:r>
          </w:p>
        </w:tc>
        <w:tc>
          <w:tcPr>
            <w:tcW w:w="809" w:type="pct"/>
            <w:gridSpan w:val="2"/>
            <w:tcBorders>
              <w:top w:val="nil"/>
              <w:left w:val="nil"/>
              <w:right w:val="nil"/>
            </w:tcBorders>
            <w:shd w:val="clear" w:color="auto" w:fill="auto"/>
            <w:noWrap/>
            <w:hideMark/>
          </w:tcPr>
          <w:p w14:paraId="2370702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1EB7618F" w14:textId="77777777" w:rsidTr="002B29E5">
        <w:trPr>
          <w:trHeight w:val="290"/>
        </w:trPr>
        <w:tc>
          <w:tcPr>
            <w:tcW w:w="912" w:type="pct"/>
            <w:tcBorders>
              <w:top w:val="nil"/>
              <w:left w:val="nil"/>
              <w:bottom w:val="single" w:sz="4" w:space="0" w:color="auto"/>
              <w:right w:val="nil"/>
            </w:tcBorders>
            <w:shd w:val="clear" w:color="auto" w:fill="auto"/>
            <w:noWrap/>
            <w:hideMark/>
          </w:tcPr>
          <w:p w14:paraId="6F3AEA3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Mbar_A3541</w:t>
            </w:r>
          </w:p>
        </w:tc>
        <w:tc>
          <w:tcPr>
            <w:tcW w:w="3278" w:type="pct"/>
            <w:tcBorders>
              <w:top w:val="nil"/>
              <w:left w:val="nil"/>
              <w:bottom w:val="single" w:sz="4" w:space="0" w:color="auto"/>
              <w:right w:val="nil"/>
            </w:tcBorders>
            <w:shd w:val="clear" w:color="auto" w:fill="auto"/>
            <w:noWrap/>
            <w:hideMark/>
          </w:tcPr>
          <w:p w14:paraId="4239506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Cysteate synthase </w:t>
            </w:r>
          </w:p>
        </w:tc>
        <w:tc>
          <w:tcPr>
            <w:tcW w:w="809" w:type="pct"/>
            <w:gridSpan w:val="2"/>
            <w:tcBorders>
              <w:top w:val="nil"/>
              <w:left w:val="nil"/>
              <w:bottom w:val="single" w:sz="4" w:space="0" w:color="auto"/>
              <w:right w:val="nil"/>
            </w:tcBorders>
            <w:shd w:val="clear" w:color="auto" w:fill="auto"/>
            <w:noWrap/>
            <w:hideMark/>
          </w:tcPr>
          <w:p w14:paraId="2BCE26E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2.04</w:t>
            </w:r>
          </w:p>
        </w:tc>
      </w:tr>
    </w:tbl>
    <w:p w14:paraId="680401A1" w14:textId="77777777" w:rsidR="00436CD0" w:rsidRPr="00C44D8C" w:rsidRDefault="00436CD0" w:rsidP="00436CD0">
      <w:pPr>
        <w:spacing w:line="360" w:lineRule="auto"/>
        <w:rPr>
          <w:rFonts w:asciiTheme="minorHAnsi" w:hAnsiTheme="minorHAnsi"/>
          <w:color w:val="000000"/>
          <w:sz w:val="22"/>
          <w:szCs w:val="22"/>
          <w:lang w:eastAsia="en-GB"/>
        </w:rPr>
      </w:pPr>
    </w:p>
    <w:p w14:paraId="7CBF639D" w14:textId="5FCE9ED5" w:rsidR="00436CD0" w:rsidRPr="00C44D8C" w:rsidRDefault="00436CD0" w:rsidP="005C5F28">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Coenzyme M is an important substrate for all four methanogenic metabolic pathways, acting as the terminal methyl carrier in methanogenesis </w:t>
      </w:r>
      <w:r w:rsidR="0016337D">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"10.1042/BJ20090999", "ISBN" : "0264-6021", "ISSN" : "1470-8728", "PMID" : "19761441", "abstract" : "The euryarchaeon Methanosarcina acetivorans has no homologues of the first three enzymes that produce the essential methanogenic coenzyme M (2-mercaptoethanesulfonate) in Methanocaldococcus jannaschii. A single M. acetivorans gene was heterologously expressed to produce a functional sulfopyruvate decarboxylase protein, the fourth canonical enzyme in this biosynthetic pathway. An adjacent gene, at locus MA3297, encodes one of the organism's two threonine synthase homologues. When both paralogues from this organism were expressed in an Escherichia coli threonine synthase mutant, the MA1610 gene complemented the thrC mutation, whereas the MA3297 gene did not. Both PLP (pyridoxal 5'-phosphate)-dependent proteins were heterologously expressed and purified, but only the MA1610 protein catalysed the canonical threonine synthase reaction. The MA3297 protein specifically catalysed a new beta-replacement reaction that converted L-phosphoserine and sulfite into L-cysteate and inorganic phosphate. This oxygen-independent mode of sulfonate biosynthesis exploits the facile nucleophilic addition of sulfite to an alpha,beta-unsaturated intermediate (PLP-bound dehydroalanine). An amino acid sequence comparison indicates that cysteate synthase evolved from an ancestral threonine synthase through gene duplication, and the remodelling of active site loop regions by amino acid insertion and substitutions. The cysteate product can be converted into sulfopyruvate by an aspartate aminotransferase enzyme, establishing a new convergent pathway for coenzyme M biosynthesis that appears to function in members of the orders Methanosarcinales and Methanomicrobiales. These differences in coenzyme M biosynthesis afford the opportunity to develop methanogen inhibitors that discriminate between the classes of methanogenic archaea.", "author" : [ { "dropping-particle" : "", "family" : "Graham", "given" : "David E", "non-dropping-particle" : "", "parse-names" : false, "suffix" : "" }, { "dropping-particle" : "", "family" : "Taylor", "given" : "Stephanie M", "non-dropping-particle" : "", "parse-names" : false, "suffix" : "" }, { "dropping-particle" : "", "family" : "Wolf", "given" : "Rachel Z", "non-dropping-particle" : "", "parse-names" : false, "suffix" : "" }, { "dropping-particle" : "", "family" : "Namboori", "given" : "Seema C", "non-dropping-particle" : "", "parse-names" : false, "suffix" : "" } ], "container-title" : "The Biochemical journal", "id" : "ITEM-1", "issue" : "3", "issued" : { "date-parts" : [ [ "2009" ] ] }, "page" : "467-78", "title" : "Convergent evolution of coenzyme M biosynthesis in the Methanosarcinales: cysteate synthase evolved from an ancestral threonine synthase.", "type" : "article-journal", "volume" : "424" }, "uris" : [ "http://www.mendeley.com/documents/?uuid=7b461742-ba77-4b21-8bfb-21cb3cf3d5ca" ] } ], "mendeley" : { "formattedCitation" : "[202]", "plainTextFormattedCitation" : "[202]", "previouslyFormattedCitation" : "[202]" }, "properties" : { "noteIndex" : 0 }, "schema" : "https://github.com/citation-style-language/schema/raw/master/csl-citation.json" }</w:instrText>
      </w:r>
      <w:r w:rsidR="0016337D">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[202]</w:t>
      </w:r>
      <w:r w:rsidR="0016337D">
        <w:rPr>
          <w:rFonts w:asciiTheme="minorHAnsi" w:hAnsiTheme="minorHAnsi"/>
          <w:color w:val="000000"/>
          <w:sz w:val="22"/>
          <w:szCs w:val="22"/>
          <w:lang w:eastAsia="en-GB"/>
        </w:rPr>
        <w:fldChar w:fldCharType="end"/>
      </w:r>
      <w:r w:rsidR="0016337D">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The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various enzymes involved in the production or handling of coenzyme M across all methanogenesis pathways from cells attached to PVC (Mbar_A0841, Mbar_A1054, Mbar_A3639, Mbar_A0639, Mbar_A0894, Mbar_A0676, Mbar_A0895, Mbar_A0897, Mbar_A0896, Mbar_A0893) suggests that biofilms attached to PVC are producing more methane from methanol compared to biofilms on PETG.</w:t>
      </w:r>
    </w:p>
    <w:p w14:paraId="555D6DFA" w14:textId="480077CA"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sz w:val="22"/>
          <w:szCs w:val="22"/>
          <w:lang w:eastAsia="en-GB"/>
        </w:rPr>
        <w:t xml:space="preserve">Cysteate synthase </w:t>
      </w:r>
      <w:r w:rsidRPr="00C44D8C">
        <w:rPr>
          <w:rFonts w:asciiTheme="minorHAnsi" w:hAnsiTheme="minorHAnsi"/>
          <w:color w:val="000000"/>
          <w:sz w:val="22"/>
          <w:szCs w:val="22"/>
          <w:lang w:eastAsia="en-GB"/>
        </w:rPr>
        <w:t xml:space="preserve">is involved </w:t>
      </w:r>
      <w:r w:rsidR="0016337D">
        <w:rPr>
          <w:rFonts w:asciiTheme="minorHAnsi" w:hAnsiTheme="minorHAnsi"/>
          <w:color w:val="000000"/>
          <w:sz w:val="22"/>
          <w:szCs w:val="22"/>
          <w:lang w:eastAsia="en-GB"/>
        </w:rPr>
        <w:t xml:space="preserve">in the synthesis of coenzyme M </w:t>
      </w:r>
      <w:r w:rsidR="0016337D">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"10.1042/BJ20090999", "ISBN" : "0264-6021", "ISSN" : "1470-8728", "PMID" : "19761441", "abstract" : "The euryarchaeon Methanosarcina acetivorans has no homologues of the first three enzymes that produce the essential methanogenic coenzyme M (2-mercaptoethanesulfonate) in Methanocaldococcus jannaschii. A single M. acetivorans gene was heterologously expressed to produce a functional sulfopyruvate decarboxylase protein, the fourth canonical enzyme in this biosynthetic pathway. An adjacent gene, at locus MA3297, encodes one of the organism's two threonine synthase homologues. When both paralogues from this organism were expressed in an Escherichia coli threonine synthase mutant, the MA1610 gene complemented the thrC mutation, whereas the MA3297 gene did not. Both PLP (pyridoxal 5'-phosphate)-dependent proteins were heterologously expressed and purified, but only the MA1610 protein catalysed the canonical threonine synthase reaction. The MA3297 protein specifically catalysed a new beta-replacement reaction that converted L-phosphoserine and sulfite into L-cysteate and inorganic phosphate. This oxygen-independent mode of sulfonate biosynthesis exploits the facile nucleophilic addition of sulfite to an alpha,beta-unsaturated intermediate (PLP-bound dehydroalanine). An amino acid sequence comparison indicates that cysteate synthase evolved from an ancestral threonine synthase through gene duplication, and the remodelling of active site loop regions by amino acid insertion and substitutions. The cysteate product can be converted into sulfopyruvate by an aspartate aminotransferase enzyme, establishing a new convergent pathway for coenzyme M biosynthesis that appears to function in members of the orders Methanosarcinales and Methanomicrobiales. These differences in coenzyme M biosynthesis afford the opportunity to develop methanogen inhibitors that discriminate between the classes of methanogenic archaea.", "author" : [ { "dropping-particle" : "", "family" : "Graham", "given" : "David E", "non-dropping-particle" : "", "parse-names" : false, "suffix" : "" }, { "dropping-particle" : "", "family" : "Taylor", "given" : "Stephanie M", "non-dropping-particle" : "", "parse-names" : false, "suffix" : "" }, { "dropping-particle" : "", "family" : "Wolf", "given" : "Rachel Z", "non-dropping-particle" : "", "parse-names" : false, "suffix" : "" }, { "dropping-particle" : "", "family" : "Namboori", "given" : "Seema C", "non-dropping-particle" : "", "parse-names" : false, "suffix" : "" } ], "container-title" : "The Biochemical journal", "id" : "ITEM-1", "issue" : "3", "issued" : { "date-parts" : [ [ "2009" ] ] }, "page" : "467-78", "title" : "Convergent evolution of coenzyme M biosynthesis in the Methanosarcinales: cysteate synthase evolved from an ancestral threonine synthase.", "type" : "article-journal", "volume" : "424" }, "uris" : [ "http://www.mendeley.com/documents/?uuid=7b461742-ba77-4b21-8bfb-21cb3cf3d5ca" ] } ], "mendeley" : { "formattedCitation" : "[202]", "plainTextFormattedCitation" : "[202]", "previouslyFormattedCitation" : "[202]" }, "properties" : { "noteIndex" : 0 }, "schema" : "https://github.com/citation-style-language/schema/raw/master/csl-citation.json" }</w:instrText>
      </w:r>
      <w:r w:rsidR="0016337D">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[202]</w:t>
      </w:r>
      <w:r w:rsidR="0016337D">
        <w:rPr>
          <w:rFonts w:asciiTheme="minorHAnsi" w:hAnsiTheme="minorHAnsi"/>
          <w:color w:val="000000"/>
          <w:sz w:val="22"/>
          <w:szCs w:val="22"/>
          <w:lang w:eastAsia="en-GB"/>
        </w:rPr>
        <w:fldChar w:fldCharType="end"/>
      </w:r>
      <w:r w:rsidR="0016337D">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and was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of </w:t>
      </w:r>
      <w:r w:rsidRPr="00C44D8C">
        <w:rPr>
          <w:rFonts w:asciiTheme="minorHAnsi" w:hAnsiTheme="minorHAnsi"/>
          <w:i/>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This enzyme (Mbar_A3541) correlates with the detection of methylcobamide:CoM methyltransferase, MtaA, and methanophenazine-reducing hydrogenase, which both require coenzyme M for methanogenesis. Therefore, the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cysteate synthase suggests that a high level of coenzyme M is needed to support high rates of methanogenesis when </w:t>
      </w:r>
      <w:r w:rsidRPr="00C44D8C">
        <w:rPr>
          <w:rFonts w:asciiTheme="minorHAnsi" w:hAnsiTheme="minorHAnsi"/>
          <w:i/>
          <w:iCs/>
          <w:color w:val="000000"/>
          <w:sz w:val="22"/>
          <w:szCs w:val="22"/>
          <w:lang w:eastAsia="en-GB"/>
        </w:rPr>
        <w:t xml:space="preserve">M. barkeri </w:t>
      </w:r>
      <w:r w:rsidRPr="00C44D8C">
        <w:rPr>
          <w:rFonts w:asciiTheme="minorHAnsi" w:hAnsiTheme="minorHAnsi"/>
          <w:color w:val="000000"/>
          <w:sz w:val="22"/>
          <w:szCs w:val="22"/>
          <w:lang w:eastAsia="en-GB"/>
        </w:rPr>
        <w:t>preferentially attaches and forms biofilms on PVC.</w:t>
      </w:r>
    </w:p>
    <w:p w14:paraId="7C50F80B" w14:textId="55004F22"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color w:val="000000"/>
          <w:sz w:val="22"/>
          <w:szCs w:val="22"/>
          <w:lang w:eastAsia="en-GB"/>
        </w:rPr>
        <w:tab/>
        <w:t>Several proteins linked to the reduction of CO</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by H</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to methane were </w:t>
      </w:r>
      <w:r w:rsidR="003D18AD">
        <w:rPr>
          <w:rFonts w:asciiTheme="minorHAnsi" w:hAnsiTheme="minorHAnsi"/>
          <w:color w:val="000000"/>
          <w:sz w:val="22"/>
          <w:szCs w:val="22"/>
          <w:lang w:eastAsia="en-GB"/>
        </w:rPr>
        <w:t>in higher relative abundance</w:t>
      </w:r>
      <w:r w:rsidR="003D18AD"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by </w:t>
      </w:r>
      <w:r w:rsidRPr="00C44D8C">
        <w:rPr>
          <w:rFonts w:asciiTheme="minorHAnsi" w:hAnsiTheme="minorHAnsi"/>
          <w:i/>
          <w:iCs/>
          <w:color w:val="000000"/>
          <w:sz w:val="22"/>
          <w:szCs w:val="22"/>
          <w:lang w:eastAsia="en-GB"/>
        </w:rPr>
        <w:t xml:space="preserve">M. barkeri </w:t>
      </w:r>
      <w:r w:rsidRPr="00C44D8C">
        <w:rPr>
          <w:rFonts w:asciiTheme="minorHAnsi" w:hAnsiTheme="minorHAnsi"/>
          <w:color w:val="000000"/>
          <w:sz w:val="22"/>
          <w:szCs w:val="22"/>
          <w:lang w:eastAsia="en-GB"/>
        </w:rPr>
        <w:t>when attached as a biofilm to PVC compared to PETG. These include methenyltetrahydromethanopterin cyclohydrolase (Mbar_A2233</w:t>
      </w:r>
      <w:r w:rsidR="001F0D67">
        <w:rPr>
          <w:rFonts w:asciiTheme="minorHAnsi" w:hAnsiTheme="minorHAnsi"/>
          <w:color w:val="000000"/>
          <w:sz w:val="22"/>
          <w:szCs w:val="22"/>
          <w:lang w:eastAsia="en-GB"/>
        </w:rPr>
        <w:t xml:space="preserve">; EC </w:t>
      </w:r>
      <w:r w:rsidR="001F0D67" w:rsidRPr="00BD5CF2">
        <w:rPr>
          <w:rFonts w:asciiTheme="minorHAnsi" w:eastAsia="Calibri" w:hAnsiTheme="minorHAnsi" w:cs="Arial"/>
          <w:sz w:val="20"/>
        </w:rPr>
        <w:t>3.5.4.27</w:t>
      </w:r>
      <w:r w:rsidRPr="00C44D8C">
        <w:rPr>
          <w:rFonts w:asciiTheme="minorHAnsi" w:hAnsiTheme="minorHAnsi"/>
          <w:color w:val="000000"/>
          <w:sz w:val="22"/>
          <w:szCs w:val="22"/>
          <w:lang w:eastAsia="en-GB"/>
        </w:rPr>
        <w:t xml:space="preserve">) and methanophenazine-reducing hydrogenase (Mbar_A1845). The first enzyme, </w:t>
      </w:r>
      <w:r w:rsidR="0016337D">
        <w:rPr>
          <w:rFonts w:asciiTheme="minorHAnsi" w:hAnsiTheme="minorHAnsi"/>
          <w:color w:val="000000"/>
          <w:sz w:val="22"/>
          <w:szCs w:val="22"/>
          <w:lang w:eastAsia="en-GB"/>
        </w:rPr>
        <w:t>m</w:t>
      </w:r>
      <w:r w:rsidRPr="00C44D8C">
        <w:rPr>
          <w:rFonts w:asciiTheme="minorHAnsi" w:hAnsiTheme="minorHAnsi"/>
          <w:color w:val="000000"/>
          <w:sz w:val="22"/>
          <w:szCs w:val="22"/>
          <w:lang w:eastAsia="en-GB"/>
        </w:rPr>
        <w:t>ethenyltetrahydromethanopterin cyclohydrolase (Mbar_A2233</w:t>
      </w:r>
      <w:r w:rsidR="001F0D67">
        <w:rPr>
          <w:rFonts w:asciiTheme="minorHAnsi" w:hAnsiTheme="minorHAnsi"/>
          <w:color w:val="000000"/>
          <w:sz w:val="22"/>
          <w:szCs w:val="22"/>
          <w:lang w:eastAsia="en-GB"/>
        </w:rPr>
        <w:t xml:space="preserve">; </w:t>
      </w:r>
      <w:r w:rsidR="001F0D67" w:rsidRPr="00BD5CF2">
        <w:rPr>
          <w:rFonts w:asciiTheme="minorHAnsi" w:eastAsia="Calibri" w:hAnsiTheme="minorHAnsi" w:cs="Arial"/>
          <w:sz w:val="20"/>
        </w:rPr>
        <w:t>3.5.4.27</w:t>
      </w:r>
      <w:r w:rsidRPr="00C44D8C">
        <w:rPr>
          <w:rFonts w:asciiTheme="minorHAnsi" w:hAnsiTheme="minorHAnsi"/>
          <w:color w:val="000000"/>
          <w:sz w:val="22"/>
          <w:szCs w:val="22"/>
          <w:lang w:eastAsia="en-GB"/>
        </w:rPr>
        <w:t xml:space="preserve">), is a cytoplasmic enzyme that has previously been purified from </w:t>
      </w:r>
      <w:r w:rsidRPr="00C44D8C">
        <w:rPr>
          <w:rFonts w:asciiTheme="minorHAnsi" w:hAnsiTheme="minorHAnsi"/>
          <w:i/>
          <w:iCs/>
          <w:color w:val="000000"/>
          <w:sz w:val="22"/>
          <w:szCs w:val="22"/>
          <w:lang w:eastAsia="en-GB"/>
        </w:rPr>
        <w:t>M. barkeri</w:t>
      </w:r>
      <w:r w:rsidR="00E52E9C">
        <w:rPr>
          <w:rFonts w:asciiTheme="minorHAnsi" w:hAnsiTheme="minorHAnsi"/>
          <w:i/>
          <w:iCs/>
          <w:color w:val="000000"/>
          <w:sz w:val="22"/>
          <w:szCs w:val="22"/>
          <w:lang w:eastAsia="en-GB"/>
        </w:rPr>
        <w:t xml:space="preserve"> </w:t>
      </w:r>
      <w:r w:rsidR="00E52E9C">
        <w:rPr>
          <w:rFonts w:asciiTheme="minorHAnsi" w:hAnsiTheme="minorHAnsi"/>
          <w:i/>
          <w:iCs/>
          <w:color w:val="000000"/>
          <w:sz w:val="22"/>
          <w:szCs w:val="22"/>
          <w:lang w:eastAsia="en-GB"/>
        </w:rPr>
        <w:fldChar w:fldCharType="begin" w:fldLock="1"/>
      </w:r>
      <w:r w:rsidR="007E3308">
        <w:rPr>
          <w:rFonts w:asciiTheme="minorHAnsi" w:hAnsiTheme="minorHAnsi"/>
          <w:i/>
          <w:iCs/>
          <w:color w:val="000000"/>
          <w:sz w:val="22"/>
          <w:szCs w:val="22"/>
          <w:lang w:eastAsia="en-GB"/>
        </w:rPr>
        <w:instrText>ADDIN CSL_CITATION { "citationItems" : [ { "id" : "ITEM-1", "itemData" : { "DOI" : "10.1002/biot.201200266", "ISSN" : "1860-7314", "PMID" : "23420771", "abstract" : "Methanosarcina barkeri is an Archaeon that produces methane anaerobically as the primary byproduct of its metabolism. M. barkeri can utilize several substrates for ATP and biomass production including methanol, acetate, methyl amines, and a combination of hydrogen and carbon dioxide. In 2006, a metabolic reconstruction of M. barkeri, iAF692, was generated based on a draft genome annotation. The iAF692 reconstruction enabled the first genome-Scale simulations for Archaea. Since the publication of the first metabolic reconstruction of M. barkeri, additional genomic, biochemical, and phenotypic data have clarified several metabolic pathways. We have used this newly available data to improve the M. barkeri metabolic reconstruction. Modeling simulations using the updated model, iMG746, have led to increased accuracy in predicting gene knockout phenotypes and simulations of batch growth behavior. We used the model to examine knockout lethality data and make predictions about metabolic regulation under different growth conditions. Thus, the updated metabolic reconstruction of M. barkeri metabolism is a useful tool for predicting cellular behavior, studying the methanogenic lifestyle, guiding experimental studies, and making predictions relevant to metabolic engineering applications.", "author" : [ { "dropping-particle" : "", "family" : "Gonnerman", "given" : "Matthew C", "non-dropping-particle" : "", "parse-names" : false, "suffix" : "" }, { "dropping-particle" : "", "family" : "Benedict", "given" : "Matthew N", "non-dropping-particle" : "", "parse-names" : false, "suffix" : "" }, { "dropping-particle" : "", "family" : "Feist", "given" : "Adam M", "non-dropping-particle" : "", "parse-names" : false, "suffix" : "" }, { "dropping-particle" : "", "family" : "Metcalf", "given" : "William W", "non-dropping-particle" : "", "parse-names" : false, "suffix" : "" }, { "dropping-particle" : "", "family" : "Price", "given" : "Nathan D", "non-dropping-particle" : "", "parse-names" : false, "suffix" : "" } ], "container-title" : "Biotechnology journal", "id" : "ITEM-1", "issue" : "9", "issued" : { "date-parts" : [ [ "2013", "9" ] ] }, "page" : "1070-9", "title" : "Genomically and biochemically accurate metabolic reconstruction of Methanosarcina barkeri Fusaro, iMG746.", "type" : "article-journal", "volume" : "8" }, "uris" : [ "http://www.mendeley.com/documents/?uuid=b70eb0c8-d882-4f0a-9375-0b02da9206d6" ] } ], "mendeley" : { "formattedCitation" : "[203]", "plainTextFormattedCitation" : "[203]", "previouslyFormattedCitation" : "[203]" }, "properties" : { "noteIndex" : 0 }, "schema" : "https://github.com/citation-style-language/schema/raw/master/csl-citation.json" }</w:instrText>
      </w:r>
      <w:r w:rsidR="00E52E9C">
        <w:rPr>
          <w:rFonts w:asciiTheme="minorHAnsi" w:hAnsiTheme="minorHAnsi"/>
          <w:i/>
          <w:iCs/>
          <w:color w:val="000000"/>
          <w:sz w:val="22"/>
          <w:szCs w:val="22"/>
          <w:lang w:eastAsia="en-GB"/>
        </w:rPr>
        <w:fldChar w:fldCharType="separate"/>
      </w:r>
      <w:r w:rsidR="007E3308" w:rsidRPr="007E3308">
        <w:rPr>
          <w:rFonts w:asciiTheme="minorHAnsi" w:hAnsiTheme="minorHAnsi"/>
          <w:iCs/>
          <w:noProof/>
          <w:color w:val="000000"/>
          <w:sz w:val="22"/>
          <w:szCs w:val="22"/>
          <w:lang w:eastAsia="en-GB"/>
        </w:rPr>
        <w:t>[203]</w:t>
      </w:r>
      <w:r w:rsidR="00E52E9C">
        <w:rPr>
          <w:rFonts w:asciiTheme="minorHAnsi" w:hAnsiTheme="minorHAnsi"/>
          <w:i/>
          <w:iCs/>
          <w:color w:val="000000"/>
          <w:sz w:val="22"/>
          <w:szCs w:val="22"/>
          <w:lang w:eastAsia="en-GB"/>
        </w:rPr>
        <w:fldChar w:fldCharType="end"/>
      </w:r>
      <w:r w:rsidRPr="00C44D8C">
        <w:rPr>
          <w:rFonts w:asciiTheme="minorHAnsi" w:hAnsiTheme="minorHAnsi"/>
          <w:color w:val="000000"/>
          <w:sz w:val="22"/>
          <w:szCs w:val="22"/>
          <w:lang w:eastAsia="en-GB"/>
        </w:rPr>
        <w:t>, and is involved in the reversible formation of N5,N10-methenyltetrahydromethanopterin (methenyl-H4MPT</w:t>
      </w:r>
      <w:r w:rsidRPr="00C44D8C">
        <w:rPr>
          <w:rFonts w:asciiTheme="minorHAnsi" w:hAnsiTheme="minorHAnsi"/>
          <w:color w:val="000000"/>
          <w:sz w:val="22"/>
          <w:szCs w:val="22"/>
          <w:vertAlign w:val="superscript"/>
          <w:lang w:eastAsia="en-GB"/>
        </w:rPr>
        <w:t>+</w:t>
      </w:r>
      <w:r w:rsidRPr="00C44D8C">
        <w:rPr>
          <w:rFonts w:asciiTheme="minorHAnsi" w:hAnsiTheme="minorHAnsi"/>
          <w:color w:val="000000"/>
          <w:sz w:val="22"/>
          <w:szCs w:val="22"/>
          <w:lang w:eastAsia="en-GB"/>
        </w:rPr>
        <w:t xml:space="preserve">) from N5-formyltetrahydromethanopterin (formyl-H4MPT) </w:t>
      </w:r>
      <w:r w:rsidR="00E52E9C">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"10.1038/nrmicro1931", "ISBN" : "1740-1534 (Electronic)\\n1740-1526 (Linking)", "ISSN" : "1740-1526", "PMID" : "18587410", "abstract" : "Most methanogenic archaea can reduce CO(2) with H(2) to methane, and it is generally assumed that the reactions and mechanisms of energy conservation that are involved are largely the same in all methanogens. However, this does not take into account the fact that methanogens with cytochromes have considerably higher growth yields and threshold concentrations for H(2) than methanogens without cytochromes. These and other differences can be explained by the proposal outlined in this Review that in methanogens with cytochromes, the first and last steps in methanogenesis from CO(2) are coupled chemiosmotically, whereas in methanogens without cytochromes, these steps are energetically coupled by a cytoplasmic enzyme complex that mediates flavin-based electron bifurcation.", "author" : [ { "dropping-particle" : "", "family" : "Thauer", "given" : "Rudolf K.", "non-dropping-particle" : "", "parse-names" : false, "suffix" : "" }, { "dropping-particle" : "", "family" : "Kaster", "given" : "Anne-Kristin", "non-dropping-particle" : "", "parse-names" : false, "suffix" : "" }, { "dropping-particle" : "", "family" : "Seedorf", "given" : "Henning", "non-dropping-particle" : "", "parse-names" : false, "suffix" : "" }, { "dropping-particle" : "", "family" : "Buckel", "given" : "Wolfgang", "non-dropping-particle" : "", "parse-names" : false, "suffix" : "" }, { "dropping-particle" : "", "family" : "Hedderich", "given" : "Reiner", "non-dropping-particle" : "", "parse-names" : false, "suffix" : "" } ], "container-title" : "Nature Reviews Microbiology", "id" : "ITEM-1", "issue" : "8", "issued" : { "date-parts" : [ [ "2008" ] ] }, "page" : "579-591", "title" : "Methanogenic archaea: ecologically relevant differences in energy conservation", "type" : "article-journal", "volume" : "6" }, "uris" : [ "http://www.mendeley.com/documents/?uuid=b7d2b658-abe3-442e-9c6b-f804bd00a714" ] }, { "id" : "ITEM-2", "itemData" : { "DOI" : "10.1016/S0969-2126(00)80059-3", "ISBN" : "0969-2126 (Print)\\r0969-2126 (Linking)", "ISSN" : "09692126", "PMID" : "10545331", "abstract" : "Background: The reduction of carbon dioxide to methane in methanogenic archaea involves the tetrahydrofolate analogue tetrahydromethanopterin (H4MPT) as a C1 unit carrier. In the third step of this reaction sequence, N5-formyl-H4MPT is converted to methenyl-H4MPT+ by the enzyme methenyltetrahydromethanopterin cyclohydrolase. The cyclohydrolase from the hyperthermophilic archaeon Methanopyrus kandleri (Mch) is extremely thermostable and adapted to a high intracellular concentration of lyotropic salts. Results: Mch was crystallized and its structure solved at 2.0 ?? resolution using a combination of the single isomorphous replacement (SIR) and multiple anomalous dispersion (MAD) techniques. The structure of the homotrimeric enzyme reveals a new ??/?? fold that is composed of two domains forming a large sequence-conserved pocket between them. Two phosphate ions were found in and adjacent to this pocket, respectively; the latter is displaced by the phosphate moiety of the substrate formyl-H4MPT according to a hypothetical model of the substrate binding. Conclusions: Although the exact position of the substrate is not yet known, the residues lining the active site of Mch could be tentatively assigned. Comparison of Mch with the tetrahydrofolate-specific cyclohydrolase/dehydrogenase reveals similarities in domain arrangement and in some active-site residues, whereas the fold appears to be different. The adaptation of Mch to high salt concentrations and high temperatures is reflected by the excess of acidic residues at the trimer surface and by the higher oligomerization state of Mch compared with its mesophilic counterparts.", "author" : [ { "dropping-particle" : "", "family" : "Grabarse", "given" : "Wolfgang", "non-dropping-particle" : "", "parse-names" : false, "suffix" : "" }, { "dropping-particle" : "", "family" : "Vaupel", "given" : "Martin", "non-dropping-particle" : "", "parse-names" : false, "suffix" : "" }, { "dropping-particle" : "", "family" : "Vorholt", "given" : "Julia A.", "non-dropping-particle" : "", "parse-names" : false, "suffix" : "" }, { "dropping-particle" : "", "family" : "Shima", "given" : "Seigo", "non-dropping-particle" : "", "parse-names" : false, "suffix" : "" }, { "dropping-particle" : "", "family" : "Thauer", "given" : "Rudolf K.", "non-dropping-particle" : "", "parse-names" : false, "suffix" : "" }, { "dropping-particle" : "", "family" : "Wittershagen", "given" : "Axel", "non-dropping-particle" : "", "parse-names" : false, "suffix" : "" }, { "dropping-particle" : "", "family" : "Bourenkov", "given" : "Gleb", "non-dropping-particle" : "", "parse-names" : false, "suffix" : "" }, { "dropping-particle" : "", "family" : "Bartunik", "given" : "Hans D.", "non-dropping-particle" : "", "parse-names" : false, "suffix" : "" }, { "dropping-particle" : "", "family" : "Ermler", "given" : "Ulrich", "non-dropping-particle" : "", "parse-names" : false, "suffix" : "" } ], "container-title" : "Structure", "id" : "ITEM-2", "issue" : "10", "issued" : { "date-parts" : [ [ "1999" ] ] }, "page" : "1257-1268", "title" : "The crystal structure of methenyltetrahydromethanopterin cyclohydrolase from the hyperthermophilic archaeon Methanopyrus kandleri", "type" : "article-journal", "volume" : "7" }, "uris" : [ "http://www.mendeley.com/documents/?uuid=e29cc6aa-1ddc-4d89-b3ed-1dd260d9acda" ] } ], "mendeley" : { "formattedCitation" : "[204,205]", "plainTextFormattedCitation" : "[204,205]", "previouslyFormattedCitation" : "[204,205]" }, "properties" : { "noteIndex" : 0 }, "schema" : "https://github.com/citation-style-language/schema/raw/master/csl-citation.json" }</w:instrText>
      </w:r>
      <w:r w:rsidR="00E52E9C">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[204,205]</w:t>
      </w:r>
      <w:r w:rsidR="00E52E9C">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This compound is subsequently converted to methyl-coenzyme M, an important substrate in the final stages of methanogenesis</w:t>
      </w:r>
      <w:r w:rsidR="00E52E9C">
        <w:rPr>
          <w:rFonts w:asciiTheme="minorHAnsi" w:hAnsiTheme="minorHAnsi"/>
          <w:color w:val="000000"/>
          <w:sz w:val="22"/>
          <w:szCs w:val="22"/>
          <w:lang w:eastAsia="en-GB"/>
        </w:rPr>
        <w:t xml:space="preserve"> </w:t>
      </w:r>
      <w:r w:rsidR="00E52E9C">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"10.1042/BJ20090999", "ISBN" : "0264-6021", "ISSN" : "1470-8728", "PMID" : "19761441", "abstract" : "The euryarchaeon Methanosarcina acetivorans has no homologues of the first three enzymes that produce the essential methanogenic coenzyme M (2-mercaptoethanesulfonate) in Methanocaldococcus jannaschii. A single M. acetivorans gene was heterologously expressed to produce a functional sulfopyruvate decarboxylase protein, the fourth canonical enzyme in this biosynthetic pathway. An adjacent gene, at locus MA3297, encodes one of the organism's two threonine synthase homologues. When both paralogues from this organism were expressed in an Escherichia coli threonine synthase mutant, the MA1610 gene complemented the thrC mutation, whereas the MA3297 gene did not. Both PLP (pyridoxal 5'-phosphate)-dependent proteins were heterologously expressed and purified, but only the MA1610 protein catalysed the canonical threonine synthase reaction. The MA3297 protein specifically catalysed a new beta-replacement reaction that converted L-phosphoserine and sulfite into L-cysteate and inorganic phosphate. This oxygen-independent mode of sulfonate biosynthesis exploits the facile nucleophilic addition of sulfite to an alpha,beta-unsaturated intermediate (PLP-bound dehydroalanine). An amino acid sequence comparison indicates that cysteate synthase evolved from an ancestral threonine synthase through gene duplication, and the remodelling of active site loop regions by amino acid insertion and substitutions. The cysteate product can be converted into sulfopyruvate by an aspartate aminotransferase enzyme, establishing a new convergent pathway for coenzyme M biosynthesis that appears to function in members of the orders Methanosarcinales and Methanomicrobiales. These differences in coenzyme M biosynthesis afford the opportunity to develop methanogen inhibitors that discriminate between the classes of methanogenic archaea.", "author" : [ { "dropping-particle" : "", "family" : "Graham", "given" : "David E", "non-dropping-particle" : "", "parse-names" : false, "suffix" : "" }, { "dropping-particle" : "", "family" : "Taylor", "given" : "Stephanie M", "non-dropping-particle" : "", "parse-names" : false, "suffix" : "" }, { "dropping-particle" : "", "family" : "Wolf", "given" : "Rachel Z", "non-dropping-particle" : "", "parse-names" : false, "suffix" : "" }, { "dropping-particle" : "", "family" : "Namboori", "given" : "Seema C", "non-dropping-particle" : "", "parse-names" : false, "suffix" : "" } ], "container-title" : "The Biochemical journal", "id" : "ITEM-1", "issue" : "3", "issued" : { "date-parts" : [ [ "2009" ] ] }, "page" : "467-78", "title" : "Convergent evolution of coenzyme M biosynthesis in the Methanosarcinales: cysteate synthase evolved from an ancestral threonine synthase.", "type" : "article-journal", "volume" : "424" }, "uris" : [ "http://www.mendeley.com/documents/?uuid=7b461742-ba77-4b21-8bfb-21cb3cf3d5ca" ] } ], "mendeley" : { "formattedCitation" : "[202]", "plainTextFormattedCitation" : "[202]", "previouslyFormattedCitation" : "[202]" }, "properties" : { "noteIndex" : 0 }, "schema" : "https://github.com/citation-style-language/schema/raw/master/csl-citation.json" }</w:instrText>
      </w:r>
      <w:r w:rsidR="00E52E9C">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[202]</w:t>
      </w:r>
      <w:r w:rsidR="00E52E9C">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w:t>
      </w:r>
    </w:p>
    <w:p w14:paraId="4948B13C" w14:textId="53F26A44"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lastRenderedPageBreak/>
        <w:t xml:space="preserve">The second enzyme, methanophenazine-reducing hydrogenase (Mbar_A1845), is associated with energy conservation in </w:t>
      </w:r>
      <w:r w:rsidRPr="00C44D8C">
        <w:rPr>
          <w:rFonts w:asciiTheme="minorHAnsi" w:hAnsiTheme="minorHAnsi"/>
          <w:i/>
          <w:iCs/>
          <w:color w:val="000000"/>
          <w:sz w:val="22"/>
          <w:szCs w:val="22"/>
          <w:lang w:eastAsia="en-GB"/>
        </w:rPr>
        <w:t>M. barkeri</w:t>
      </w:r>
      <w:r w:rsidR="00E52E9C">
        <w:rPr>
          <w:rFonts w:asciiTheme="minorHAnsi" w:hAnsiTheme="minorHAnsi"/>
          <w:i/>
          <w:iCs/>
          <w:color w:val="000000"/>
          <w:sz w:val="22"/>
          <w:szCs w:val="22"/>
          <w:lang w:eastAsia="en-GB"/>
        </w:rPr>
        <w:t>.</w:t>
      </w:r>
      <w:r w:rsidRPr="00C44D8C">
        <w:rPr>
          <w:rFonts w:asciiTheme="minorHAnsi" w:hAnsiTheme="minorHAnsi"/>
          <w:color w:val="000000"/>
          <w:sz w:val="22"/>
          <w:szCs w:val="22"/>
          <w:lang w:eastAsia="en-GB"/>
        </w:rPr>
        <w:t xml:space="preserve"> </w:t>
      </w:r>
      <w:r w:rsidRPr="00C44D8C">
        <w:rPr>
          <w:rFonts w:asciiTheme="minorHAnsi" w:hAnsiTheme="minorHAnsi"/>
          <w:i/>
          <w:iCs/>
          <w:color w:val="000000"/>
          <w:sz w:val="22"/>
          <w:szCs w:val="22"/>
          <w:lang w:eastAsia="en-GB"/>
        </w:rPr>
        <w:t xml:space="preserve">Methanosarcina </w:t>
      </w:r>
      <w:r w:rsidRPr="00C44D8C">
        <w:rPr>
          <w:rFonts w:asciiTheme="minorHAnsi" w:hAnsiTheme="minorHAnsi"/>
          <w:color w:val="000000"/>
          <w:sz w:val="22"/>
          <w:szCs w:val="22"/>
          <w:lang w:eastAsia="en-GB"/>
        </w:rPr>
        <w:t xml:space="preserve">is the only order of methanogenic archaea in possession of cytochromes and methanophenazine </w:t>
      </w:r>
      <w:r w:rsidR="00E52E9C">
        <w:rPr>
          <w:rFonts w:asciiTheme="minorHAnsi" w:hAnsiTheme="minorHAnsi"/>
          <w:color w:val="000000"/>
          <w:sz w:val="22"/>
          <w:szCs w:val="22"/>
          <w:lang w:eastAsia="en-GB"/>
        </w:rPr>
        <w:t>[196]</w:t>
      </w:r>
      <w:r w:rsidRPr="00C44D8C">
        <w:rPr>
          <w:rFonts w:asciiTheme="minorHAnsi" w:hAnsiTheme="minorHAnsi"/>
          <w:color w:val="000000"/>
          <w:sz w:val="22"/>
          <w:szCs w:val="22"/>
          <w:lang w:eastAsia="en-GB"/>
        </w:rPr>
        <w:t>, which are membrane-bound protein complexes responsible for electron transport</w:t>
      </w:r>
      <w:r w:rsidR="00E52E9C">
        <w:rPr>
          <w:rFonts w:asciiTheme="minorHAnsi" w:hAnsiTheme="minorHAnsi"/>
          <w:color w:val="000000"/>
          <w:sz w:val="22"/>
          <w:szCs w:val="22"/>
          <w:lang w:eastAsia="en-GB"/>
        </w:rPr>
        <w:t xml:space="preserve"> </w:t>
      </w:r>
      <w:r w:rsidR="00E52E9C">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"10.1073/pnas.0608833103", "ISBN" : "0027-8424", "ISSN" : "0027-8424", "PMID" : "17101988", "abstract" : "Methanosarcina acetivorans produces acetate, formate, and methane when cultured with CO as the growth substrate [Rother M, Metcalf WW (2004) Proc Natl Acad Sci USA 101:], which suggests novel features of CO metabolism. Here we present a genome-wide proteomic approach to identify and quantify proteins differentially abundant in response to growth on CO versus methanol or acetate. The results indicate that oxidation of CO to CO2 supplies electrons for reduction of CO2 to a methyl group by steps and enzymes of the pathway for CO2 reduction determined for other methane-producing species. However, proteomic and quantitative RT-PCR results suggest that reduction of the methyl group to methane involves novel methyltransferases and a coenzyme F420H2:heterodisulfide oxidoreductase system that generates a proton gradient for ATP synthesis not previously described for pathways reducing CO2 to methane. Biochemical assays support a role for the oxidoreductase, and transcriptional mapping identified an unusual operon structure encoding the oxidoreductase. The proteomic results further indicate that acetate is synthesized from the methyl group and CO by a reversal of initial steps in the pathway for conversion of acetate to methane that yields ATP by substrate level phosphorylation. The results indicate that M. acetivorans utilizes a pathway distinct from all known CO2 reduction pathways for methane formation that reflects an adaptation to the marine environment. Finally, the pathway supports the basis for a recently proposed primitive CO-dependent energy-conservation cycle that drove and directed the early evolution of life on Earth.", "author" : [ { "dropping-particle" : "", "family" : "Lessner", "given" : "Daniel J", "non-dropping-particle" : "", "parse-names" : false, "suffix" : "" }, { "dropping-particle" : "", "family" : "Li", "given" : "Lingyun", "non-dropping-particle" : "", "parse-names" : false, "suffix" : "" }, { "dropping-particle" : "", "family" : "Li", "given" : "Qingbo", "non-dropping-particle" : "", "parse-names" : false, "suffix" : "" }, { "dropping-particle" : "", "family" : "Rejtar", "given" : "Tomas", "non-dropping-particle" : "", "parse-names" : false, "suffix" : "" }, { "dropping-particle" : "", "family" : "Andreev", "given" : "Victor P", "non-dropping-particle" : "", "parse-names" : false, "suffix" : "" }, { "dropping-particle" : "", "family" : "Reichlen", "given" : "Matthew", "non-dropping-particle" : "", "parse-names" : false, "suffix" : "" }, { "dropping-particle" : "", "family" : "Hill", "given" : "Kevin", "non-dropping-particle" : "", "parse-names" : false, "suffix" : "" }, { "dropping-particle" : "", "family" : "Moran", "given" : "James J", "non-dropping-particle" : "", "parse-names" : false, "suffix" : "" }, { "dropping-particle" : "", "family" : "Karger", "given" : "Barry L", "non-dropping-particle" : "", "parse-names" : false, "suffix" : "" }, { "dropping-particle" : "", "family" : "Ferry", "given" : "James G", "non-dropping-particle" : "", "parse-names" : false, "suffix" : "" } ], "container-title" : "Proceedings of the National Academy of Sciences of the United States of America", "id" : "ITEM-1", "issue" : "47", "issued" : { "date-parts" : [ [ "2006" ] ] }, "page" : "17921-17926", "title" : "An unconventional pathway for reduction of CO2 to methane in CO-grown Methanosarcina acetivorans revealed by proteomics.", "type" : "article-journal", "volume" : "103" }, "uris" : [ "http://www.mendeley.com/documents/?uuid=0b19ed18-b560-4e47-aed3-e03aaa584c37" ] } ], "mendeley" : { "formattedCitation" : "[206]", "plainTextFormattedCitation" : "[206]", "previouslyFormattedCitation" : "[206]" }, "properties" : { "noteIndex" : 0 }, "schema" : "https://github.com/citation-style-language/schema/raw/master/csl-citation.json" }</w:instrText>
      </w:r>
      <w:r w:rsidR="00E52E9C">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[206]</w:t>
      </w:r>
      <w:r w:rsidR="00E52E9C">
        <w:rPr>
          <w:rFonts w:asciiTheme="minorHAnsi" w:hAnsiTheme="minorHAnsi"/>
          <w:color w:val="000000"/>
          <w:sz w:val="22"/>
          <w:szCs w:val="22"/>
          <w:lang w:eastAsia="en-GB"/>
        </w:rPr>
        <w:fldChar w:fldCharType="end"/>
      </w:r>
      <w:r w:rsidR="00E52E9C">
        <w:rPr>
          <w:rFonts w:asciiTheme="minorHAnsi" w:hAnsiTheme="minorHAnsi"/>
          <w:color w:val="000000"/>
          <w:sz w:val="22"/>
          <w:szCs w:val="22"/>
          <w:lang w:eastAsia="en-GB"/>
        </w:rPr>
        <w:t>.</w:t>
      </w:r>
      <w:r w:rsidRPr="00C44D8C">
        <w:rPr>
          <w:rFonts w:asciiTheme="minorHAnsi" w:hAnsiTheme="minorHAnsi"/>
          <w:color w:val="000000"/>
          <w:sz w:val="22"/>
          <w:szCs w:val="22"/>
          <w:lang w:eastAsia="en-GB"/>
        </w:rPr>
        <w:t> In the reduction of CO</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with H</w:t>
      </w:r>
      <w:r w:rsidRPr="00C44D8C">
        <w:rPr>
          <w:rFonts w:asciiTheme="minorHAnsi" w:hAnsiTheme="minorHAnsi"/>
          <w:color w:val="000000"/>
          <w:sz w:val="22"/>
          <w:szCs w:val="22"/>
          <w:vertAlign w:val="subscript"/>
          <w:lang w:eastAsia="en-GB"/>
        </w:rPr>
        <w:t xml:space="preserve">2 </w:t>
      </w:r>
      <w:r w:rsidRPr="00C44D8C">
        <w:rPr>
          <w:rFonts w:asciiTheme="minorHAnsi" w:hAnsiTheme="minorHAnsi"/>
          <w:color w:val="000000"/>
          <w:sz w:val="22"/>
          <w:szCs w:val="22"/>
          <w:lang w:eastAsia="en-GB"/>
        </w:rPr>
        <w:t xml:space="preserve">to methane in </w:t>
      </w:r>
      <w:r w:rsidRPr="00C44D8C">
        <w:rPr>
          <w:rFonts w:asciiTheme="minorHAnsi" w:hAnsiTheme="minorHAnsi"/>
          <w:i/>
          <w:iCs/>
          <w:color w:val="000000"/>
          <w:sz w:val="22"/>
          <w:szCs w:val="22"/>
          <w:lang w:eastAsia="en-GB"/>
        </w:rPr>
        <w:t xml:space="preserve">Methanosarcina </w:t>
      </w:r>
      <w:r w:rsidRPr="00C44D8C">
        <w:rPr>
          <w:rFonts w:asciiTheme="minorHAnsi" w:hAnsiTheme="minorHAnsi"/>
          <w:color w:val="000000"/>
          <w:sz w:val="22"/>
          <w:szCs w:val="22"/>
          <w:lang w:eastAsia="en-GB"/>
        </w:rPr>
        <w:t>sp., methanophenazine-reducing hydrogenase transfers electrons from H</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to methanophenazine in an extremely exergonic reaction, causing the reduction of coenzyme M and coenzyme B. This exergonic reaction is coupled to the accumulation of a transmembrane electrochemical proton gradient used for ATP synthesis</w:t>
      </w:r>
      <w:r w:rsidR="00E52E9C">
        <w:rPr>
          <w:rFonts w:asciiTheme="minorHAnsi" w:hAnsiTheme="minorHAnsi"/>
          <w:color w:val="000000"/>
          <w:sz w:val="22"/>
          <w:szCs w:val="22"/>
          <w:lang w:eastAsia="en-GB"/>
        </w:rPr>
        <w:t xml:space="preserve"> </w:t>
      </w:r>
      <w:r w:rsidR="00E52E9C">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"10.1146/annurev.biochem.030508.152103", "ISBN" : "1545-4509 (Electronic) 0066-4154 (Linking)", "ISSN" : "1545-4509", "PMID" : "20235826", "abstract" : "Most methanogenic archaea reduce CO(2) with H(2) to CH(4). For the activation of H(2), they use different [NiFe]-hydrogenases, namely energy-converting [NiFe]-hydrogenases, heterodisulfide reductase-associated [NiFe]-hydrogenase or methanophenazine-reducing [NiFe]-hydrogenase, and F(420)-reducing [NiFe]-hydrogenase. The energy-converting [NiFe]-hydrogenases are phylogenetically related to complex I of the respiratory chain. Under conditions of nickel limitation, some methanogens synthesize a nickel-independent [Fe]-hydrogenase (instead of F(420)-reducing [NiFe]-hydrogenase) and by that reduce their nickel requirement. The [Fe]-hydrogenase harbors a unique iron-guanylylpyridinol cofactor (FeGP cofactor), in which a low-spin iron is ligated by two CO, one C(O)CH(2)-, one S-CH(2)-, and a sp(2)-hybridized pyridinol nitrogen. Ligation of the iron is thus similar to that of the low-spin iron in the binuclear active-site metal center of [NiFe]- and [FeFe]-hydrogenases. Putative genes for the synthesis of the FeGP cofactor have been identified. The formation of methane from 4 H(2) and CO(2) catalyzed by methanogenic archaea is being discussed as an efficient means to store H(2).", "author" : [ { "dropping-particle" : "", "family" : "Thauer", "given" : "Rudolf K", "non-dropping-particle" : "", "parse-names" : false, "suffix" : "" }, { "dropping-particle" : "", "family" : "Kaster", "given" : "Anne-Kristin", "non-dropping-particle" : "", "parse-names" : false, "suffix" : "" }, { "dropping-particle" : "", "family" : "Goenrich", "given" : "Meike", "non-dropping-particle" : "", "parse-names" : false, "suffix" : "" }, { "dropping-particle" : "", "family" : "Schick", "given" : "Michael", "non-dropping-particle" : "", "parse-names" : false, "suffix" : "" }, { "dropping-particle" : "", "family" : "Hiromoto", "given" : "Takeshi", "non-dropping-particle" : "", "parse-names" : false, "suffix" : "" }, { "dropping-particle" : "", "family" : "Shima", "given" : "Seigo", "non-dropping-particle" : "", "parse-names" : false, "suffix" : "" } ], "container-title" : "Annual review of biochemistry", "id" : "ITEM-1", "issued" : { "date-parts" : [ [ "2010" ] ] }, "page" : "507-536", "title" : "Hydrogenases from methanogenic archaea, nickel, a novel cofactor, and H2 storage.", "type" : "article-journal", "volume" : "79" }, "uris" : [ "http://www.mendeley.com/documents/?uuid=3894b1f5-3fb9-4ad4-8e1d-74efb6a097da" ] }, { "id" : "ITEM-2", "itemData" : { "author" : [ { "dropping-particle" : "", "family" : "Deppenmeier", "given" : "U", "non-dropping-particle" : "", "parse-names" : false, "suffix" : "" }, { "dropping-particle" : "", "family" : "Lienard", "given" : "T", "non-dropping-particle" : "", "parse-names" : false, "suffix" : "" }, { "dropping-particle" : "", "family" : "Gottschalk", "given" : "G", "non-dropping-particle" : "", "parse-names" : false, "suffix" : "" } ], "container-title" : "FEBS Letters", "id" : "ITEM-2", "issue" : "3", "issued" : { "date-parts" : [ [ "1999" ] ] }, "page" : "291", "title" : "Novel reactions involved in energy conservation by methanogenic archaea", "type" : "article-journal", "volume" : "457" }, "uris" : [ "http://www.mendeley.com/documents/?uuid=6ee628a2-00af-4c8c-94a4-4f36a81b61fe" ] } ], "mendeley" : { "formattedCitation" : "[207,208]", "plainTextFormattedCitation" : "[207,208]", "previouslyFormattedCitation" : "[207,208]" }, "properties" : { "noteIndex" : 0 }, "schema" : "https://github.com/citation-style-language/schema/raw/master/csl-citation.json" }</w:instrText>
      </w:r>
      <w:r w:rsidR="00E52E9C">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[207,208]</w:t>
      </w:r>
      <w:r w:rsidR="00E52E9C">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w:t>
      </w:r>
    </w:p>
    <w:p w14:paraId="04C432BA" w14:textId="07E8A186" w:rsidR="00436CD0" w:rsidRPr="00C44D8C" w:rsidRDefault="00436CD0" w:rsidP="005C5F28">
      <w:pPr>
        <w:spacing w:line="360" w:lineRule="auto"/>
        <w:ind w:firstLine="720"/>
        <w:rPr>
          <w:rFonts w:asciiTheme="minorHAnsi" w:hAnsiTheme="minorHAnsi"/>
          <w:color w:val="FF0000"/>
          <w:sz w:val="22"/>
          <w:szCs w:val="22"/>
          <w:lang w:eastAsia="en-GB"/>
        </w:rPr>
      </w:pPr>
      <w:r w:rsidRPr="00C44D8C">
        <w:rPr>
          <w:rFonts w:asciiTheme="minorHAnsi" w:hAnsiTheme="minorHAnsi"/>
          <w:color w:val="000000"/>
          <w:sz w:val="22"/>
          <w:szCs w:val="22"/>
          <w:lang w:eastAsia="en-GB"/>
        </w:rPr>
        <w:t xml:space="preserve">Another interesting observation was the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various V-type ATP synthases (Mbar_A0384, Mbar_A0385, Mbar_A0386, Mbar_A0387, Mbar_A0388, Mbar_A0389, Mbar_A0391), and two H(+)-transporting ATP synthases (Mbar_A3099, Mbar_A0392) (see Table 5.6) from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These ATP synthases are responsible for energy conservation and production. Such energy conservation and production functions complement the detection of methylcoenzyme M reductase (Mbar_A0676), which requires an energy input in order to facilitate the conversion of carbon sources into methane </w:t>
      </w:r>
      <w:r w:rsidR="00E52E9C">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"10.1021/pr049832c", "ISBN" : "1535-3893", "ISSN" : "15353893", "PMID" : "15707366", "abstract" : "Methanosarcina acetivorans is representative of the genus that is distinguished from all other methane-producing genera by extensive metabolic diversity predicted from the large genome. In Part I of this study, two-dimensional gel electrophoresis and MALDI-TOF-TOF mass spectrometry was used to investigate the proteome of methanol- or acetate-grown M. acetivorans, with the goal of an initial characterization of the diversity of the proteins synthesized. A total of 412 proteins were identified, representing nearly 10% of the ORFs, with nearly 30% conserved hypothetical or hypothetical. Of the 412 proteins, 188 were found in both acetate- and methanol-grown cells, 122 were detected only in acetate-grown cells, and 102 only in methanol-grown cells. The results revealed the expression of a remarkable number of redundant genes which encode enzymes involved in the pathways for methanogenesis from methanol or acetate, suggesting an important role for the unusually high percentage of redundant genes in Methanosarcina species. Evidence was obtained for synthesis of a sodium-transporting oxidoreductase in acetate-grown cells, with the potential to function in energy conservation. Several transcriptional regulatory proteins were identified that also function in the Bacteria domain, raising questions regarding their interaction with the Archaea/Eucarya-type basal transcription apparatus. In addition, a significant number of proteins involved in protein folding were shown to be synthesized in methanol- and acetate-grown cells. These studies provide the first examination of the protein diversity of M. acetivorans.", "author" : [ { "dropping-particle" : "", "family" : "Li", "given" : "Qingbo", "non-dropping-particle" : "", "parse-names" : false, "suffix" : "" }, { "dropping-particle" : "", "family" : "Li", "given" : "Lingyun", "non-dropping-particle" : "", "parse-names" : false, "suffix" : "" }, { "dropping-particle" : "", "family" : "Rejtar", "given" : "Tomas", "non-dropping-particle" : "", "parse-names" : false, "suffix" : "" }, { "dropping-particle" : "", "family" : "Karger", "given" : "Barry L.", "non-dropping-particle" : "", "parse-names" : false, "suffix" : "" }, { "dropping-particle" : "", "family" : "Ferry", "given" : "James G.", "non-dropping-particle" : "", "parse-names" : false, "suffix" : "" } ], "container-title" : "Journal of Proteome Research", "id" : "ITEM-1", "issued" : { "date-parts" : [ [ "2005" ] ] }, "page" : "112-128", "title" : "Proteome of Methanosarcina acetivorans part I: An expanded view of the biology of the cell", "type" : "article-journal", "volume" : "4" }, "uris" : [ "http://www.mendeley.com/documents/?uuid=65fcecdd-f47f-4e4b-96cc-dd5537762dad" ] } ], "mendeley" : { "formattedCitation" : "[170]", "plainTextFormattedCitation" : "[170]", "previouslyFormattedCitation" : "[170]" }, "properties" : { "noteIndex" : 0 }, "schema" : "https://github.com/citation-style-language/schema/raw/master/csl-citation.json" }</w:instrText>
      </w:r>
      <w:r w:rsidR="00E52E9C">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[170]</w:t>
      </w:r>
      <w:r w:rsidR="00E52E9C">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w:t>
      </w:r>
    </w:p>
    <w:p w14:paraId="75DABA92" w14:textId="668828B4" w:rsidR="00436CD0" w:rsidRPr="00C44D8C" w:rsidRDefault="00436CD0" w:rsidP="005C5F28">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Coenzyme F</w:t>
      </w:r>
      <w:r w:rsidRPr="00C44D8C">
        <w:rPr>
          <w:rFonts w:asciiTheme="minorHAnsi" w:hAnsiTheme="minorHAnsi"/>
          <w:color w:val="000000"/>
          <w:sz w:val="22"/>
          <w:szCs w:val="22"/>
          <w:vertAlign w:val="subscript"/>
          <w:lang w:eastAsia="en-GB"/>
        </w:rPr>
        <w:t>420</w:t>
      </w:r>
      <w:r w:rsidRPr="00C44D8C">
        <w:rPr>
          <w:rFonts w:asciiTheme="minorHAnsi" w:hAnsiTheme="minorHAnsi"/>
          <w:color w:val="000000"/>
          <w:sz w:val="22"/>
          <w:szCs w:val="22"/>
          <w:lang w:eastAsia="en-GB"/>
        </w:rPr>
        <w:t xml:space="preserve"> is an important cofactor involved in methanogenesis and is the main electron carrier in the cytoplasm of methanogens</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"10.1146/annurev.biochem.030508.152103", "ISBN" : "1545-4509 (Electronic) 0066-4154 (Linking)", "ISSN" : "1545-4509", "PMID" : "20235826", "abstract" : "Most methanogenic archaea reduce CO(2) with H(2) to CH(4). For the activation of H(2), they use different [NiFe]-hydrogenases, namely energy-converting [NiFe]-hydrogenases, heterodisulfide reductase-associated [NiFe]-hydrogenase or methanophenazine-reducing [NiFe]-hydrogenase, and F(420)-reducing [NiFe]-hydrogenase. The energy-converting [NiFe]-hydrogenases are phylogenetically related to complex I of the respiratory chain. Under conditions of nickel limitation, some methanogens synthesize a nickel-independent [Fe]-hydrogenase (instead of F(420)-reducing [NiFe]-hydrogenase) and by that reduce their nickel requirement. The [Fe]-hydrogenase harbors a unique iron-guanylylpyridinol cofactor (FeGP cofactor), in which a low-spin iron is ligated by two CO, one C(O)CH(2)-, one S-CH(2)-, and a sp(2)-hybridized pyridinol nitrogen. Ligation of the iron is thus similar to that of the low-spin iron in the binuclear active-site metal center of [NiFe]- and [FeFe]-hydrogenases. Putative genes for the synthesis of the FeGP cofactor have been identified. The formation of methane from 4 H(2) and CO(2) catalyzed by methanogenic archaea is being discussed as an efficient means to store H(2).", "author" : [ { "dropping-particle" : "", "family" : "Thauer", "given" : "Rudolf K", "non-dropping-particle" : "", "parse-names" : false, "suffix" : "" }, { "dropping-particle" : "", "family" : "Kaster", "given" : "Anne-Kristin", "non-dropping-particle" : "", "parse-names" : false, "suffix" : "" }, { "dropping-particle" : "", "family" : "Goenrich", "given" : "Meike", "non-dropping-particle" : "", "parse-names" : false, "suffix" : "" }, { "dropping-particle" : "", "family" : "Schick", "given" : "Michael", "non-dropping-particle" : "", "parse-names" : false, "suffix" : "" }, { "dropping-particle" : "", "family" : "Hiromoto", "given" : "Takeshi", "non-dropping-particle" : "", "parse-names" : false, "suffix" : "" }, { "dropping-particle" : "", "family" : "Shima", "given" : "Seigo", "non-dropping-particle" : "", "parse-names" : false, "suffix" : "" } ], "container-title" : "Annual review of biochemistry", "id" : "ITEM-1", "issued" : { "date-parts" : [ [ "2010" ] ] }, "page" : "507-536", "title" : "Hydrogenases from methanogenic archaea, nickel, a novel cofactor, and H2 storage.", "type" : "article-journal", "volume" : "79" }, "uris" : [ "http://www.mendeley.com/documents/?uuid=3894b1f5-3fb9-4ad4-8e1d-74efb6a097da" ] }, { "id" : "ITEM-2", "itemData" : { "author" : [ { "dropping-particle" : "", "family" : "Deppenmeier", "given" : "U", "non-dropping-particle" : "", "parse-names" : false, "suffix" : "" }, { "dropping-particle" : "", "family" : "Lienard", "given" : "T", "non-dropping-particle" : "", "parse-names" : false, "suffix" : "" }, { "dropping-particle" : "", "family" : "Gottschalk", "given" : "G", "non-dropping-particle" : "", "parse-names" : false, "suffix" : "" } ], "container-title" : "FEBS Letters", "id" : "ITEM-2", "issue" : "3", "issued" : { "date-parts" : [ [ "1999" ] ] }, "page" : "291", "title" : "Novel reactions involved in energy conservation by methanogenic archaea", "type" : "article-journal", "volume" : "457" }, "uris" : [ "http://www.mendeley.com/documents/?uuid=6ee628a2-00af-4c8c-94a4-4f36a81b61fe" ] } ], "mendeley" : { "formattedCitation" : "[207,208]", "plainTextFormattedCitation" : "[207,208]", "previouslyFormattedCitation" : "[207,208]"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[207,208]</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Coenzyme F</w:t>
      </w:r>
      <w:r w:rsidRPr="00C44D8C">
        <w:rPr>
          <w:rFonts w:asciiTheme="minorHAnsi" w:hAnsiTheme="minorHAnsi"/>
          <w:color w:val="000000"/>
          <w:sz w:val="22"/>
          <w:szCs w:val="22"/>
          <w:vertAlign w:val="subscript"/>
          <w:lang w:eastAsia="en-GB"/>
        </w:rPr>
        <w:t>420</w:t>
      </w:r>
      <w:r w:rsidRPr="00C44D8C">
        <w:rPr>
          <w:rFonts w:asciiTheme="minorHAnsi" w:hAnsiTheme="minorHAnsi"/>
          <w:color w:val="000000"/>
          <w:sz w:val="22"/>
          <w:szCs w:val="22"/>
          <w:lang w:eastAsia="en-GB"/>
        </w:rPr>
        <w:t xml:space="preserve"> is reduced by coenzyme F</w:t>
      </w:r>
      <w:r w:rsidRPr="00C44D8C">
        <w:rPr>
          <w:rFonts w:asciiTheme="minorHAnsi" w:hAnsiTheme="minorHAnsi"/>
          <w:color w:val="000000"/>
          <w:sz w:val="22"/>
          <w:szCs w:val="22"/>
          <w:vertAlign w:val="subscript"/>
          <w:lang w:eastAsia="en-GB"/>
        </w:rPr>
        <w:t>420</w:t>
      </w:r>
      <w:r w:rsidRPr="00C44D8C">
        <w:rPr>
          <w:rFonts w:asciiTheme="minorHAnsi" w:hAnsiTheme="minorHAnsi"/>
          <w:color w:val="000000"/>
          <w:sz w:val="22"/>
          <w:szCs w:val="22"/>
          <w:lang w:eastAsia="en-GB"/>
        </w:rPr>
        <w:t xml:space="preserve"> hydrogenase, and is the sole electron donor for the reduction of methylenetetrahydromethanopterin (methylene-H</w:t>
      </w:r>
      <w:r w:rsidRPr="00C44D8C">
        <w:rPr>
          <w:rFonts w:asciiTheme="minorHAnsi" w:hAnsiTheme="minorHAnsi"/>
          <w:color w:val="000000"/>
          <w:sz w:val="22"/>
          <w:szCs w:val="22"/>
          <w:vertAlign w:val="subscript"/>
          <w:lang w:eastAsia="en-GB"/>
        </w:rPr>
        <w:t>4</w:t>
      </w:r>
      <w:r w:rsidRPr="00C44D8C">
        <w:rPr>
          <w:rFonts w:asciiTheme="minorHAnsi" w:hAnsiTheme="minorHAnsi"/>
          <w:color w:val="000000"/>
          <w:sz w:val="22"/>
          <w:szCs w:val="22"/>
          <w:lang w:eastAsia="en-GB"/>
        </w:rPr>
        <w:t>MPT) in the initial stages of methanogenesis from CO</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"10.1146/annurev.biochem.030508.152103", "ISBN" : "1545-4509 (Electronic) 0066-4154 (Linking)", "ISSN" : "1545-4509", "PMID" : "20235826", "abstract" : "Most methanogenic archaea reduce CO(2) with H(2) to CH(4). For the activation of H(2), they use different [NiFe]-hydrogenases, namely energy-converting [NiFe]-hydrogenases, heterodisulfide reductase-associated [NiFe]-hydrogenase or methanophenazine-reducing [NiFe]-hydrogenase, and F(420)-reducing [NiFe]-hydrogenase. The energy-converting [NiFe]-hydrogenases are phylogenetically related to complex I of the respiratory chain. Under conditions of nickel limitation, some methanogens synthesize a nickel-independent [Fe]-hydrogenase (instead of F(420)-reducing [NiFe]-hydrogenase) and by that reduce their nickel requirement. The [Fe]-hydrogenase harbors a unique iron-guanylylpyridinol cofactor (FeGP cofactor), in which a low-spin iron is ligated by two CO, one C(O)CH(2)-, one S-CH(2)-, and a sp(2)-hybridized pyridinol nitrogen. Ligation of the iron is thus similar to that of the low-spin iron in the binuclear active-site metal center of [NiFe]- and [FeFe]-hydrogenases. Putative genes for the synthesis of the FeGP cofactor have been identified. The formation of methane from 4 H(2) and CO(2) catalyzed by methanogenic archaea is being discussed as an efficient means to store H(2).", "author" : [ { "dropping-particle" : "", "family" : "Thauer", "given" : "Rudolf K", "non-dropping-particle" : "", "parse-names" : false, "suffix" : "" }, { "dropping-particle" : "", "family" : "Kaster", "given" : "Anne-Kristin", "non-dropping-particle" : "", "parse-names" : false, "suffix" : "" }, { "dropping-particle" : "", "family" : "Goenrich", "given" : "Meike", "non-dropping-particle" : "", "parse-names" : false, "suffix" : "" }, { "dropping-particle" : "", "family" : "Schick", "given" : "Michael", "non-dropping-particle" : "", "parse-names" : false, "suffix" : "" }, { "dropping-particle" : "", "family" : "Hiromoto", "given" : "Takeshi", "non-dropping-particle" : "", "parse-names" : false, "suffix" : "" }, { "dropping-particle" : "", "family" : "Shima", "given" : "Seigo", "non-dropping-particle" : "", "parse-names" : false, "suffix" : "" } ], "container-title" : "Annual review of biochemistry", "id" : "ITEM-1", "issued" : { "date-parts" : [ [ "2010" ] ] }, "page" : "507-536", "title" : "Hydrogenases from methanogenic archaea, nickel, a novel cofactor, and H2 storage.", "type" : "article-journal", "volume" : "79" }, "uris" : [ "http://www.mendeley.com/documents/?uuid=3894b1f5-3fb9-4ad4-8e1d-74efb6a097da" ] } ], "mendeley" : { "formattedCitation" : "[207]", "plainTextFormattedCitation" : "[207]", "previouslyFormattedCitation" : "[207]"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[207]</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The </w:t>
      </w:r>
      <w:r w:rsidR="00BA6EB9">
        <w:rPr>
          <w:rFonts w:asciiTheme="minorHAnsi" w:hAnsiTheme="minorHAnsi"/>
          <w:color w:val="000000"/>
          <w:sz w:val="22"/>
          <w:szCs w:val="22"/>
          <w:lang w:eastAsia="en-GB"/>
        </w:rPr>
        <w:t>higher relative abundance</w:t>
      </w:r>
      <w:r w:rsidR="00BA6EB9"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of the two subunits of coenzyme F</w:t>
      </w:r>
      <w:r w:rsidRPr="00C44D8C">
        <w:rPr>
          <w:rFonts w:asciiTheme="minorHAnsi" w:hAnsiTheme="minorHAnsi"/>
          <w:color w:val="000000"/>
          <w:sz w:val="22"/>
          <w:szCs w:val="22"/>
          <w:vertAlign w:val="subscript"/>
          <w:lang w:eastAsia="en-GB"/>
        </w:rPr>
        <w:t>420</w:t>
      </w:r>
      <w:r w:rsidRPr="00C44D8C">
        <w:rPr>
          <w:rFonts w:asciiTheme="minorHAnsi" w:hAnsiTheme="minorHAnsi"/>
          <w:color w:val="000000"/>
          <w:sz w:val="22"/>
          <w:szCs w:val="22"/>
          <w:lang w:eastAsia="en-GB"/>
        </w:rPr>
        <w:t xml:space="preserve"> hydrogenase (Mbar_A0452, Mbar_A0662) in cells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grown on PVC compared to PETG suggests that high levels are required to start methanogenesis from CO</w:t>
      </w:r>
      <w:r w:rsidRPr="00C44D8C">
        <w:rPr>
          <w:rFonts w:asciiTheme="minorHAnsi" w:hAnsiTheme="minorHAnsi"/>
          <w:color w:val="000000"/>
          <w:sz w:val="22"/>
          <w:szCs w:val="22"/>
          <w:vertAlign w:val="subscript"/>
          <w:lang w:eastAsia="en-GB"/>
        </w:rPr>
        <w:t>2</w:t>
      </w:r>
      <w:r w:rsidRPr="00C44D8C">
        <w:rPr>
          <w:rFonts w:asciiTheme="minorHAnsi" w:hAnsiTheme="minorHAnsi"/>
          <w:color w:val="000000"/>
          <w:sz w:val="22"/>
          <w:szCs w:val="22"/>
          <w:lang w:eastAsia="en-GB"/>
        </w:rPr>
        <w:t xml:space="preserve">. Indeed, the </w:t>
      </w:r>
      <w:r w:rsidR="00BA6EB9">
        <w:rPr>
          <w:rFonts w:asciiTheme="minorHAnsi" w:hAnsiTheme="minorHAnsi"/>
          <w:color w:val="000000"/>
          <w:sz w:val="22"/>
          <w:szCs w:val="22"/>
          <w:lang w:eastAsia="en-GB"/>
        </w:rPr>
        <w:t>higher relative abundance</w:t>
      </w:r>
      <w:r w:rsidR="00BA6EB9"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of a larger number of proteins linked to methanogenesis in cells attached to PVC compared to PETG is a reflection of the role of PVC in promoting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to produce more methane compared to those on PETG.</w:t>
      </w:r>
    </w:p>
    <w:p w14:paraId="63346B4C" w14:textId="77777777" w:rsidR="00436CD0" w:rsidRPr="00C44D8C" w:rsidRDefault="00436CD0" w:rsidP="00436CD0">
      <w:pPr>
        <w:spacing w:line="360" w:lineRule="auto"/>
        <w:rPr>
          <w:rFonts w:asciiTheme="minorHAnsi" w:hAnsiTheme="minorHAnsi"/>
          <w:color w:val="000000"/>
          <w:sz w:val="22"/>
          <w:szCs w:val="22"/>
          <w:lang w:eastAsia="en-GB"/>
        </w:rPr>
      </w:pPr>
    </w:p>
    <w:p w14:paraId="6D0530FA" w14:textId="77777777" w:rsidR="00436CD0" w:rsidRPr="00C44D8C" w:rsidRDefault="00436CD0" w:rsidP="002B29E5">
      <w:pPr>
        <w:pStyle w:val="Heading7"/>
        <w:rPr>
          <w:lang w:eastAsia="en-GB"/>
        </w:rPr>
      </w:pPr>
      <w:bookmarkStart w:id="151" w:name="_Toc462575360"/>
      <w:r w:rsidRPr="00C44D8C">
        <w:rPr>
          <w:lang w:eastAsia="en-GB"/>
        </w:rPr>
        <w:t>5.3.5.2. Cell wall biogenesis</w:t>
      </w:r>
      <w:bookmarkEnd w:id="151"/>
      <w:r w:rsidRPr="00C44D8C">
        <w:rPr>
          <w:lang w:eastAsia="en-GB"/>
        </w:rPr>
        <w:t xml:space="preserve"> </w:t>
      </w:r>
    </w:p>
    <w:p w14:paraId="5BB6764D" w14:textId="4190C0A0" w:rsidR="002B29E5" w:rsidRDefault="00436CD0" w:rsidP="00436CD0">
      <w:pPr>
        <w:spacing w:after="160" w:line="360" w:lineRule="auto"/>
        <w:rPr>
          <w:rFonts w:asciiTheme="minorHAnsi" w:hAnsiTheme="minorHAnsi"/>
          <w:bCs/>
          <w:color w:val="000000"/>
          <w:sz w:val="22"/>
          <w:szCs w:val="22"/>
          <w:lang w:eastAsia="en-GB"/>
        </w:rPr>
      </w:pPr>
      <w:r w:rsidRPr="00C44D8C">
        <w:rPr>
          <w:rFonts w:asciiTheme="minorHAnsi" w:hAnsiTheme="minorHAnsi"/>
          <w:color w:val="000000"/>
          <w:sz w:val="22"/>
          <w:szCs w:val="22"/>
          <w:lang w:eastAsia="en-GB"/>
        </w:rPr>
        <w:t>A more developed biofilm is associated with an increasing accumulation of cells to a substrate, and therefore, an increased growth of cells. This increasing level of attached cell growth is accompanied by modifications to the morphology of the cell surface and the synthesis of exopolymers to facilitate irreversible adhesion and cell growth</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"10.3389/fmicb.2013.00303", "ISBN" : "1664-302X", "ISSN" : "1664-302X", "PMID" : "24133488", "abstract" : "Bacterial colonization of biotic or abiotic surfaces results from two quite distinct physiological processes, namely bacterial adhesion and biofilm formation. Broadly speaking, a biofilm is defined as the sessile development of microbial cells. Biofilm formation arises following bacterial adhesion but not all single bacterial cells adhering reversibly or irreversibly engage inexorably into a sessile mode of growth. Among molecular determinants promoting bacterial colonization, surface proteins are the most functionally diverse active components. To be present on the bacterial cell surface, though, a protein must be secreted in the first place. Considering the close association of secreted proteins with their cognate secretion systems, the secretome (which refers both to the secretion systems and their protein substrates) is a key concept to apprehend the protein secretion and related physiological functions. The protein secretion systems are here considered in light of the differences in the cell-envelope architecture between diderm-LPS (archetypal Gram-negative), monoderm (archetypal Gram-positive) and diderm-mycolate (archetypal acid-fast) bacteria. Besides, their cognate secreted proteins engaged in the bacterial colonization process are regarded from single protein to supramolecular protein structure as well as the non-classical protein secretion. This state-of-the-art on the complement of the secretome (the secretion systems and their cognate effectors) involved in the surface colonization process in diderm-LPS and monoderm bacteria paves the way for future research directions in the field.", "author" : [ { "dropping-particle" : "", "family" : "Chagnot", "given" : "Caroline", "non-dropping-particle" : "", "parse-names" : false, "suffix" : "" }, { "dropping-particle" : "", "family" : "Zorgani", "given" : "Mohamed a", "non-dropping-particle" : "", "parse-names" : false, "suffix" : "" }, { "dropping-particle" : "", "family" : "Astruc", "given" : "Thierry", "non-dropping-particle" : "", "parse-names" : false, "suffix" : "" }, { "dropping-particle" : "", "family" : "Desvaux", "given" : "Micka\u00ebl", "non-dropping-particle" : "", "parse-names" : false, "suffix" : "" } ], "container-title" : "Frontiers in microbiology", "id" : "ITEM-1", "issue" : "October", "issued" : { "date-parts" : [ [ "2013" ] ] }, "page" : "303", "title" : "Proteinaceous determinants of surface colonization in bacteria: bacterial adhesion and biofilm formation from a protein secretion perspective.", "type" : "article-journal", "volume" : "4" }, "uris" : [ "http://www.mendeley.com/documents/?uuid=9d44f133-8650-45e2-bf23-3f3bcf6ecbb5" ] }, { "id" : "ITEM-2",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"ITEM-2", "issue" : "2", "issued" : { "date-parts" : [ [ "1999", "4" ] ] }, "page" : "179-230", "title" : "Physico-chemistry of initial microbial adhesive interactions--its mechanisms and methods for study.", "type" : "article-journal", "volume" : "23" }, "uris" : [ "http://www.mendeley.com/documents/?uuid=76307d2d-eec2-4aa7-9afe-a712c36fc1f3" ] } ], "mendeley" : { "formattedCitation" : "[63,209]", "plainTextFormattedCitation" : "[63,209]", "previouslyFormattedCitation" : "[63,209]"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[63,209]</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w:t>
      </w:r>
      <w:r w:rsidRPr="00C44D8C">
        <w:rPr>
          <w:rFonts w:asciiTheme="minorHAnsi" w:hAnsiTheme="minorHAnsi"/>
          <w:bCs/>
          <w:color w:val="000000"/>
          <w:sz w:val="22"/>
          <w:szCs w:val="22"/>
          <w:lang w:eastAsia="en-GB"/>
        </w:rPr>
        <w:t xml:space="preserve">Various proteins involved in modifying the cell surface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 xml:space="preserve">were found to be </w:t>
      </w:r>
      <w:r w:rsidR="003D18AD">
        <w:rPr>
          <w:rFonts w:asciiTheme="minorHAnsi" w:hAnsiTheme="minorHAnsi"/>
          <w:color w:val="000000"/>
          <w:sz w:val="22"/>
          <w:szCs w:val="22"/>
          <w:lang w:eastAsia="en-GB"/>
        </w:rPr>
        <w:t xml:space="preserve">in </w:t>
      </w:r>
      <w:r w:rsidR="003D18AD">
        <w:rPr>
          <w:rFonts w:asciiTheme="minorHAnsi" w:hAnsiTheme="minorHAnsi"/>
          <w:color w:val="000000"/>
          <w:sz w:val="22"/>
          <w:szCs w:val="22"/>
          <w:lang w:eastAsia="en-GB"/>
        </w:rPr>
        <w:lastRenderedPageBreak/>
        <w:t>higher relative abundance</w:t>
      </w:r>
      <w:r w:rsidRPr="00C44D8C">
        <w:rPr>
          <w:rFonts w:asciiTheme="minorHAnsi" w:hAnsiTheme="minorHAnsi"/>
          <w:bCs/>
          <w:color w:val="000000"/>
          <w:sz w:val="22"/>
          <w:szCs w:val="22"/>
          <w:lang w:eastAsia="en-GB"/>
        </w:rPr>
        <w:t xml:space="preserve"> in biofilm cells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attached to PVC compared to PETG</w:t>
      </w:r>
      <w:r w:rsidRPr="00C44D8C">
        <w:rPr>
          <w:rFonts w:asciiTheme="minorHAnsi" w:hAnsiTheme="minorHAnsi"/>
          <w:bCs/>
          <w:i/>
          <w:color w:val="000000"/>
          <w:sz w:val="22"/>
          <w:szCs w:val="22"/>
          <w:lang w:eastAsia="en-GB"/>
        </w:rPr>
        <w:t xml:space="preserve">, </w:t>
      </w:r>
      <w:r w:rsidRPr="00C44D8C">
        <w:rPr>
          <w:rFonts w:asciiTheme="minorHAnsi" w:hAnsiTheme="minorHAnsi"/>
          <w:bCs/>
          <w:color w:val="000000"/>
          <w:sz w:val="22"/>
          <w:szCs w:val="22"/>
          <w:lang w:eastAsia="en-GB"/>
        </w:rPr>
        <w:t>including proteins linked to the biogenesis or N-glycosylation of the lipid membrane, S-layer and external</w:t>
      </w:r>
      <w:r w:rsidRPr="00C44D8C">
        <w:rPr>
          <w:rFonts w:asciiTheme="minorHAnsi" w:hAnsiTheme="minorHAnsi"/>
          <w:bCs/>
          <w:i/>
          <w:color w:val="000000"/>
          <w:sz w:val="22"/>
          <w:szCs w:val="22"/>
          <w:lang w:eastAsia="en-GB"/>
        </w:rPr>
        <w:t xml:space="preserve"> </w:t>
      </w:r>
      <w:r w:rsidRPr="00C44D8C">
        <w:rPr>
          <w:rFonts w:asciiTheme="minorHAnsi" w:hAnsiTheme="minorHAnsi"/>
          <w:bCs/>
          <w:color w:val="000000"/>
          <w:sz w:val="22"/>
          <w:szCs w:val="22"/>
          <w:lang w:eastAsia="en-GB"/>
        </w:rPr>
        <w:t xml:space="preserve">methanochondroitin layer of </w:t>
      </w:r>
      <w:r w:rsidRPr="00C44D8C">
        <w:rPr>
          <w:rFonts w:asciiTheme="minorHAnsi" w:hAnsiTheme="minorHAnsi"/>
          <w:bCs/>
          <w:i/>
          <w:color w:val="000000"/>
          <w:sz w:val="22"/>
          <w:szCs w:val="22"/>
          <w:lang w:eastAsia="en-GB"/>
        </w:rPr>
        <w:t>M. barkeri</w:t>
      </w:r>
      <w:r w:rsidRPr="00C44D8C">
        <w:rPr>
          <w:rFonts w:asciiTheme="minorHAnsi" w:hAnsiTheme="minorHAnsi"/>
          <w:bCs/>
          <w:color w:val="000000"/>
          <w:sz w:val="22"/>
          <w:szCs w:val="22"/>
          <w:lang w:eastAsia="en-GB"/>
        </w:rPr>
        <w:t xml:space="preserve"> (Table 5.2) Their role in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are d</w:t>
      </w:r>
      <w:r w:rsidR="00BD5CF2">
        <w:rPr>
          <w:rFonts w:asciiTheme="minorHAnsi" w:hAnsiTheme="minorHAnsi"/>
          <w:bCs/>
          <w:color w:val="000000"/>
          <w:sz w:val="22"/>
          <w:szCs w:val="22"/>
          <w:lang w:eastAsia="en-GB"/>
        </w:rPr>
        <w:t xml:space="preserve">iscussed in more detail below. </w:t>
      </w:r>
    </w:p>
    <w:p w14:paraId="4A5BEFA4" w14:textId="77777777" w:rsidR="00BD5CF2" w:rsidRPr="00C44D8C" w:rsidRDefault="00BD5CF2" w:rsidP="00436CD0">
      <w:pPr>
        <w:spacing w:after="160" w:line="360" w:lineRule="auto"/>
        <w:rPr>
          <w:rFonts w:asciiTheme="minorHAnsi" w:hAnsiTheme="minorHAnsi"/>
          <w:bCs/>
          <w:color w:val="000000"/>
          <w:sz w:val="22"/>
          <w:szCs w:val="22"/>
          <w:lang w:eastAsia="en-GB"/>
        </w:rPr>
      </w:pPr>
    </w:p>
    <w:p w14:paraId="53F7797A" w14:textId="693A893F"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Table 5.2</w:t>
      </w:r>
      <w:r w:rsidRPr="00C44D8C">
        <w:rPr>
          <w:rFonts w:asciiTheme="minorHAnsi" w:hAnsiTheme="minorHAnsi"/>
          <w:color w:val="000000"/>
          <w:sz w:val="22"/>
          <w:szCs w:val="22"/>
          <w:lang w:eastAsia="en-GB"/>
        </w:rPr>
        <w:t xml:space="preserve"> Proteins involved in cell wall and membrane biogenesis and cell growth and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changes (p ≤ 0.05).</w:t>
      </w:r>
    </w:p>
    <w:tbl>
      <w:tblPr>
        <w:tblW w:w="8379" w:type="dxa"/>
        <w:tblInd w:w="93" w:type="dxa"/>
        <w:tblLook w:val="04A0" w:firstRow="1" w:lastRow="0" w:firstColumn="1" w:lastColumn="0" w:noHBand="0" w:noVBand="1"/>
      </w:tblPr>
      <w:tblGrid>
        <w:gridCol w:w="1385"/>
        <w:gridCol w:w="4867"/>
        <w:gridCol w:w="2127"/>
      </w:tblGrid>
      <w:tr w:rsidR="00436CD0" w:rsidRPr="00C44D8C" w14:paraId="610AEC23" w14:textId="77777777" w:rsidTr="002B29E5">
        <w:trPr>
          <w:trHeight w:val="315"/>
        </w:trPr>
        <w:tc>
          <w:tcPr>
            <w:tcW w:w="1385" w:type="dxa"/>
            <w:tcBorders>
              <w:top w:val="nil"/>
              <w:left w:val="nil"/>
              <w:bottom w:val="single" w:sz="4" w:space="0" w:color="auto"/>
              <w:right w:val="nil"/>
            </w:tcBorders>
            <w:shd w:val="clear" w:color="auto" w:fill="auto"/>
            <w:vAlign w:val="center"/>
            <w:hideMark/>
          </w:tcPr>
          <w:p w14:paraId="57FC308F" w14:textId="77777777" w:rsidR="00436CD0" w:rsidRPr="00C44D8C" w:rsidRDefault="00436CD0" w:rsidP="00436CD0">
            <w:pPr>
              <w:rPr>
                <w:rFonts w:asciiTheme="minorHAnsi" w:hAnsiTheme="minorHAnsi"/>
                <w:b/>
                <w:bCs/>
                <w:color w:val="000000"/>
                <w:sz w:val="22"/>
                <w:szCs w:val="22"/>
                <w:lang w:eastAsia="zh-CN"/>
              </w:rPr>
            </w:pPr>
            <w:r w:rsidRPr="00C44D8C">
              <w:rPr>
                <w:rFonts w:asciiTheme="minorHAnsi" w:hAnsiTheme="minorHAnsi"/>
                <w:b/>
                <w:bCs/>
                <w:color w:val="000000"/>
                <w:sz w:val="22"/>
                <w:szCs w:val="22"/>
                <w:lang w:eastAsia="zh-CN"/>
              </w:rPr>
              <w:t>Loci</w:t>
            </w:r>
          </w:p>
        </w:tc>
        <w:tc>
          <w:tcPr>
            <w:tcW w:w="4867" w:type="dxa"/>
            <w:tcBorders>
              <w:top w:val="nil"/>
              <w:left w:val="nil"/>
              <w:bottom w:val="single" w:sz="4" w:space="0" w:color="auto"/>
              <w:right w:val="nil"/>
            </w:tcBorders>
            <w:shd w:val="clear" w:color="auto" w:fill="auto"/>
            <w:vAlign w:val="center"/>
            <w:hideMark/>
          </w:tcPr>
          <w:p w14:paraId="00DFC5BB" w14:textId="77777777" w:rsidR="00436CD0" w:rsidRPr="00C44D8C" w:rsidRDefault="00436CD0" w:rsidP="00436CD0">
            <w:pPr>
              <w:rPr>
                <w:rFonts w:asciiTheme="minorHAnsi" w:hAnsiTheme="minorHAnsi"/>
                <w:b/>
                <w:bCs/>
                <w:color w:val="000000"/>
                <w:sz w:val="22"/>
                <w:szCs w:val="22"/>
                <w:lang w:eastAsia="zh-CN"/>
              </w:rPr>
            </w:pPr>
            <w:r w:rsidRPr="00C44D8C">
              <w:rPr>
                <w:rFonts w:asciiTheme="minorHAnsi" w:hAnsiTheme="minorHAnsi"/>
                <w:b/>
                <w:bCs/>
                <w:color w:val="000000"/>
                <w:sz w:val="22"/>
                <w:szCs w:val="22"/>
                <w:lang w:eastAsia="zh-CN"/>
              </w:rPr>
              <w:t>Protein</w:t>
            </w:r>
          </w:p>
        </w:tc>
        <w:tc>
          <w:tcPr>
            <w:tcW w:w="2127" w:type="dxa"/>
            <w:tcBorders>
              <w:top w:val="nil"/>
              <w:left w:val="nil"/>
              <w:bottom w:val="single" w:sz="4" w:space="0" w:color="auto"/>
              <w:right w:val="nil"/>
            </w:tcBorders>
            <w:shd w:val="clear" w:color="auto" w:fill="auto"/>
            <w:vAlign w:val="center"/>
            <w:hideMark/>
          </w:tcPr>
          <w:p w14:paraId="23B13A01" w14:textId="77777777" w:rsidR="00436CD0" w:rsidRPr="00C44D8C" w:rsidRDefault="00436CD0" w:rsidP="00436CD0">
            <w:pPr>
              <w:jc w:val="center"/>
              <w:rPr>
                <w:rFonts w:asciiTheme="minorHAnsi" w:hAnsiTheme="minorHAnsi"/>
                <w:b/>
                <w:bCs/>
                <w:color w:val="000000"/>
                <w:sz w:val="22"/>
                <w:szCs w:val="22"/>
                <w:lang w:eastAsia="zh-CN"/>
              </w:rPr>
            </w:pPr>
            <w:r w:rsidRPr="00C44D8C">
              <w:rPr>
                <w:rFonts w:asciiTheme="minorHAnsi" w:hAnsiTheme="minorHAnsi"/>
                <w:b/>
                <w:bCs/>
                <w:color w:val="000000"/>
                <w:sz w:val="22"/>
                <w:szCs w:val="22"/>
                <w:lang w:eastAsia="zh-CN"/>
              </w:rPr>
              <w:t>Fold change</w:t>
            </w:r>
          </w:p>
        </w:tc>
      </w:tr>
      <w:tr w:rsidR="00436CD0" w:rsidRPr="00C44D8C" w14:paraId="7AC1575A" w14:textId="77777777" w:rsidTr="002B29E5">
        <w:trPr>
          <w:trHeight w:val="300"/>
        </w:trPr>
        <w:tc>
          <w:tcPr>
            <w:tcW w:w="8379" w:type="dxa"/>
            <w:gridSpan w:val="3"/>
            <w:tcBorders>
              <w:top w:val="single" w:sz="4" w:space="0" w:color="auto"/>
              <w:bottom w:val="nil"/>
              <w:right w:val="nil"/>
            </w:tcBorders>
            <w:shd w:val="clear" w:color="auto" w:fill="auto"/>
            <w:noWrap/>
            <w:vAlign w:val="center"/>
            <w:hideMark/>
          </w:tcPr>
          <w:p w14:paraId="7B11F3C2" w14:textId="77777777" w:rsidR="00436CD0" w:rsidRPr="00C44D8C" w:rsidRDefault="00436CD0" w:rsidP="00436CD0">
            <w:pPr>
              <w:rPr>
                <w:rFonts w:asciiTheme="minorHAnsi" w:hAnsiTheme="minorHAnsi"/>
                <w:i/>
                <w:iCs/>
                <w:color w:val="000000"/>
                <w:sz w:val="22"/>
                <w:szCs w:val="22"/>
                <w:lang w:eastAsia="zh-CN"/>
              </w:rPr>
            </w:pPr>
            <w:r w:rsidRPr="00C44D8C">
              <w:rPr>
                <w:rFonts w:asciiTheme="minorHAnsi" w:hAnsiTheme="minorHAnsi"/>
                <w:i/>
                <w:iCs/>
                <w:color w:val="000000"/>
                <w:sz w:val="22"/>
                <w:szCs w:val="22"/>
                <w:lang w:eastAsia="zh-CN"/>
              </w:rPr>
              <w:t>Cell wall/membrane biogenesis</w:t>
            </w:r>
            <w:r w:rsidRPr="00C44D8C">
              <w:rPr>
                <w:rFonts w:asciiTheme="minorHAnsi" w:hAnsiTheme="minorHAnsi"/>
                <w:color w:val="000000"/>
                <w:sz w:val="22"/>
                <w:szCs w:val="22"/>
                <w:lang w:eastAsia="zh-CN"/>
              </w:rPr>
              <w:t> </w:t>
            </w:r>
          </w:p>
        </w:tc>
      </w:tr>
      <w:tr w:rsidR="00436CD0" w:rsidRPr="00C44D8C" w14:paraId="20CFDD5B" w14:textId="77777777" w:rsidTr="002B29E5">
        <w:trPr>
          <w:trHeight w:val="300"/>
        </w:trPr>
        <w:tc>
          <w:tcPr>
            <w:tcW w:w="1385" w:type="dxa"/>
            <w:tcBorders>
              <w:top w:val="nil"/>
              <w:bottom w:val="nil"/>
              <w:right w:val="nil"/>
            </w:tcBorders>
            <w:shd w:val="clear" w:color="auto" w:fill="auto"/>
            <w:noWrap/>
            <w:vAlign w:val="center"/>
            <w:hideMark/>
          </w:tcPr>
          <w:p w14:paraId="66411DE4"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Mbar_A2140</w:t>
            </w:r>
          </w:p>
        </w:tc>
        <w:tc>
          <w:tcPr>
            <w:tcW w:w="4867" w:type="dxa"/>
            <w:tcBorders>
              <w:top w:val="nil"/>
              <w:left w:val="nil"/>
              <w:bottom w:val="nil"/>
              <w:right w:val="nil"/>
            </w:tcBorders>
            <w:shd w:val="clear" w:color="auto" w:fill="auto"/>
            <w:noWrap/>
            <w:vAlign w:val="center"/>
            <w:hideMark/>
          </w:tcPr>
          <w:p w14:paraId="6B2499F4"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UDP-N-acetylglucosamine 2-epimerase</w:t>
            </w:r>
          </w:p>
        </w:tc>
        <w:tc>
          <w:tcPr>
            <w:tcW w:w="2127" w:type="dxa"/>
            <w:tcBorders>
              <w:top w:val="nil"/>
              <w:left w:val="nil"/>
              <w:bottom w:val="nil"/>
              <w:right w:val="nil"/>
            </w:tcBorders>
            <w:shd w:val="clear" w:color="auto" w:fill="auto"/>
            <w:noWrap/>
            <w:vAlign w:val="center"/>
            <w:hideMark/>
          </w:tcPr>
          <w:p w14:paraId="76331595"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2.14</w:t>
            </w:r>
          </w:p>
        </w:tc>
      </w:tr>
      <w:tr w:rsidR="00436CD0" w:rsidRPr="00C44D8C" w14:paraId="1D2FE64B" w14:textId="77777777" w:rsidTr="002B29E5">
        <w:trPr>
          <w:trHeight w:val="300"/>
        </w:trPr>
        <w:tc>
          <w:tcPr>
            <w:tcW w:w="1385" w:type="dxa"/>
            <w:tcBorders>
              <w:top w:val="nil"/>
              <w:bottom w:val="nil"/>
              <w:right w:val="nil"/>
            </w:tcBorders>
            <w:shd w:val="clear" w:color="auto" w:fill="auto"/>
            <w:noWrap/>
            <w:vAlign w:val="center"/>
            <w:hideMark/>
          </w:tcPr>
          <w:p w14:paraId="616BB902"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Mbar_A1421</w:t>
            </w:r>
          </w:p>
        </w:tc>
        <w:tc>
          <w:tcPr>
            <w:tcW w:w="4867" w:type="dxa"/>
            <w:tcBorders>
              <w:top w:val="nil"/>
              <w:left w:val="nil"/>
              <w:bottom w:val="nil"/>
              <w:right w:val="nil"/>
            </w:tcBorders>
            <w:shd w:val="clear" w:color="auto" w:fill="auto"/>
            <w:noWrap/>
            <w:vAlign w:val="center"/>
            <w:hideMark/>
          </w:tcPr>
          <w:p w14:paraId="7CA57078"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xml:space="preserve">Mevalonate kinase </w:t>
            </w:r>
          </w:p>
        </w:tc>
        <w:tc>
          <w:tcPr>
            <w:tcW w:w="2127" w:type="dxa"/>
            <w:tcBorders>
              <w:top w:val="nil"/>
              <w:left w:val="nil"/>
              <w:bottom w:val="nil"/>
              <w:right w:val="nil"/>
            </w:tcBorders>
            <w:shd w:val="clear" w:color="auto" w:fill="auto"/>
            <w:noWrap/>
            <w:vAlign w:val="center"/>
            <w:hideMark/>
          </w:tcPr>
          <w:p w14:paraId="71D89743"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2.1</w:t>
            </w:r>
          </w:p>
        </w:tc>
      </w:tr>
      <w:tr w:rsidR="00436CD0" w:rsidRPr="00C44D8C" w14:paraId="7E3E5C11" w14:textId="77777777" w:rsidTr="002B29E5">
        <w:trPr>
          <w:trHeight w:val="300"/>
        </w:trPr>
        <w:tc>
          <w:tcPr>
            <w:tcW w:w="1385" w:type="dxa"/>
            <w:tcBorders>
              <w:top w:val="nil"/>
              <w:bottom w:val="nil"/>
              <w:right w:val="nil"/>
            </w:tcBorders>
            <w:shd w:val="clear" w:color="auto" w:fill="auto"/>
            <w:noWrap/>
            <w:vAlign w:val="center"/>
            <w:hideMark/>
          </w:tcPr>
          <w:p w14:paraId="51A295F3"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Mbar_A0291</w:t>
            </w:r>
          </w:p>
        </w:tc>
        <w:tc>
          <w:tcPr>
            <w:tcW w:w="4867" w:type="dxa"/>
            <w:tcBorders>
              <w:top w:val="nil"/>
              <w:left w:val="nil"/>
              <w:bottom w:val="nil"/>
              <w:right w:val="nil"/>
            </w:tcBorders>
            <w:shd w:val="clear" w:color="auto" w:fill="auto"/>
            <w:noWrap/>
            <w:vAlign w:val="center"/>
            <w:hideMark/>
          </w:tcPr>
          <w:p w14:paraId="655F68C9"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xml:space="preserve">Glycerol-1-phosphate dehydrogenase </w:t>
            </w:r>
          </w:p>
        </w:tc>
        <w:tc>
          <w:tcPr>
            <w:tcW w:w="2127" w:type="dxa"/>
            <w:tcBorders>
              <w:top w:val="nil"/>
              <w:left w:val="nil"/>
              <w:bottom w:val="nil"/>
              <w:right w:val="nil"/>
            </w:tcBorders>
            <w:shd w:val="clear" w:color="auto" w:fill="auto"/>
            <w:noWrap/>
            <w:vAlign w:val="center"/>
            <w:hideMark/>
          </w:tcPr>
          <w:p w14:paraId="1843DB3C"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2.07</w:t>
            </w:r>
          </w:p>
        </w:tc>
      </w:tr>
      <w:tr w:rsidR="00436CD0" w:rsidRPr="00C44D8C" w14:paraId="022179A3" w14:textId="77777777" w:rsidTr="002B29E5">
        <w:trPr>
          <w:trHeight w:val="300"/>
        </w:trPr>
        <w:tc>
          <w:tcPr>
            <w:tcW w:w="1385" w:type="dxa"/>
            <w:tcBorders>
              <w:top w:val="nil"/>
              <w:bottom w:val="nil"/>
              <w:right w:val="nil"/>
            </w:tcBorders>
            <w:shd w:val="clear" w:color="auto" w:fill="auto"/>
            <w:noWrap/>
            <w:vAlign w:val="center"/>
            <w:hideMark/>
          </w:tcPr>
          <w:p w14:paraId="395EFF1F"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Mbar_A1417</w:t>
            </w:r>
          </w:p>
        </w:tc>
        <w:tc>
          <w:tcPr>
            <w:tcW w:w="4867" w:type="dxa"/>
            <w:tcBorders>
              <w:top w:val="nil"/>
              <w:left w:val="nil"/>
              <w:bottom w:val="nil"/>
              <w:right w:val="nil"/>
            </w:tcBorders>
            <w:shd w:val="clear" w:color="auto" w:fill="auto"/>
            <w:noWrap/>
            <w:vAlign w:val="center"/>
            <w:hideMark/>
          </w:tcPr>
          <w:p w14:paraId="0C6E2759"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xml:space="preserve">Farnesyl-diphosphate synthase/geranylgeranyl-diphosphate synthase </w:t>
            </w:r>
          </w:p>
        </w:tc>
        <w:tc>
          <w:tcPr>
            <w:tcW w:w="2127" w:type="dxa"/>
            <w:tcBorders>
              <w:top w:val="nil"/>
              <w:left w:val="nil"/>
              <w:bottom w:val="nil"/>
              <w:right w:val="nil"/>
            </w:tcBorders>
            <w:shd w:val="clear" w:color="auto" w:fill="auto"/>
            <w:noWrap/>
            <w:vAlign w:val="center"/>
            <w:hideMark/>
          </w:tcPr>
          <w:p w14:paraId="78E84810"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2.04</w:t>
            </w:r>
          </w:p>
        </w:tc>
      </w:tr>
      <w:tr w:rsidR="00436CD0" w:rsidRPr="00C44D8C" w14:paraId="7C36D018" w14:textId="77777777" w:rsidTr="002B29E5">
        <w:trPr>
          <w:trHeight w:val="300"/>
        </w:trPr>
        <w:tc>
          <w:tcPr>
            <w:tcW w:w="1385" w:type="dxa"/>
            <w:tcBorders>
              <w:top w:val="nil"/>
              <w:bottom w:val="nil"/>
              <w:right w:val="nil"/>
            </w:tcBorders>
            <w:shd w:val="clear" w:color="auto" w:fill="auto"/>
            <w:noWrap/>
            <w:vAlign w:val="center"/>
            <w:hideMark/>
          </w:tcPr>
          <w:p w14:paraId="59442460"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Mbar_A3422</w:t>
            </w:r>
          </w:p>
        </w:tc>
        <w:tc>
          <w:tcPr>
            <w:tcW w:w="4867" w:type="dxa"/>
            <w:tcBorders>
              <w:top w:val="nil"/>
              <w:left w:val="nil"/>
              <w:bottom w:val="nil"/>
              <w:right w:val="nil"/>
            </w:tcBorders>
            <w:shd w:val="clear" w:color="auto" w:fill="auto"/>
            <w:noWrap/>
            <w:vAlign w:val="center"/>
            <w:hideMark/>
          </w:tcPr>
          <w:p w14:paraId="26345FA1"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xml:space="preserve">Digeranylgeranylglycerophospholipid reductase </w:t>
            </w:r>
          </w:p>
        </w:tc>
        <w:tc>
          <w:tcPr>
            <w:tcW w:w="2127" w:type="dxa"/>
            <w:tcBorders>
              <w:top w:val="nil"/>
              <w:left w:val="nil"/>
              <w:bottom w:val="nil"/>
              <w:right w:val="nil"/>
            </w:tcBorders>
            <w:shd w:val="clear" w:color="auto" w:fill="auto"/>
            <w:noWrap/>
            <w:vAlign w:val="center"/>
            <w:hideMark/>
          </w:tcPr>
          <w:p w14:paraId="42456B6B"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1.86</w:t>
            </w:r>
          </w:p>
        </w:tc>
      </w:tr>
      <w:tr w:rsidR="00436CD0" w:rsidRPr="00C44D8C" w14:paraId="07E708EA" w14:textId="77777777" w:rsidTr="002B29E5">
        <w:trPr>
          <w:trHeight w:val="300"/>
        </w:trPr>
        <w:tc>
          <w:tcPr>
            <w:tcW w:w="1385" w:type="dxa"/>
            <w:tcBorders>
              <w:top w:val="nil"/>
              <w:bottom w:val="nil"/>
              <w:right w:val="nil"/>
            </w:tcBorders>
            <w:shd w:val="clear" w:color="auto" w:fill="auto"/>
            <w:noWrap/>
            <w:vAlign w:val="center"/>
            <w:hideMark/>
          </w:tcPr>
          <w:p w14:paraId="5DDA1BF5"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Mbar_A0394</w:t>
            </w:r>
          </w:p>
        </w:tc>
        <w:tc>
          <w:tcPr>
            <w:tcW w:w="4867" w:type="dxa"/>
            <w:tcBorders>
              <w:top w:val="nil"/>
              <w:left w:val="nil"/>
              <w:bottom w:val="nil"/>
              <w:right w:val="nil"/>
            </w:tcBorders>
            <w:shd w:val="clear" w:color="auto" w:fill="auto"/>
            <w:noWrap/>
            <w:vAlign w:val="center"/>
            <w:hideMark/>
          </w:tcPr>
          <w:p w14:paraId="136F6DEF"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Polyprenyl synthetase</w:t>
            </w:r>
          </w:p>
        </w:tc>
        <w:tc>
          <w:tcPr>
            <w:tcW w:w="2127" w:type="dxa"/>
            <w:tcBorders>
              <w:top w:val="nil"/>
              <w:left w:val="nil"/>
              <w:bottom w:val="nil"/>
              <w:right w:val="nil"/>
            </w:tcBorders>
            <w:shd w:val="clear" w:color="auto" w:fill="auto"/>
            <w:noWrap/>
            <w:vAlign w:val="center"/>
            <w:hideMark/>
          </w:tcPr>
          <w:p w14:paraId="34D91AD4"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1.82</w:t>
            </w:r>
          </w:p>
        </w:tc>
      </w:tr>
      <w:tr w:rsidR="00436CD0" w:rsidRPr="00C44D8C" w14:paraId="5E080160" w14:textId="77777777" w:rsidTr="002B29E5">
        <w:trPr>
          <w:trHeight w:val="300"/>
        </w:trPr>
        <w:tc>
          <w:tcPr>
            <w:tcW w:w="1385" w:type="dxa"/>
            <w:tcBorders>
              <w:top w:val="nil"/>
              <w:bottom w:val="nil"/>
              <w:right w:val="nil"/>
            </w:tcBorders>
            <w:shd w:val="clear" w:color="auto" w:fill="auto"/>
            <w:noWrap/>
            <w:vAlign w:val="center"/>
            <w:hideMark/>
          </w:tcPr>
          <w:p w14:paraId="454DC0F0"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Mbar_A0675</w:t>
            </w:r>
          </w:p>
        </w:tc>
        <w:tc>
          <w:tcPr>
            <w:tcW w:w="4867" w:type="dxa"/>
            <w:tcBorders>
              <w:top w:val="nil"/>
              <w:left w:val="nil"/>
              <w:bottom w:val="nil"/>
              <w:right w:val="nil"/>
            </w:tcBorders>
            <w:shd w:val="clear" w:color="auto" w:fill="auto"/>
            <w:noWrap/>
            <w:vAlign w:val="center"/>
            <w:hideMark/>
          </w:tcPr>
          <w:p w14:paraId="52EF9F69"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xml:space="preserve">Geranylgeranylglyceryl phosphate synthase </w:t>
            </w:r>
          </w:p>
        </w:tc>
        <w:tc>
          <w:tcPr>
            <w:tcW w:w="2127" w:type="dxa"/>
            <w:tcBorders>
              <w:top w:val="nil"/>
              <w:left w:val="nil"/>
              <w:bottom w:val="nil"/>
              <w:right w:val="nil"/>
            </w:tcBorders>
            <w:shd w:val="clear" w:color="auto" w:fill="auto"/>
            <w:noWrap/>
            <w:vAlign w:val="center"/>
            <w:hideMark/>
          </w:tcPr>
          <w:p w14:paraId="4DC37262"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1.81</w:t>
            </w:r>
          </w:p>
        </w:tc>
      </w:tr>
      <w:tr w:rsidR="00436CD0" w:rsidRPr="00C44D8C" w14:paraId="2743DF88" w14:textId="77777777" w:rsidTr="002B29E5">
        <w:trPr>
          <w:trHeight w:val="300"/>
        </w:trPr>
        <w:tc>
          <w:tcPr>
            <w:tcW w:w="1385" w:type="dxa"/>
            <w:tcBorders>
              <w:top w:val="nil"/>
              <w:bottom w:val="nil"/>
              <w:right w:val="nil"/>
            </w:tcBorders>
            <w:shd w:val="clear" w:color="auto" w:fill="auto"/>
            <w:noWrap/>
            <w:vAlign w:val="center"/>
            <w:hideMark/>
          </w:tcPr>
          <w:p w14:paraId="7429AFAA"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Mbar_A0231</w:t>
            </w:r>
          </w:p>
        </w:tc>
        <w:tc>
          <w:tcPr>
            <w:tcW w:w="4867" w:type="dxa"/>
            <w:tcBorders>
              <w:top w:val="nil"/>
              <w:left w:val="nil"/>
              <w:bottom w:val="nil"/>
              <w:right w:val="nil"/>
            </w:tcBorders>
            <w:shd w:val="clear" w:color="auto" w:fill="auto"/>
            <w:noWrap/>
            <w:vAlign w:val="center"/>
            <w:hideMark/>
          </w:tcPr>
          <w:p w14:paraId="7E450D42"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dTDP-glucose 4,6-dehydratase</w:t>
            </w:r>
          </w:p>
        </w:tc>
        <w:tc>
          <w:tcPr>
            <w:tcW w:w="2127" w:type="dxa"/>
            <w:tcBorders>
              <w:top w:val="nil"/>
              <w:left w:val="nil"/>
              <w:bottom w:val="nil"/>
              <w:right w:val="nil"/>
            </w:tcBorders>
            <w:shd w:val="clear" w:color="auto" w:fill="auto"/>
            <w:noWrap/>
            <w:vAlign w:val="center"/>
            <w:hideMark/>
          </w:tcPr>
          <w:p w14:paraId="3A1A8A99"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1.78</w:t>
            </w:r>
          </w:p>
        </w:tc>
      </w:tr>
      <w:tr w:rsidR="00436CD0" w:rsidRPr="00C44D8C" w14:paraId="1A442709" w14:textId="77777777" w:rsidTr="002B29E5">
        <w:trPr>
          <w:trHeight w:val="300"/>
        </w:trPr>
        <w:tc>
          <w:tcPr>
            <w:tcW w:w="1385" w:type="dxa"/>
            <w:tcBorders>
              <w:top w:val="nil"/>
              <w:bottom w:val="nil"/>
              <w:right w:val="nil"/>
            </w:tcBorders>
            <w:shd w:val="clear" w:color="auto" w:fill="auto"/>
            <w:noWrap/>
            <w:vAlign w:val="center"/>
            <w:hideMark/>
          </w:tcPr>
          <w:p w14:paraId="71E336F9"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Mbar_A2020</w:t>
            </w:r>
          </w:p>
        </w:tc>
        <w:tc>
          <w:tcPr>
            <w:tcW w:w="4867" w:type="dxa"/>
            <w:tcBorders>
              <w:top w:val="nil"/>
              <w:left w:val="nil"/>
              <w:bottom w:val="nil"/>
              <w:right w:val="nil"/>
            </w:tcBorders>
            <w:shd w:val="clear" w:color="auto" w:fill="auto"/>
            <w:noWrap/>
            <w:vAlign w:val="center"/>
            <w:hideMark/>
          </w:tcPr>
          <w:p w14:paraId="34C0F51B"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Glucose-1-phosphate thymidylyltransferase</w:t>
            </w:r>
          </w:p>
        </w:tc>
        <w:tc>
          <w:tcPr>
            <w:tcW w:w="2127" w:type="dxa"/>
            <w:tcBorders>
              <w:top w:val="nil"/>
              <w:left w:val="nil"/>
              <w:bottom w:val="nil"/>
              <w:right w:val="nil"/>
            </w:tcBorders>
            <w:shd w:val="clear" w:color="auto" w:fill="auto"/>
            <w:noWrap/>
            <w:vAlign w:val="center"/>
            <w:hideMark/>
          </w:tcPr>
          <w:p w14:paraId="6987D004"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1.75</w:t>
            </w:r>
          </w:p>
        </w:tc>
      </w:tr>
      <w:tr w:rsidR="00436CD0" w:rsidRPr="00C44D8C" w14:paraId="5FBF76F0" w14:textId="77777777" w:rsidTr="002B29E5">
        <w:trPr>
          <w:trHeight w:val="300"/>
        </w:trPr>
        <w:tc>
          <w:tcPr>
            <w:tcW w:w="1385" w:type="dxa"/>
            <w:tcBorders>
              <w:top w:val="nil"/>
              <w:bottom w:val="nil"/>
              <w:right w:val="nil"/>
            </w:tcBorders>
            <w:shd w:val="clear" w:color="auto" w:fill="auto"/>
            <w:noWrap/>
            <w:vAlign w:val="center"/>
            <w:hideMark/>
          </w:tcPr>
          <w:p w14:paraId="439A483B"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Mbar_A2021</w:t>
            </w:r>
          </w:p>
        </w:tc>
        <w:tc>
          <w:tcPr>
            <w:tcW w:w="4867" w:type="dxa"/>
            <w:tcBorders>
              <w:top w:val="nil"/>
              <w:left w:val="nil"/>
              <w:bottom w:val="nil"/>
              <w:right w:val="nil"/>
            </w:tcBorders>
            <w:shd w:val="clear" w:color="auto" w:fill="auto"/>
            <w:noWrap/>
            <w:vAlign w:val="center"/>
            <w:hideMark/>
          </w:tcPr>
          <w:p w14:paraId="10D1CF9C"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xml:space="preserve">Probable phosphoglucosamine mutase </w:t>
            </w:r>
          </w:p>
        </w:tc>
        <w:tc>
          <w:tcPr>
            <w:tcW w:w="2127" w:type="dxa"/>
            <w:tcBorders>
              <w:top w:val="nil"/>
              <w:left w:val="nil"/>
              <w:bottom w:val="nil"/>
              <w:right w:val="nil"/>
            </w:tcBorders>
            <w:shd w:val="clear" w:color="auto" w:fill="auto"/>
            <w:noWrap/>
            <w:vAlign w:val="center"/>
            <w:hideMark/>
          </w:tcPr>
          <w:p w14:paraId="5C1654C8"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1.72</w:t>
            </w:r>
          </w:p>
        </w:tc>
      </w:tr>
      <w:tr w:rsidR="00436CD0" w:rsidRPr="00C44D8C" w14:paraId="74C34C27" w14:textId="77777777" w:rsidTr="002B29E5">
        <w:trPr>
          <w:trHeight w:val="300"/>
        </w:trPr>
        <w:tc>
          <w:tcPr>
            <w:tcW w:w="1385" w:type="dxa"/>
            <w:tcBorders>
              <w:top w:val="nil"/>
              <w:bottom w:val="nil"/>
              <w:right w:val="nil"/>
            </w:tcBorders>
            <w:shd w:val="clear" w:color="auto" w:fill="auto"/>
            <w:noWrap/>
            <w:vAlign w:val="center"/>
            <w:hideMark/>
          </w:tcPr>
          <w:p w14:paraId="4F42BFCF"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Mbar_A1420</w:t>
            </w:r>
          </w:p>
        </w:tc>
        <w:tc>
          <w:tcPr>
            <w:tcW w:w="4867" w:type="dxa"/>
            <w:tcBorders>
              <w:top w:val="nil"/>
              <w:left w:val="nil"/>
              <w:bottom w:val="nil"/>
              <w:right w:val="nil"/>
            </w:tcBorders>
            <w:shd w:val="clear" w:color="auto" w:fill="auto"/>
            <w:noWrap/>
            <w:vAlign w:val="center"/>
            <w:hideMark/>
          </w:tcPr>
          <w:p w14:paraId="4EC5543F"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xml:space="preserve">Isopentenyl phosphate kinase </w:t>
            </w:r>
          </w:p>
        </w:tc>
        <w:tc>
          <w:tcPr>
            <w:tcW w:w="2127" w:type="dxa"/>
            <w:tcBorders>
              <w:top w:val="nil"/>
              <w:left w:val="nil"/>
              <w:bottom w:val="nil"/>
              <w:right w:val="nil"/>
            </w:tcBorders>
            <w:shd w:val="clear" w:color="auto" w:fill="auto"/>
            <w:noWrap/>
            <w:vAlign w:val="center"/>
            <w:hideMark/>
          </w:tcPr>
          <w:p w14:paraId="033DCBE2"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1.69</w:t>
            </w:r>
          </w:p>
        </w:tc>
      </w:tr>
      <w:tr w:rsidR="00436CD0" w:rsidRPr="00C44D8C" w14:paraId="7D141430" w14:textId="77777777" w:rsidTr="002B29E5">
        <w:trPr>
          <w:trHeight w:val="300"/>
        </w:trPr>
        <w:tc>
          <w:tcPr>
            <w:tcW w:w="1385" w:type="dxa"/>
            <w:tcBorders>
              <w:top w:val="nil"/>
              <w:bottom w:val="nil"/>
              <w:right w:val="nil"/>
            </w:tcBorders>
            <w:shd w:val="clear" w:color="auto" w:fill="auto"/>
            <w:noWrap/>
            <w:vAlign w:val="center"/>
            <w:hideMark/>
          </w:tcPr>
          <w:p w14:paraId="034D7713"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Mbar_A1937</w:t>
            </w:r>
          </w:p>
        </w:tc>
        <w:tc>
          <w:tcPr>
            <w:tcW w:w="4867" w:type="dxa"/>
            <w:tcBorders>
              <w:top w:val="nil"/>
              <w:left w:val="nil"/>
              <w:bottom w:val="nil"/>
              <w:right w:val="nil"/>
            </w:tcBorders>
            <w:shd w:val="clear" w:color="auto" w:fill="auto"/>
            <w:noWrap/>
            <w:vAlign w:val="center"/>
            <w:hideMark/>
          </w:tcPr>
          <w:p w14:paraId="4DDDC488"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xml:space="preserve">Mannose-1-phosphate guanylyltransferase </w:t>
            </w:r>
          </w:p>
        </w:tc>
        <w:tc>
          <w:tcPr>
            <w:tcW w:w="2127" w:type="dxa"/>
            <w:tcBorders>
              <w:top w:val="nil"/>
              <w:left w:val="nil"/>
              <w:bottom w:val="nil"/>
              <w:right w:val="nil"/>
            </w:tcBorders>
            <w:shd w:val="clear" w:color="auto" w:fill="auto"/>
            <w:noWrap/>
            <w:vAlign w:val="center"/>
            <w:hideMark/>
          </w:tcPr>
          <w:p w14:paraId="4FC96AD4"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1.66</w:t>
            </w:r>
          </w:p>
        </w:tc>
      </w:tr>
      <w:tr w:rsidR="00436CD0" w:rsidRPr="00C44D8C" w14:paraId="75F37B05" w14:textId="77777777" w:rsidTr="002B29E5">
        <w:trPr>
          <w:trHeight w:val="300"/>
        </w:trPr>
        <w:tc>
          <w:tcPr>
            <w:tcW w:w="1385" w:type="dxa"/>
            <w:tcBorders>
              <w:top w:val="nil"/>
              <w:bottom w:val="nil"/>
              <w:right w:val="nil"/>
            </w:tcBorders>
            <w:shd w:val="clear" w:color="auto" w:fill="auto"/>
            <w:noWrap/>
            <w:vAlign w:val="center"/>
            <w:hideMark/>
          </w:tcPr>
          <w:p w14:paraId="06577917"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Mbar_A0021</w:t>
            </w:r>
          </w:p>
        </w:tc>
        <w:tc>
          <w:tcPr>
            <w:tcW w:w="4867" w:type="dxa"/>
            <w:tcBorders>
              <w:top w:val="nil"/>
              <w:left w:val="nil"/>
              <w:bottom w:val="nil"/>
              <w:right w:val="nil"/>
            </w:tcBorders>
            <w:shd w:val="clear" w:color="auto" w:fill="auto"/>
            <w:noWrap/>
            <w:vAlign w:val="center"/>
            <w:hideMark/>
          </w:tcPr>
          <w:p w14:paraId="64CD2060"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UDP-glucose 4-epimerase</w:t>
            </w:r>
          </w:p>
        </w:tc>
        <w:tc>
          <w:tcPr>
            <w:tcW w:w="2127" w:type="dxa"/>
            <w:tcBorders>
              <w:top w:val="nil"/>
              <w:left w:val="nil"/>
              <w:bottom w:val="nil"/>
              <w:right w:val="nil"/>
            </w:tcBorders>
            <w:shd w:val="clear" w:color="auto" w:fill="auto"/>
            <w:noWrap/>
            <w:vAlign w:val="center"/>
            <w:hideMark/>
          </w:tcPr>
          <w:p w14:paraId="2C5FE57B"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1.58</w:t>
            </w:r>
          </w:p>
        </w:tc>
      </w:tr>
      <w:tr w:rsidR="00436CD0" w:rsidRPr="00C44D8C" w14:paraId="46DD1642" w14:textId="77777777" w:rsidTr="002B29E5">
        <w:trPr>
          <w:trHeight w:val="300"/>
        </w:trPr>
        <w:tc>
          <w:tcPr>
            <w:tcW w:w="1385" w:type="dxa"/>
            <w:tcBorders>
              <w:top w:val="nil"/>
              <w:bottom w:val="nil"/>
              <w:right w:val="nil"/>
            </w:tcBorders>
            <w:shd w:val="clear" w:color="auto" w:fill="auto"/>
            <w:noWrap/>
            <w:vAlign w:val="center"/>
            <w:hideMark/>
          </w:tcPr>
          <w:p w14:paraId="18C358C5"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Mbar_A2853</w:t>
            </w:r>
          </w:p>
        </w:tc>
        <w:tc>
          <w:tcPr>
            <w:tcW w:w="4867" w:type="dxa"/>
            <w:tcBorders>
              <w:top w:val="nil"/>
              <w:left w:val="nil"/>
              <w:bottom w:val="nil"/>
              <w:right w:val="nil"/>
            </w:tcBorders>
            <w:shd w:val="clear" w:color="auto" w:fill="auto"/>
            <w:noWrap/>
            <w:vAlign w:val="center"/>
            <w:hideMark/>
          </w:tcPr>
          <w:p w14:paraId="19312B0D"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Surface layer protein B</w:t>
            </w:r>
          </w:p>
        </w:tc>
        <w:tc>
          <w:tcPr>
            <w:tcW w:w="2127" w:type="dxa"/>
            <w:tcBorders>
              <w:top w:val="nil"/>
              <w:left w:val="nil"/>
              <w:bottom w:val="nil"/>
              <w:right w:val="nil"/>
            </w:tcBorders>
            <w:shd w:val="clear" w:color="auto" w:fill="auto"/>
            <w:noWrap/>
            <w:vAlign w:val="center"/>
            <w:hideMark/>
          </w:tcPr>
          <w:p w14:paraId="0E4D4F04"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1.58</w:t>
            </w:r>
          </w:p>
        </w:tc>
      </w:tr>
      <w:tr w:rsidR="00436CD0" w:rsidRPr="00C44D8C" w14:paraId="61B4B5F6" w14:textId="77777777" w:rsidTr="002B29E5">
        <w:trPr>
          <w:trHeight w:val="300"/>
        </w:trPr>
        <w:tc>
          <w:tcPr>
            <w:tcW w:w="1385" w:type="dxa"/>
            <w:tcBorders>
              <w:top w:val="nil"/>
              <w:bottom w:val="nil"/>
              <w:right w:val="nil"/>
            </w:tcBorders>
            <w:shd w:val="clear" w:color="auto" w:fill="auto"/>
            <w:noWrap/>
            <w:vAlign w:val="center"/>
            <w:hideMark/>
          </w:tcPr>
          <w:p w14:paraId="2AABB898"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Mbar_A1119</w:t>
            </w:r>
          </w:p>
        </w:tc>
        <w:tc>
          <w:tcPr>
            <w:tcW w:w="4867" w:type="dxa"/>
            <w:tcBorders>
              <w:top w:val="nil"/>
              <w:left w:val="nil"/>
              <w:bottom w:val="nil"/>
              <w:right w:val="nil"/>
            </w:tcBorders>
            <w:shd w:val="clear" w:color="auto" w:fill="auto"/>
            <w:noWrap/>
            <w:vAlign w:val="center"/>
            <w:hideMark/>
          </w:tcPr>
          <w:p w14:paraId="18D57829"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UDP-glucose 6-dehydrogenase</w:t>
            </w:r>
          </w:p>
        </w:tc>
        <w:tc>
          <w:tcPr>
            <w:tcW w:w="2127" w:type="dxa"/>
            <w:tcBorders>
              <w:top w:val="nil"/>
              <w:left w:val="nil"/>
              <w:bottom w:val="nil"/>
              <w:right w:val="nil"/>
            </w:tcBorders>
            <w:shd w:val="clear" w:color="auto" w:fill="auto"/>
            <w:noWrap/>
            <w:vAlign w:val="center"/>
            <w:hideMark/>
          </w:tcPr>
          <w:p w14:paraId="506F87AC"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1.56</w:t>
            </w:r>
          </w:p>
        </w:tc>
      </w:tr>
      <w:tr w:rsidR="00436CD0" w:rsidRPr="00C44D8C" w14:paraId="1EDCE8BB" w14:textId="77777777" w:rsidTr="002B29E5">
        <w:trPr>
          <w:trHeight w:val="300"/>
        </w:trPr>
        <w:tc>
          <w:tcPr>
            <w:tcW w:w="1385" w:type="dxa"/>
            <w:tcBorders>
              <w:top w:val="nil"/>
              <w:bottom w:val="nil"/>
              <w:right w:val="nil"/>
            </w:tcBorders>
            <w:shd w:val="clear" w:color="auto" w:fill="auto"/>
            <w:noWrap/>
            <w:vAlign w:val="center"/>
            <w:hideMark/>
          </w:tcPr>
          <w:p w14:paraId="6CB58E75"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Mbar_A1887</w:t>
            </w:r>
          </w:p>
        </w:tc>
        <w:tc>
          <w:tcPr>
            <w:tcW w:w="4867" w:type="dxa"/>
            <w:tcBorders>
              <w:top w:val="nil"/>
              <w:left w:val="nil"/>
              <w:bottom w:val="nil"/>
              <w:right w:val="nil"/>
            </w:tcBorders>
            <w:shd w:val="clear" w:color="auto" w:fill="auto"/>
            <w:noWrap/>
            <w:vAlign w:val="center"/>
            <w:hideMark/>
          </w:tcPr>
          <w:p w14:paraId="0C271485"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dTDP-4-dehydrorhamnose 3,5-epimerase</w:t>
            </w:r>
          </w:p>
        </w:tc>
        <w:tc>
          <w:tcPr>
            <w:tcW w:w="2127" w:type="dxa"/>
            <w:tcBorders>
              <w:top w:val="nil"/>
              <w:left w:val="nil"/>
              <w:bottom w:val="nil"/>
              <w:right w:val="nil"/>
            </w:tcBorders>
            <w:shd w:val="clear" w:color="auto" w:fill="auto"/>
            <w:noWrap/>
            <w:vAlign w:val="center"/>
            <w:hideMark/>
          </w:tcPr>
          <w:p w14:paraId="524AE917"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1.55</w:t>
            </w:r>
          </w:p>
        </w:tc>
      </w:tr>
      <w:tr w:rsidR="00436CD0" w:rsidRPr="00C44D8C" w14:paraId="3A0145E6" w14:textId="77777777" w:rsidTr="002B29E5">
        <w:trPr>
          <w:trHeight w:val="300"/>
        </w:trPr>
        <w:tc>
          <w:tcPr>
            <w:tcW w:w="1385" w:type="dxa"/>
            <w:tcBorders>
              <w:top w:val="nil"/>
              <w:bottom w:val="nil"/>
              <w:right w:val="nil"/>
            </w:tcBorders>
            <w:shd w:val="clear" w:color="auto" w:fill="auto"/>
            <w:noWrap/>
            <w:vAlign w:val="center"/>
            <w:hideMark/>
          </w:tcPr>
          <w:p w14:paraId="1BD90B74"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Mbar_A1139</w:t>
            </w:r>
          </w:p>
        </w:tc>
        <w:tc>
          <w:tcPr>
            <w:tcW w:w="4867" w:type="dxa"/>
            <w:tcBorders>
              <w:top w:val="nil"/>
              <w:left w:val="nil"/>
              <w:bottom w:val="nil"/>
              <w:right w:val="nil"/>
            </w:tcBorders>
            <w:shd w:val="clear" w:color="auto" w:fill="auto"/>
            <w:noWrap/>
            <w:vAlign w:val="center"/>
            <w:hideMark/>
          </w:tcPr>
          <w:p w14:paraId="7099197C"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NDP-N-acetyl-D-galactosaminuronic acid dehydrogenase</w:t>
            </w:r>
          </w:p>
        </w:tc>
        <w:tc>
          <w:tcPr>
            <w:tcW w:w="2127" w:type="dxa"/>
            <w:tcBorders>
              <w:top w:val="nil"/>
              <w:left w:val="nil"/>
              <w:bottom w:val="nil"/>
              <w:right w:val="nil"/>
            </w:tcBorders>
            <w:shd w:val="clear" w:color="auto" w:fill="auto"/>
            <w:noWrap/>
            <w:vAlign w:val="center"/>
            <w:hideMark/>
          </w:tcPr>
          <w:p w14:paraId="3C739AAA"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1.46</w:t>
            </w:r>
          </w:p>
        </w:tc>
      </w:tr>
      <w:tr w:rsidR="00436CD0" w:rsidRPr="00C44D8C" w14:paraId="70820D15" w14:textId="77777777" w:rsidTr="002B29E5">
        <w:trPr>
          <w:trHeight w:val="315"/>
        </w:trPr>
        <w:tc>
          <w:tcPr>
            <w:tcW w:w="1385" w:type="dxa"/>
            <w:tcBorders>
              <w:top w:val="nil"/>
              <w:bottom w:val="single" w:sz="4" w:space="0" w:color="auto"/>
              <w:right w:val="nil"/>
            </w:tcBorders>
            <w:shd w:val="clear" w:color="auto" w:fill="auto"/>
            <w:noWrap/>
            <w:vAlign w:val="center"/>
            <w:hideMark/>
          </w:tcPr>
          <w:p w14:paraId="5DE34FBC"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w:t>
            </w:r>
          </w:p>
        </w:tc>
        <w:tc>
          <w:tcPr>
            <w:tcW w:w="4867" w:type="dxa"/>
            <w:tcBorders>
              <w:top w:val="nil"/>
              <w:left w:val="nil"/>
              <w:bottom w:val="single" w:sz="4" w:space="0" w:color="auto"/>
              <w:right w:val="nil"/>
            </w:tcBorders>
            <w:shd w:val="clear" w:color="auto" w:fill="auto"/>
            <w:noWrap/>
            <w:vAlign w:val="center"/>
            <w:hideMark/>
          </w:tcPr>
          <w:p w14:paraId="7476CE90"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 </w:t>
            </w:r>
          </w:p>
        </w:tc>
        <w:tc>
          <w:tcPr>
            <w:tcW w:w="2127" w:type="dxa"/>
            <w:tcBorders>
              <w:top w:val="nil"/>
              <w:left w:val="nil"/>
              <w:bottom w:val="single" w:sz="4" w:space="0" w:color="auto"/>
              <w:right w:val="nil"/>
            </w:tcBorders>
            <w:shd w:val="clear" w:color="auto" w:fill="auto"/>
            <w:noWrap/>
            <w:vAlign w:val="center"/>
            <w:hideMark/>
          </w:tcPr>
          <w:p w14:paraId="0CDF6067"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 </w:t>
            </w:r>
          </w:p>
        </w:tc>
      </w:tr>
      <w:tr w:rsidR="00436CD0" w:rsidRPr="00C44D8C" w14:paraId="5F4F24F4" w14:textId="77777777" w:rsidTr="002B29E5">
        <w:trPr>
          <w:trHeight w:val="300"/>
        </w:trPr>
        <w:tc>
          <w:tcPr>
            <w:tcW w:w="8379" w:type="dxa"/>
            <w:gridSpan w:val="3"/>
            <w:tcBorders>
              <w:top w:val="single" w:sz="4" w:space="0" w:color="auto"/>
              <w:bottom w:val="nil"/>
              <w:right w:val="nil"/>
            </w:tcBorders>
            <w:shd w:val="clear" w:color="auto" w:fill="auto"/>
            <w:noWrap/>
            <w:vAlign w:val="center"/>
            <w:hideMark/>
          </w:tcPr>
          <w:p w14:paraId="483CCB46" w14:textId="77777777" w:rsidR="00436CD0" w:rsidRPr="00C44D8C" w:rsidRDefault="00436CD0" w:rsidP="00436CD0">
            <w:pPr>
              <w:rPr>
                <w:rFonts w:asciiTheme="minorHAnsi" w:hAnsiTheme="minorHAnsi"/>
                <w:i/>
                <w:iCs/>
                <w:color w:val="000000"/>
                <w:sz w:val="22"/>
                <w:szCs w:val="22"/>
                <w:lang w:eastAsia="zh-CN"/>
              </w:rPr>
            </w:pPr>
            <w:r w:rsidRPr="00C44D8C">
              <w:rPr>
                <w:rFonts w:asciiTheme="minorHAnsi" w:hAnsiTheme="minorHAnsi"/>
                <w:i/>
                <w:iCs/>
                <w:color w:val="000000"/>
                <w:sz w:val="22"/>
                <w:szCs w:val="22"/>
                <w:lang w:eastAsia="zh-CN"/>
              </w:rPr>
              <w:t>Cell cycle control, mitosis and meiosis</w:t>
            </w:r>
          </w:p>
        </w:tc>
      </w:tr>
      <w:tr w:rsidR="00436CD0" w:rsidRPr="00C44D8C" w14:paraId="3823044D" w14:textId="77777777" w:rsidTr="002B29E5">
        <w:trPr>
          <w:trHeight w:val="300"/>
        </w:trPr>
        <w:tc>
          <w:tcPr>
            <w:tcW w:w="1385" w:type="dxa"/>
            <w:tcBorders>
              <w:top w:val="nil"/>
              <w:bottom w:val="nil"/>
              <w:right w:val="nil"/>
            </w:tcBorders>
            <w:shd w:val="clear" w:color="auto" w:fill="auto"/>
            <w:noWrap/>
            <w:vAlign w:val="center"/>
            <w:hideMark/>
          </w:tcPr>
          <w:p w14:paraId="7A498D63"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Mbar_A1885</w:t>
            </w:r>
          </w:p>
        </w:tc>
        <w:tc>
          <w:tcPr>
            <w:tcW w:w="4867" w:type="dxa"/>
            <w:tcBorders>
              <w:top w:val="nil"/>
              <w:left w:val="nil"/>
              <w:bottom w:val="nil"/>
              <w:right w:val="nil"/>
            </w:tcBorders>
            <w:shd w:val="clear" w:color="auto" w:fill="auto"/>
            <w:noWrap/>
            <w:vAlign w:val="center"/>
            <w:hideMark/>
          </w:tcPr>
          <w:p w14:paraId="72C20C9E" w14:textId="77777777" w:rsidR="00436CD0" w:rsidRPr="00C44D8C" w:rsidRDefault="00436CD0" w:rsidP="00436CD0">
            <w:pPr>
              <w:rPr>
                <w:rFonts w:asciiTheme="minorHAnsi" w:hAnsiTheme="minorHAnsi"/>
                <w:color w:val="000000"/>
                <w:sz w:val="22"/>
                <w:szCs w:val="22"/>
                <w:lang w:val="de-DE" w:eastAsia="zh-CN"/>
              </w:rPr>
            </w:pPr>
            <w:r w:rsidRPr="00C44D8C">
              <w:rPr>
                <w:rFonts w:asciiTheme="minorHAnsi" w:hAnsiTheme="minorHAnsi"/>
                <w:color w:val="000000"/>
                <w:sz w:val="22"/>
                <w:szCs w:val="22"/>
                <w:lang w:val="de-DE" w:eastAsia="zh-CN"/>
              </w:rPr>
              <w:t>CODH nickel-insertion accessory protein</w:t>
            </w:r>
          </w:p>
        </w:tc>
        <w:tc>
          <w:tcPr>
            <w:tcW w:w="2127" w:type="dxa"/>
            <w:tcBorders>
              <w:top w:val="nil"/>
              <w:left w:val="nil"/>
              <w:bottom w:val="nil"/>
              <w:right w:val="nil"/>
            </w:tcBorders>
            <w:shd w:val="clear" w:color="auto" w:fill="auto"/>
            <w:noWrap/>
            <w:vAlign w:val="center"/>
            <w:hideMark/>
          </w:tcPr>
          <w:p w14:paraId="196AFAC5"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1.77</w:t>
            </w:r>
          </w:p>
        </w:tc>
      </w:tr>
      <w:tr w:rsidR="00436CD0" w:rsidRPr="00C44D8C" w14:paraId="28B6089F" w14:textId="77777777" w:rsidTr="002B29E5">
        <w:trPr>
          <w:trHeight w:val="300"/>
        </w:trPr>
        <w:tc>
          <w:tcPr>
            <w:tcW w:w="1385" w:type="dxa"/>
            <w:tcBorders>
              <w:top w:val="nil"/>
              <w:bottom w:val="nil"/>
              <w:right w:val="nil"/>
            </w:tcBorders>
            <w:shd w:val="clear" w:color="auto" w:fill="auto"/>
            <w:noWrap/>
            <w:vAlign w:val="center"/>
            <w:hideMark/>
          </w:tcPr>
          <w:p w14:paraId="3268C24F"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Mbar_A0618</w:t>
            </w:r>
          </w:p>
        </w:tc>
        <w:tc>
          <w:tcPr>
            <w:tcW w:w="4867" w:type="dxa"/>
            <w:tcBorders>
              <w:top w:val="nil"/>
              <w:left w:val="nil"/>
              <w:bottom w:val="nil"/>
              <w:right w:val="nil"/>
            </w:tcBorders>
            <w:shd w:val="clear" w:color="auto" w:fill="auto"/>
            <w:noWrap/>
            <w:vAlign w:val="center"/>
            <w:hideMark/>
          </w:tcPr>
          <w:p w14:paraId="77F31D59"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Cell division protein FtsZ</w:t>
            </w:r>
          </w:p>
        </w:tc>
        <w:tc>
          <w:tcPr>
            <w:tcW w:w="2127" w:type="dxa"/>
            <w:tcBorders>
              <w:top w:val="nil"/>
              <w:left w:val="nil"/>
              <w:bottom w:val="nil"/>
              <w:right w:val="nil"/>
            </w:tcBorders>
            <w:shd w:val="clear" w:color="auto" w:fill="auto"/>
            <w:noWrap/>
            <w:vAlign w:val="center"/>
            <w:hideMark/>
          </w:tcPr>
          <w:p w14:paraId="44B9D891"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1.77</w:t>
            </w:r>
          </w:p>
        </w:tc>
      </w:tr>
      <w:tr w:rsidR="00436CD0" w:rsidRPr="00C44D8C" w14:paraId="75D1E346" w14:textId="77777777" w:rsidTr="002B29E5">
        <w:trPr>
          <w:trHeight w:val="300"/>
        </w:trPr>
        <w:tc>
          <w:tcPr>
            <w:tcW w:w="1385" w:type="dxa"/>
            <w:tcBorders>
              <w:top w:val="nil"/>
              <w:bottom w:val="nil"/>
              <w:right w:val="nil"/>
            </w:tcBorders>
            <w:shd w:val="clear" w:color="auto" w:fill="auto"/>
            <w:noWrap/>
            <w:vAlign w:val="center"/>
            <w:hideMark/>
          </w:tcPr>
          <w:p w14:paraId="6A757C59"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Mbar_A0191</w:t>
            </w:r>
          </w:p>
        </w:tc>
        <w:tc>
          <w:tcPr>
            <w:tcW w:w="4867" w:type="dxa"/>
            <w:tcBorders>
              <w:top w:val="nil"/>
              <w:left w:val="nil"/>
              <w:bottom w:val="nil"/>
              <w:right w:val="nil"/>
            </w:tcBorders>
            <w:shd w:val="clear" w:color="auto" w:fill="auto"/>
            <w:noWrap/>
            <w:vAlign w:val="center"/>
            <w:hideMark/>
          </w:tcPr>
          <w:p w14:paraId="38305233"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Cell division protein FtsZ</w:t>
            </w:r>
          </w:p>
        </w:tc>
        <w:tc>
          <w:tcPr>
            <w:tcW w:w="2127" w:type="dxa"/>
            <w:tcBorders>
              <w:top w:val="nil"/>
              <w:left w:val="nil"/>
              <w:bottom w:val="nil"/>
              <w:right w:val="nil"/>
            </w:tcBorders>
            <w:shd w:val="clear" w:color="auto" w:fill="auto"/>
            <w:noWrap/>
            <w:vAlign w:val="center"/>
            <w:hideMark/>
          </w:tcPr>
          <w:p w14:paraId="30CE4FA3"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1.72</w:t>
            </w:r>
          </w:p>
        </w:tc>
      </w:tr>
      <w:tr w:rsidR="00436CD0" w:rsidRPr="00C44D8C" w14:paraId="62AA29BB" w14:textId="77777777" w:rsidTr="002B29E5">
        <w:trPr>
          <w:trHeight w:val="300"/>
        </w:trPr>
        <w:tc>
          <w:tcPr>
            <w:tcW w:w="1385" w:type="dxa"/>
            <w:tcBorders>
              <w:top w:val="nil"/>
              <w:right w:val="nil"/>
            </w:tcBorders>
            <w:shd w:val="clear" w:color="auto" w:fill="auto"/>
            <w:noWrap/>
            <w:vAlign w:val="center"/>
            <w:hideMark/>
          </w:tcPr>
          <w:p w14:paraId="1008E413"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Mbar_A0908</w:t>
            </w:r>
          </w:p>
        </w:tc>
        <w:tc>
          <w:tcPr>
            <w:tcW w:w="4867" w:type="dxa"/>
            <w:tcBorders>
              <w:top w:val="nil"/>
              <w:left w:val="nil"/>
              <w:right w:val="nil"/>
            </w:tcBorders>
            <w:shd w:val="clear" w:color="auto" w:fill="auto"/>
            <w:noWrap/>
            <w:vAlign w:val="center"/>
            <w:hideMark/>
          </w:tcPr>
          <w:p w14:paraId="40227941"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Cell division control protein 48</w:t>
            </w:r>
          </w:p>
        </w:tc>
        <w:tc>
          <w:tcPr>
            <w:tcW w:w="2127" w:type="dxa"/>
            <w:tcBorders>
              <w:top w:val="nil"/>
              <w:left w:val="nil"/>
              <w:right w:val="nil"/>
            </w:tcBorders>
            <w:shd w:val="clear" w:color="auto" w:fill="auto"/>
            <w:noWrap/>
            <w:vAlign w:val="center"/>
            <w:hideMark/>
          </w:tcPr>
          <w:p w14:paraId="05928FFA"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1.68</w:t>
            </w:r>
          </w:p>
        </w:tc>
      </w:tr>
      <w:tr w:rsidR="00436CD0" w:rsidRPr="00C44D8C" w14:paraId="5ACB74FF" w14:textId="77777777" w:rsidTr="002B29E5">
        <w:trPr>
          <w:trHeight w:val="300"/>
        </w:trPr>
        <w:tc>
          <w:tcPr>
            <w:tcW w:w="1385" w:type="dxa"/>
            <w:tcBorders>
              <w:top w:val="nil"/>
              <w:bottom w:val="single" w:sz="4" w:space="0" w:color="auto"/>
              <w:right w:val="nil"/>
            </w:tcBorders>
            <w:shd w:val="clear" w:color="auto" w:fill="auto"/>
            <w:noWrap/>
            <w:vAlign w:val="center"/>
            <w:hideMark/>
          </w:tcPr>
          <w:p w14:paraId="350FE8D0"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Mbar_A0529</w:t>
            </w:r>
          </w:p>
        </w:tc>
        <w:tc>
          <w:tcPr>
            <w:tcW w:w="4867" w:type="dxa"/>
            <w:tcBorders>
              <w:top w:val="nil"/>
              <w:left w:val="nil"/>
              <w:bottom w:val="single" w:sz="4" w:space="0" w:color="auto"/>
              <w:right w:val="nil"/>
            </w:tcBorders>
            <w:shd w:val="clear" w:color="auto" w:fill="auto"/>
            <w:noWrap/>
            <w:vAlign w:val="center"/>
            <w:hideMark/>
          </w:tcPr>
          <w:p w14:paraId="3E635365" w14:textId="77777777" w:rsidR="00436CD0" w:rsidRPr="00C44D8C" w:rsidRDefault="00436CD0" w:rsidP="00436CD0">
            <w:pPr>
              <w:rPr>
                <w:rFonts w:asciiTheme="minorHAnsi" w:hAnsiTheme="minorHAnsi"/>
                <w:color w:val="000000"/>
                <w:sz w:val="22"/>
                <w:szCs w:val="22"/>
                <w:lang w:eastAsia="zh-CN"/>
              </w:rPr>
            </w:pPr>
            <w:r w:rsidRPr="00C44D8C">
              <w:rPr>
                <w:rFonts w:asciiTheme="minorHAnsi" w:hAnsiTheme="minorHAnsi"/>
                <w:color w:val="000000"/>
                <w:sz w:val="22"/>
                <w:szCs w:val="22"/>
                <w:lang w:eastAsia="zh-CN"/>
              </w:rPr>
              <w:t>Cell division cycle protein 48-like protein</w:t>
            </w:r>
          </w:p>
        </w:tc>
        <w:tc>
          <w:tcPr>
            <w:tcW w:w="2127" w:type="dxa"/>
            <w:tcBorders>
              <w:top w:val="nil"/>
              <w:left w:val="nil"/>
              <w:bottom w:val="single" w:sz="4" w:space="0" w:color="auto"/>
              <w:right w:val="nil"/>
            </w:tcBorders>
            <w:shd w:val="clear" w:color="auto" w:fill="auto"/>
            <w:noWrap/>
            <w:vAlign w:val="center"/>
            <w:hideMark/>
          </w:tcPr>
          <w:p w14:paraId="03832FBF" w14:textId="77777777" w:rsidR="00436CD0" w:rsidRPr="00C44D8C" w:rsidRDefault="00436CD0" w:rsidP="00436CD0">
            <w:pPr>
              <w:jc w:val="center"/>
              <w:rPr>
                <w:rFonts w:asciiTheme="minorHAnsi" w:hAnsiTheme="minorHAnsi"/>
                <w:color w:val="000000"/>
                <w:sz w:val="22"/>
                <w:szCs w:val="22"/>
                <w:lang w:eastAsia="zh-CN"/>
              </w:rPr>
            </w:pPr>
            <w:r w:rsidRPr="00C44D8C">
              <w:rPr>
                <w:rFonts w:asciiTheme="minorHAnsi" w:hAnsiTheme="minorHAnsi"/>
                <w:color w:val="000000"/>
                <w:sz w:val="22"/>
                <w:szCs w:val="22"/>
                <w:lang w:eastAsia="zh-CN"/>
              </w:rPr>
              <w:t>1.66</w:t>
            </w:r>
          </w:p>
        </w:tc>
      </w:tr>
    </w:tbl>
    <w:p w14:paraId="4A5446D5" w14:textId="77777777" w:rsidR="00436CD0" w:rsidRPr="00C44D8C" w:rsidRDefault="00436CD0" w:rsidP="00436CD0">
      <w:pPr>
        <w:spacing w:line="360" w:lineRule="auto"/>
        <w:rPr>
          <w:rFonts w:asciiTheme="minorHAnsi" w:hAnsiTheme="minorHAnsi"/>
          <w:color w:val="000000"/>
          <w:sz w:val="22"/>
          <w:szCs w:val="22"/>
          <w:lang w:eastAsia="en-GB"/>
        </w:rPr>
      </w:pPr>
    </w:p>
    <w:p w14:paraId="1E2E3E4F" w14:textId="58DF4A6D"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color w:val="000000"/>
          <w:sz w:val="22"/>
          <w:szCs w:val="22"/>
          <w:lang w:eastAsia="en-GB"/>
        </w:rPr>
        <w:tab/>
        <w:t>Mevalonate kinase is involved in the mevalonate pathway and is responsible for the synthesis of isopentenyl pyrophosphate (IPP)</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"10.3389/fmicb.2014.00641", "abstract" : "A vital function of the cell membrane in all living organism is to maintain the membrane permeability barrier and fluidity. The composition of the phospholipid bilayer is distinct in archaea when compared to bacteria and eukarya. In archaea, isoprenoid hydrocarbon side chains are linked via an ether bond to the sn-glycerol-1-phosphate backbone. In bacteria and eukarya on the other hand, fatty acid side chains are linked via an ester bond to the sn-glycerol-3-phosphate backbone. The polar head groups are globally shared in the three domains of life.The unique membrane lipids of archaea have been implicated not only in the survival and adaptation of the organisms to extreme environments but also to form the basis of the membrane composition of the last universal common ancestor (LUCA). In nature, a diverse range of archaeal lipids is found, the most common are the diether (or archaeol) and the tetraether (or caldarchaeol) lipids that form a monolayer. Variations in chain length, cyclization and other modifications lead to diversification of these lipids. The biosynthesis of these lipids is not yet well understood however progress in the last decade has led to a comprehensive understanding of the biosynthesis of archaeol. This review describes the current knowledge of the biosynthetic pathway of archaeal ether lipids; insights on the stability and robustness of archaeal lipid membranes; and evolutionary aspects of the lipid divide and the LUCA. It examines recent advances made in the field of pathway reconstruction in bacteria.", "author" : [ { "dropping-particle" : "", "family" : "Jain", "given" : "Samta", "non-dropping-particle" : "", "parse-names" : false, "suffix" : "" }, { "dropping-particle" : "", "family" : "Caforio", "given" : "Antonella", "non-dropping-particle" : "", "parse-names" : false, "suffix" : "" }, { "dropping-particle" : "", "family" : "M Driessen", "given" : "Arnold J", "non-dropping-particle" : "", "parse-names" : false, "suffix" : "" } ], "container-title" : "Frontiers in microbiology", "id" : "ITEM-1", "issued" : { "date-parts" : [ [ "2014" ] ] }, "page" : "1-16", "title" : "Biosynthesis of archaeal membrane ether lipids", "type" : "article-journal", "volume" : "5" }, "uris" : [ "http://www.mendeley.com/documents/?uuid=487e0156-3dbb-3674-9fe5-277d0cafd4e6" ] } ], "mendeley" : { "formattedCitation" : "[210]", "plainTextFormattedCitation" : "[210]", "previouslyFormattedCitation" : "[210]"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[210]</w:t>
      </w:r>
      <w:r w:rsidR="004614B6">
        <w:rPr>
          <w:rFonts w:asciiTheme="minorHAnsi" w:hAnsiTheme="minorHAnsi"/>
          <w:color w:val="000000"/>
          <w:sz w:val="22"/>
          <w:szCs w:val="22"/>
          <w:lang w:eastAsia="en-GB"/>
        </w:rPr>
        <w:fldChar w:fldCharType="end"/>
      </w:r>
      <w:r w:rsidR="004614B6">
        <w:rPr>
          <w:rFonts w:asciiTheme="minorHAnsi" w:hAnsiTheme="minorHAnsi"/>
          <w:color w:val="000000"/>
          <w:sz w:val="22"/>
          <w:szCs w:val="22"/>
          <w:lang w:eastAsia="en-GB"/>
        </w:rPr>
        <w:t>.</w:t>
      </w:r>
      <w:r w:rsidRPr="00C44D8C">
        <w:rPr>
          <w:rFonts w:asciiTheme="minorHAnsi" w:hAnsiTheme="minorHAnsi"/>
          <w:color w:val="000000"/>
          <w:sz w:val="22"/>
          <w:szCs w:val="22"/>
          <w:lang w:eastAsia="en-GB"/>
        </w:rPr>
        <w:t xml:space="preserve"> IPP is the intermediate building block for the synthesis of isoprenoids, which constitute the major constituents of the ether-linked archaeal lipid membrane layer</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"10.1016/j.resmic.2010.10.003", "ISBN" : "0923-2508", "ISSN" : "09232508", "PMID" : "21034816", "abstract" : "Isoprenoids are indispensable for all types of cellular life in the Archaea, Bacteria, and Eucarya. These membrane-associated molecules are involved in a wide variety of vital biological functions, ranging from compartmentalization and stability, to protection and energy-transduction. In Archaea, isoprenoid compounds constitute the hydrophobic moiety of the typical ether-linked membrane lipids. With respect to stereochemistry and composition, these archaeal lipids are very different from the ester-linked, fatty acid-based phospholipids in bacterial and eukaryotic membranes. This review provides an update on isoprenoid biosynthesis pathways, with a focus on the archaeal enzymes. The black-and-white distribution of fundamentally distinct membrane lipids in Archaea on the one hand, and Bacteria and Eucarya on the other, has previously been used as a basis for hypothetical evolutionary scenarios, a selection of which will be discussed here. ?? 2010.", "author" : [ { "dropping-particle" : "", "family" : "Matsumi", "given" : "Rie", "non-dropping-particle" : "", "parse-names" : false, "suffix" : "" }, { "dropping-particle" : "", "family" : "Atomi", "given" : "Haruyuki", "non-dropping-particle" : "", "parse-names" : false, "suffix" : "" }, { "dropping-particle" : "", "family" : "Driessen", "given" : "Arnold J M", "non-dropping-particle" : "", "parse-names" : false, "suffix" : "" }, { "dropping-particle" : "", "family" : "Oost", "given" : "John", "non-dropping-particle" : "van der", "parse-names" : false, "suffix" : "" } ], "container-title" : "Research in Microbiology", "id" : "ITEM-1", "issue" : "1", "issued" : { "date-parts" : [ [ "2011" ] ] }, "page" : "39-52", "publisher" : "Elsevier Masson SAS", "title" : "Isoprenoid biosynthesis in Archaea - Biochemical and evolutionary implications", "type" : "article-journal", "volume" : "162" }, "uris" : [ "http://www.mendeley.com/documents/?uuid=e4d8c677-1cf5-426e-8073-a6328c0e840b" ] }, { "id" : "ITEM-2", "itemData" : { "DOI" : "10.3389/fmicb.2014.00624", "ISBN" : "1664-302X (Electronic)\\r1664-302X (Linking)", "ISSN" : "1664-302X", "PMID" : "25505452", "abstract" : "The common idea of typical cell wall architecture in archaea consists of a pseudo-crystalline proteinaceous surface layer (S-layer), situated upon the cytoplasmic membrane. This is true for the majority of described archaea, hitherto. Within the crenarchaea, the S-layer often represents the only cell wall component, but there are various exceptions from this wall architecture. Beside (glycosylated) S-layers in (hyper)thermophilic cren- and euryarchaea as well as halophilic archaea, one can find a great variety of other cell wall structures like proteoglycan-like S-layers (Halobacteria), glutaminylglycan (Natronococci), methanochondroitin (Methanosarcina) or double layered cell walls with pseudomurein (Methanothermus and Methanopyrus). The presence of an outermost cellular membrane in the crenarchaeal species Ignicoccus hospitalis already gave indications for an outer membrane similar to Gram-negative bacteria. Although there is just limited data concerning their biochemistry and ultrastructure, recent studies on the euryarchaeal methanogen Methanomassiliicoccus luminyensis, cells of the ARMAN group, and the SM1 euryarchaeon delivered further examples for this exceptional cell envelope type consisting of two membranes.", "author" : [ { "dropping-particle" : "", "family" : "Klingl", "given" : "Andreas", "non-dropping-particle" : "", "parse-names" : false, "suffix" : "" } ], "container-title" : "Frontiers in Microbiology", "id" : "ITEM-2", "issued" : { "date-parts" : [ [ "2014" ] ] }, "page" : "1-6", "title" : "S-layer and cytoplasmic membrane - exceptions from the typical archaeal cell wall with a focus on double membranes.", "type" : "article-journal", "volume" : "5" }, "uris" : [ "http://www.mendeley.com/documents/?uuid=aa21aad6-5402-4ec6-93e2-4e9ba9fd1df7" ] } ], "mendeley" : { "formattedCitation" : "[211,212]", "plainTextFormattedCitation" : "[211,212]", "previouslyFormattedCitation" : "[211,212]"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[211,212]</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Farnesyl-diphosphate synthase/geranylgeranyl-</w:t>
      </w:r>
      <w:r w:rsidRPr="00C44D8C">
        <w:rPr>
          <w:rFonts w:asciiTheme="minorHAnsi" w:hAnsiTheme="minorHAnsi"/>
          <w:color w:val="000000"/>
          <w:sz w:val="22"/>
          <w:szCs w:val="22"/>
          <w:lang w:eastAsia="en-GB"/>
        </w:rPr>
        <w:lastRenderedPageBreak/>
        <w:t xml:space="preserve">diphosphate synthase is involved in the subsequent condensation of IPP, producing archaeal membrane lipids with the commonly found chain lengths of C20 (geranylgeranyl diphosphate) and C25 (farnesylgeranyl diphosphate)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"10.3389/fmicb.2014.00641", "abstract" : "A vital function of the cell membrane in all living organism is to maintain the membrane permeability barrier and fluidity. The composition of the phospholipid bilayer is distinct in archaea when compared to bacteria and eukarya. In archaea, isoprenoid hydrocarbon side chains are linked via an ether bond to the sn-glycerol-1-phosphate backbone. In bacteria and eukarya on the other hand, fatty acid side chains are linked via an ester bond to the sn-glycerol-3-phosphate backbone. The polar head groups are globally shared in the three domains of life.The unique membrane lipids of archaea have been implicated not only in the survival and adaptation of the organisms to extreme environments but also to form the basis of the membrane composition of the last universal common ancestor (LUCA). In nature, a diverse range of archaeal lipids is found, the most common are the diether (or archaeol) and the tetraether (or caldarchaeol) lipids that form a monolayer. Variations in chain length, cyclization and other modifications lead to diversification of these lipids. The biosynthesis of these lipids is not yet well understood however progress in the last decade has led to a comprehensive understanding of the biosynthesis of archaeol. This review describes the current knowledge of the biosynthetic pathway of archaeal ether lipids; insights on the stability and robustness of archaeal lipid membranes; and evolutionary aspects of the lipid divide and the LUCA. It examines recent advances made in the field of pathway reconstruction in bacteria.", "author" : [ { "dropping-particle" : "", "family" : "Jain", "given" : "Samta", "non-dropping-particle" : "", "parse-names" : false, "suffix" : "" }, { "dropping-particle" : "", "family" : "Caforio", "given" : "Antonella", "non-dropping-particle" : "", "parse-names" : false, "suffix" : "" }, { "dropping-particle" : "", "family" : "M Driessen", "given" : "Arnold J", "non-dropping-particle" : "", "parse-names" : false, "suffix" : "" } ], "container-title" : "Frontiers in microbiology", "id" : "ITEM-1", "issued" : { "date-parts" : [ [ "2014" ] ] }, "page" : "1-16", "title" : "Biosynthesis of archaeal membrane ether lipids", "type" : "article-journal", "volume" : "5" }, "uris" : [ "http://www.mendeley.com/documents/?uuid=487e0156-3dbb-3674-9fe5-277d0cafd4e6" ] } ], "mendeley" : { "formattedCitation" : "[210]", "plainTextFormattedCitation" : "[210]", "previouslyFormattedCitation" : "[210]"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[210]</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In this study, both </w:t>
      </w:r>
      <w:r w:rsidRPr="00C44D8C">
        <w:rPr>
          <w:rFonts w:asciiTheme="minorHAnsi" w:hAnsiTheme="minorHAnsi"/>
          <w:sz w:val="22"/>
          <w:szCs w:val="22"/>
          <w:lang w:eastAsia="en-GB"/>
        </w:rPr>
        <w:t>m</w:t>
      </w:r>
      <w:r w:rsidRPr="00C44D8C">
        <w:rPr>
          <w:rFonts w:asciiTheme="minorHAnsi" w:hAnsiTheme="minorHAnsi"/>
          <w:color w:val="000000"/>
          <w:sz w:val="22"/>
          <w:szCs w:val="22"/>
          <w:lang w:eastAsia="en-GB"/>
        </w:rPr>
        <w:t xml:space="preserve">evalonate kinase (Mbar_A1421) and farnesyl-diphosphate synthase/geranylgeranyl-diphosphate synthase (Mbar_A1417) were found </w:t>
      </w:r>
      <w:r w:rsidR="00BA6EB9">
        <w:rPr>
          <w:rFonts w:asciiTheme="minorHAnsi" w:hAnsiTheme="minorHAnsi"/>
          <w:color w:val="000000"/>
          <w:sz w:val="22"/>
          <w:szCs w:val="22"/>
          <w:lang w:eastAsia="en-GB"/>
        </w:rPr>
        <w:t xml:space="preserve">at relative abundance levels </w:t>
      </w:r>
      <w:r w:rsidRPr="00C44D8C">
        <w:rPr>
          <w:rFonts w:asciiTheme="minorHAnsi" w:hAnsiTheme="minorHAnsi"/>
          <w:color w:val="000000"/>
          <w:sz w:val="22"/>
          <w:szCs w:val="22"/>
          <w:lang w:eastAsia="en-GB"/>
        </w:rPr>
        <w:t>two-fold</w:t>
      </w:r>
      <w:r w:rsidR="00BA6EB9">
        <w:rPr>
          <w:rFonts w:asciiTheme="minorHAnsi" w:hAnsiTheme="minorHAnsi"/>
          <w:color w:val="000000"/>
          <w:sz w:val="22"/>
          <w:szCs w:val="22"/>
          <w:lang w:eastAsia="en-GB"/>
        </w:rPr>
        <w:t xml:space="preserve"> higher</w:t>
      </w:r>
      <w:r w:rsidRPr="00C44D8C">
        <w:rPr>
          <w:rFonts w:asciiTheme="minorHAnsi" w:hAnsiTheme="minorHAnsi"/>
          <w:color w:val="000000"/>
          <w:sz w:val="22"/>
          <w:szCs w:val="22"/>
          <w:lang w:eastAsia="en-GB"/>
        </w:rPr>
        <w:t xml:space="preserve"> in biofilm cells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(Table 5.2), suggesting </w:t>
      </w:r>
      <w:r w:rsidR="00BA6EB9">
        <w:rPr>
          <w:rFonts w:asciiTheme="minorHAnsi" w:hAnsiTheme="minorHAnsi"/>
          <w:color w:val="000000"/>
          <w:sz w:val="22"/>
          <w:szCs w:val="22"/>
          <w:lang w:eastAsia="en-GB"/>
        </w:rPr>
        <w:t xml:space="preserve">an increased use </w:t>
      </w:r>
      <w:r w:rsidRPr="00C44D8C">
        <w:rPr>
          <w:rFonts w:asciiTheme="minorHAnsi" w:hAnsiTheme="minorHAnsi"/>
          <w:color w:val="000000"/>
          <w:sz w:val="22"/>
          <w:szCs w:val="22"/>
          <w:lang w:eastAsia="en-GB"/>
        </w:rPr>
        <w:t xml:space="preserve">of the mevalonate pathway for the biosynthesis of membrane lipids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in response to biofilm attachment to PVC.</w:t>
      </w:r>
    </w:p>
    <w:p w14:paraId="6F1929DF" w14:textId="2502F50E" w:rsidR="00436CD0" w:rsidRPr="00C44D8C" w:rsidRDefault="00436CD0" w:rsidP="005C5F28">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In addition, four uncharacterised proteins (Mbar_2011, Mbar_A1557, </w:t>
      </w:r>
      <w:r w:rsidRPr="00C44D8C">
        <w:rPr>
          <w:rFonts w:asciiTheme="minorHAnsi" w:hAnsiTheme="minorHAnsi"/>
          <w:sz w:val="22"/>
          <w:szCs w:val="22"/>
          <w:lang w:eastAsia="en-GB"/>
        </w:rPr>
        <w:t>Mbar_A2016 and Mbar_A1034</w:t>
      </w:r>
      <w:r w:rsidRPr="00C44D8C">
        <w:rPr>
          <w:rFonts w:asciiTheme="minorHAnsi" w:hAnsiTheme="minorHAnsi"/>
          <w:color w:val="000000"/>
          <w:sz w:val="22"/>
          <w:szCs w:val="22"/>
          <w:lang w:eastAsia="en-GB"/>
        </w:rPr>
        <w:t xml:space="preserve">) were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 cells attached to PVC compared to PETG. A previous study has suggested that there is a strong similarity between these four uncharacterised proteins to a major S-layer surface protein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(Mbar_1758)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"10.1155/2012/873589", "ISSN" : "14723646", "PMID" : "22666082", "abstract" : "Many archaeal cell envelopes contain a protein coat or sheath composed of one or more surface exposed proteins. These surface layer (S-layer) proteins contribute structural integrity and protect the lipid membrane from environmental challenges. To explore the species diversity of these layers in the Methanosarcinaceae, the major S-layer protein in Methanosarcina barkeri strain Fusaro was identified using proteomics. The Mbar_A1758 gene product was present in multiple forms with apparent sizes of 130, 120, and 100 kDa, consistent with post-translational modifications including signal peptide excision and protein glycosylation. A protein with features related to the surface layer proteins found in Methanosarcina acetivorans C2A and Methanosarcina mazei Goel was identified in the M. barkeri genome. These data reveal a distinct conserved protein signature with features and implied cell surface architecture in the Methanosarcinaceae that is absent in other archaea. Paralogous gene expression patterns in two Methanosarcina species revealed abundant expression of a single S-layer paralog in each strain. Respective promoter elements were identified and shown to be conserved in mRNA coding and upstream untranslated regions. Prior M. acetivorans genome annotations assigned S-layer or surface layer associated roles of eighty genes: however, of 68 examined none was significantly expressed relative to the experimentally determined S-layer gene.", "author" : [ { "dropping-particle" : "", "family" : "Rohlin", "given" : "Lars", "non-dropping-particle" : "", "parse-names" : false, "suffix" : "" }, { "dropping-particle" : "", "family" : "Leon", "given" : "Deborah R.", "non-dropping-particle" : "", "parse-names" : false, "suffix" : "" }, { "dropping-particle" : "", "family" : "Kim", "given" : "Unmi", "non-dropping-particle" : "", "parse-names" : false, "suffix" : "" }, { "dropping-particle" : "", "family" : "Loo", "given" : "Joseph a.", "non-dropping-particle" : "", "parse-names" : false, "suffix" : "" }, { "dropping-particle" : "", "family" : "Ogorzalek Loo", "given" : "Rachel R.", "non-dropping-particle" : "", "parse-names" : false, "suffix" : "" }, { "dropping-particle" : "", "family" : "Gunsalus", "given" : "Robert P.", "non-dropping-particle" : "", "parse-names" : false, "suffix" : "" } ], "container-title" : "Archaea", "id" : "ITEM-1", "issued" : { "date-parts" : [ [ "2012" ] ] }, "title" : "Identification of the major expressed S-layer and cell surface-layer- related proteins in the model methanogenic archaea: Methanosarcina barkeri fusaro and methanosarcina acetivorans C2A", "type" : "article-journal", "volume" : "2012" }, "uris" : [ "http://www.mendeley.com/documents/?uuid=43affbaf-edf9-440b-ba0d-be5c12e4af18" ] } ], "mendeley" : { "formattedCitation" : "[213]", "plainTextFormattedCitation" : "[213]", "previouslyFormattedCitation" : "[213]"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[213]</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In turn, this major S-layer protein (Mbar_1758) was found to be analogous to the major S-layer proteins, MM1976 and MA0829, from </w:t>
      </w:r>
      <w:r w:rsidRPr="00C44D8C">
        <w:rPr>
          <w:rFonts w:asciiTheme="minorHAnsi" w:hAnsiTheme="minorHAnsi"/>
          <w:i/>
          <w:iCs/>
          <w:color w:val="000000"/>
          <w:sz w:val="22"/>
          <w:szCs w:val="22"/>
          <w:lang w:eastAsia="en-GB"/>
        </w:rPr>
        <w:t xml:space="preserve">M. mazei </w:t>
      </w:r>
      <w:r w:rsidRPr="00C44D8C">
        <w:rPr>
          <w:rFonts w:asciiTheme="minorHAnsi" w:hAnsiTheme="minorHAnsi"/>
          <w:color w:val="000000"/>
          <w:sz w:val="22"/>
          <w:szCs w:val="22"/>
          <w:lang w:eastAsia="en-GB"/>
        </w:rPr>
        <w:t>and</w:t>
      </w:r>
      <w:r w:rsidRPr="00C44D8C">
        <w:rPr>
          <w:rFonts w:asciiTheme="minorHAnsi" w:hAnsiTheme="minorHAnsi"/>
          <w:i/>
          <w:iCs/>
          <w:color w:val="000000"/>
          <w:sz w:val="22"/>
          <w:szCs w:val="22"/>
          <w:lang w:eastAsia="en-GB"/>
        </w:rPr>
        <w:t xml:space="preserve"> M. acetivorans </w:t>
      </w:r>
      <w:r w:rsidRPr="00C44D8C">
        <w:rPr>
          <w:rFonts w:asciiTheme="minorHAnsi" w:hAnsiTheme="minorHAnsi"/>
          <w:color w:val="000000"/>
          <w:sz w:val="22"/>
          <w:szCs w:val="22"/>
          <w:lang w:eastAsia="en-GB"/>
        </w:rPr>
        <w:t xml:space="preserve">respectively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"10.1021/pr800923e", "ISBN" : "1535-3893", "ISSN" : "15353893", "PMID" : "19228054", "abstract" : "The outermost cell envelope structure of many archaea and bacteria contains a proteinaceous lattice termed the surface layer or S-layer. It is typically composed of only one or two abundant, often posttranslationally modified proteins that self-assemble to form the highly organized arrays. Surprisingly, over 100 proteins were annotated to be S-layer components in the archaeal species Methanosarcina acetivorans C2A and Methanosarcina mazei G\u00f61, reflecting limitations of current predictions. An in vivo biotinylation methodology was devised to affinity tag surface-exposed proteins while overcoming unique challenges in working with these fragile organisms. Cells were adapted to growth under N2 fixing conditions, thus, minimizing free amines reactive to the NHS-label, and high pH media compatible with the acylation chemistry was used. A 3-phase separation procedure was employed to isolate intact, labeled cells from lysed-cell derived proteins. Streptavidin affinity enrichment followed by stringent wash conditions removed nonspecifically bound proteins. This methodology revealed S-layer proteins in M. acetivorans C2A and M. mazei G\u00f61 to be MA0829 and MM1976, respectively. Each was demonstrated to exist as multiple glycosylated forms using SDS-PAGE coupled with glycoprotein-specific staining, and by interaction with the lectin, Concanavalin A. A number of additional surface-exposed proteins and glycoproteins were identified and included all three subunits of the thermosome: the latter suggests that the chaperonin complex is both surface- and cytoplasmically localized. This approach provides an alternative strategy to study surface proteins in the archaea.", "author" : [ { "dropping-particle" : "", "family" : "Francoleon", "given" : "Deborah R.", "non-dropping-particle" : "", "parse-names" : false, "suffix" : "" }, { "dropping-particle" : "", "family" : "Boontheung", "given" : "Pinmanee", "non-dropping-particle" : "", "parse-names" : false, "suffix" : "" }, { "dropping-particle" : "", "family" : "Yang", "given" : "Yanan", "non-dropping-particle" : "", "parse-names" : false, "suffix" : "" }, { "dropping-particle" : "", "family" : "Kim", "given" : "UnMi", "non-dropping-particle" : "", "parse-names" : false, "suffix" : "" }, { "dropping-particle" : "", "family" : "Ytterberg", "given" : "a. Jimmy", "non-dropping-particle" : "", "parse-names" : false, "suffix" : "" }, { "dropping-particle" : "", "family" : "Denny", "given" : "Patricia a.", "non-dropping-particle" : "", "parse-names" : false, "suffix" : "" }, { "dropping-particle" : "", "family" : "Denny", "given" : "Paul C.", "non-dropping-particle" : "", "parse-names" : false, "suffix" : "" }, { "dropping-particle" : "", "family" : "Loo", "given" : "Joseph a.", "non-dropping-particle" : "", "parse-names" : false, "suffix" : "" }, { "dropping-particle" : "", "family" : "Gunsalus", "given" : "Robert P.", "non-dropping-particle" : "", "parse-names" : false, "suffix" : "" }, { "dropping-particle" : "", "family" : "Loo", "given" : "Rachel R Ogorzalek", "non-dropping-particle" : "", "parse-names" : false, "suffix" : "" } ], "container-title" : "Journal of Proteome Research", "id" : "ITEM-1", "issued" : { "date-parts" : [ [ "2009" ] ] }, "page" : "1972-1982", "title" : "S-layer, surface-accessible, and concanavalin a binding proteins of Methanosarcina acetivorans and methanosarcina mazei", "type" : "article-journal", "volume" : "8" }, "uris" : [ "http://www.mendeley.com/documents/?uuid=6fdb9415-1316-487e-bc96-d138005afc47" ] } ], "mendeley" : { "formattedCitation" : "[214]", "plainTextFormattedCitation" : "[214]", "previouslyFormattedCitation" : "[214]"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[214]</w:t>
      </w:r>
      <w:r w:rsidR="004614B6">
        <w:rPr>
          <w:rFonts w:asciiTheme="minorHAnsi" w:hAnsiTheme="minorHAnsi"/>
          <w:color w:val="000000"/>
          <w:sz w:val="22"/>
          <w:szCs w:val="22"/>
          <w:lang w:eastAsia="en-GB"/>
        </w:rPr>
        <w:fldChar w:fldCharType="end"/>
      </w:r>
      <w:r w:rsidRPr="00C44D8C">
        <w:rPr>
          <w:rFonts w:asciiTheme="minorHAnsi" w:hAnsiTheme="minorHAnsi"/>
          <w:i/>
          <w:iCs/>
          <w:color w:val="000000"/>
          <w:sz w:val="22"/>
          <w:szCs w:val="22"/>
          <w:lang w:eastAsia="en-GB"/>
        </w:rPr>
        <w:t xml:space="preserve">. </w:t>
      </w:r>
      <w:r w:rsidRPr="00C44D8C">
        <w:rPr>
          <w:rFonts w:asciiTheme="minorHAnsi" w:hAnsiTheme="minorHAnsi"/>
          <w:iCs/>
          <w:color w:val="000000"/>
          <w:sz w:val="22"/>
          <w:szCs w:val="22"/>
          <w:lang w:eastAsia="en-GB"/>
        </w:rPr>
        <w:t xml:space="preserve">Therefore, </w:t>
      </w:r>
      <w:r w:rsidR="004614B6">
        <w:rPr>
          <w:rFonts w:asciiTheme="minorHAnsi" w:hAnsiTheme="minorHAnsi"/>
          <w:iCs/>
          <w:color w:val="000000"/>
          <w:sz w:val="22"/>
          <w:szCs w:val="22"/>
          <w:lang w:eastAsia="en-GB"/>
        </w:rPr>
        <w:t>this could suggest</w:t>
      </w:r>
      <w:r w:rsidRPr="00C44D8C">
        <w:rPr>
          <w:rFonts w:asciiTheme="minorHAnsi" w:hAnsiTheme="minorHAnsi"/>
          <w:iCs/>
          <w:color w:val="000000"/>
          <w:sz w:val="22"/>
          <w:szCs w:val="22"/>
          <w:lang w:eastAsia="en-GB"/>
        </w:rPr>
        <w:t xml:space="preserve"> that the four uncharacterised proteins</w:t>
      </w:r>
      <w:r w:rsidR="003D18AD">
        <w:rPr>
          <w:rFonts w:asciiTheme="minorHAnsi" w:hAnsiTheme="minorHAnsi"/>
          <w:iCs/>
          <w:color w:val="000000"/>
          <w:sz w:val="22"/>
          <w:szCs w:val="22"/>
          <w:lang w:eastAsia="en-GB"/>
        </w:rPr>
        <w:t xml:space="preserve"> </w:t>
      </w:r>
      <w:r w:rsidR="003D18AD">
        <w:rPr>
          <w:rFonts w:asciiTheme="minorHAnsi" w:hAnsiTheme="minorHAnsi"/>
          <w:color w:val="000000"/>
          <w:sz w:val="22"/>
          <w:szCs w:val="22"/>
          <w:lang w:eastAsia="en-GB"/>
        </w:rPr>
        <w:t>found in higher relative abundance</w:t>
      </w:r>
      <w:r w:rsidRPr="00C44D8C">
        <w:rPr>
          <w:rFonts w:asciiTheme="minorHAnsi" w:hAnsiTheme="minorHAnsi"/>
          <w:iCs/>
          <w:color w:val="000000"/>
          <w:sz w:val="22"/>
          <w:szCs w:val="22"/>
          <w:lang w:eastAsia="en-GB"/>
        </w:rPr>
        <w:t xml:space="preserve"> in this study (</w:t>
      </w:r>
      <w:r w:rsidRPr="00C44D8C">
        <w:rPr>
          <w:rFonts w:asciiTheme="minorHAnsi" w:hAnsiTheme="minorHAnsi"/>
          <w:color w:val="000000"/>
          <w:sz w:val="22"/>
          <w:szCs w:val="22"/>
          <w:lang w:eastAsia="en-GB"/>
        </w:rPr>
        <w:t xml:space="preserve">Mbar_2011, Mbar_A1557, </w:t>
      </w:r>
      <w:r w:rsidRPr="00C44D8C">
        <w:rPr>
          <w:rFonts w:asciiTheme="minorHAnsi" w:hAnsiTheme="minorHAnsi"/>
          <w:sz w:val="22"/>
          <w:szCs w:val="22"/>
          <w:lang w:eastAsia="en-GB"/>
        </w:rPr>
        <w:t xml:space="preserve">Mbar_A2016 and Mbar_A1034) are linked to S-layer surface proteins and that a higher level of S-layer protein modification is required for </w:t>
      </w:r>
      <w:r w:rsidRPr="00C44D8C">
        <w:rPr>
          <w:rFonts w:asciiTheme="minorHAnsi" w:hAnsiTheme="minorHAnsi"/>
          <w:i/>
          <w:sz w:val="22"/>
          <w:szCs w:val="22"/>
          <w:lang w:eastAsia="en-GB"/>
        </w:rPr>
        <w:t xml:space="preserve">M. barkeri </w:t>
      </w:r>
      <w:r w:rsidRPr="00C44D8C">
        <w:rPr>
          <w:rFonts w:asciiTheme="minorHAnsi" w:hAnsiTheme="minorHAnsi"/>
          <w:sz w:val="22"/>
          <w:szCs w:val="22"/>
          <w:lang w:eastAsia="en-GB"/>
        </w:rPr>
        <w:t>to attach to PVC compared to PETG.</w:t>
      </w:r>
    </w:p>
    <w:p w14:paraId="336853A9" w14:textId="23ABE42C" w:rsidR="00436CD0" w:rsidRPr="00C44D8C" w:rsidRDefault="00436CD0" w:rsidP="005C5F28">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Various proteins specific to the N-glycosylation of surface proteins were also </w:t>
      </w:r>
      <w:r w:rsidR="003D18AD">
        <w:rPr>
          <w:rFonts w:asciiTheme="minorHAnsi" w:hAnsiTheme="minorHAnsi"/>
          <w:color w:val="000000"/>
          <w:sz w:val="22"/>
          <w:szCs w:val="22"/>
          <w:lang w:eastAsia="en-GB"/>
        </w:rPr>
        <w:t>in higher relative abundance</w:t>
      </w:r>
      <w:r w:rsidRPr="00C44D8C">
        <w:rPr>
          <w:rFonts w:asciiTheme="minorHAnsi" w:hAnsiTheme="minorHAnsi"/>
          <w:color w:val="000000"/>
          <w:sz w:val="22"/>
          <w:szCs w:val="22"/>
          <w:lang w:eastAsia="en-GB"/>
        </w:rPr>
        <w:t xml:space="preserve"> </w:t>
      </w:r>
      <w:r w:rsidR="003D18AD">
        <w:rPr>
          <w:rFonts w:asciiTheme="minorHAnsi" w:hAnsiTheme="minorHAnsi"/>
          <w:color w:val="000000"/>
          <w:sz w:val="22"/>
          <w:szCs w:val="22"/>
          <w:lang w:eastAsia="en-GB"/>
        </w:rPr>
        <w:t>from</w:t>
      </w:r>
      <w:r w:rsidRPr="00C44D8C">
        <w:rPr>
          <w:rFonts w:asciiTheme="minorHAnsi" w:hAnsiTheme="minorHAnsi"/>
          <w:color w:val="000000"/>
          <w:sz w:val="22"/>
          <w:szCs w:val="22"/>
          <w:lang w:eastAsia="en-GB"/>
        </w:rPr>
        <w:t xml:space="preserve"> </w:t>
      </w:r>
      <w:r w:rsidRPr="00C44D8C">
        <w:rPr>
          <w:rFonts w:asciiTheme="minorHAnsi" w:hAnsiTheme="minorHAnsi"/>
          <w:i/>
          <w:color w:val="000000"/>
          <w:sz w:val="22"/>
          <w:szCs w:val="22"/>
          <w:lang w:eastAsia="en-GB"/>
        </w:rPr>
        <w:t xml:space="preserve">M. barkeri </w:t>
      </w:r>
      <w:r w:rsidR="003D18AD">
        <w:rPr>
          <w:rFonts w:asciiTheme="minorHAnsi" w:hAnsiTheme="minorHAnsi"/>
          <w:color w:val="000000"/>
          <w:sz w:val="22"/>
          <w:szCs w:val="22"/>
          <w:lang w:eastAsia="en-GB"/>
        </w:rPr>
        <w:t xml:space="preserve">biofilms </w:t>
      </w:r>
      <w:r w:rsidRPr="00C44D8C">
        <w:rPr>
          <w:rFonts w:asciiTheme="minorHAnsi" w:hAnsiTheme="minorHAnsi"/>
          <w:color w:val="000000"/>
          <w:sz w:val="22"/>
          <w:szCs w:val="22"/>
          <w:lang w:eastAsia="en-GB"/>
        </w:rPr>
        <w:t>attached to PVC compared to PETG. The N-glycosylation of surface proteins plays a key role in helping archaeal cells adapt and respond to physical stresses and in maintaining cell viability, cell shape and protection. The process involves the covalent addition of polysaccharides to alter the lipid and protein components of the cell membrane in response to the external environment</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"10.1128/MMBR.00052-13", "ISBN" : "1098-5557 (Electronic)\r1092-2172 (Linking)", "ISSN" : "1098-5557", "PMID" : "24847024", "abstract" : "N-glycosylation of proteins is one of the most prevalent posttranslational modifications in nature. Accordingly, a pathway with shared commonalities is found in all three domains of life. While excellent model systems have been developed for studying N-glycosylation in both Eukarya and Bacteria, an understanding of this process in Archaea was hampered until recently by a lack of effective molecular tools. However, within the last decade, impressive advances in the study of the archaeal version of this important pathway have been made for halophiles, methanogens, and thermoacidophiles, combining glycan structural information obtained by mass spectrometry with bioinformatic, genetic, biochemical, and enzymatic data. These studies reveal both features shared with the eukaryal and bacterial domains and novel archaeon-specific aspects. Unique features of N-glycosylation in Archaea include the presence of unusual dolichol lipid carriers, the use of a variety of linking sugars that connect the glycan to proteins, the presence of novel sugars as glycan constituents, the presence of two very different N-linked glycans attached to the same protein, and the ability to vary the N-glycan composition under different growth conditions. These advances are the focus of this review, with an emphasis on N-glycosylation pathways in Haloferax, Methanococcus, and Sulfolobus.", "author" : [ { "dropping-particle" : "", "family" : "Jarrell", "given" : "Ken F", "non-dropping-particle" : "", "parse-names" : false, "suffix" : "" }, { "dropping-particle" : "", "family" : "Ding", "given" : "Yan", "non-dropping-particle" : "", "parse-names" : false, "suffix" : "" }, { "dropping-particle" : "", "family" : "Meyer", "given" : "Benjamin H", "non-dropping-particle" : "", "parse-names" : false, "suffix" : "" }, { "dropping-particle" : "", "family" : "Albers", "given" : "Sonja-Verena", "non-dropping-particle" : "", "parse-names" : false, "suffix" : "" }, { "dropping-particle" : "", "family" : "Kaminski", "given" : "Lina", "non-dropping-particle" : "", "parse-names" : false, "suffix" : "" }, { "dropping-particle" : "", "family" : "Eichler", "given" : "Jerry", "non-dropping-particle" : "", "parse-names" : false, "suffix" : "" } ], "container-title" : "Microbiology and molecular biology reviews : MMBR", "id" : "ITEM-1", "issue" : "2", "issued" : { "date-parts" : [ [ "2014" ] ] }, "page" : "304-41", "title" : "N-linked glycosylation in Archaea: a structural, functional, and genetic analysis.", "type" : "article-journal", "volume" : "78" }, "uris" : [ "http://www.mendeley.com/documents/?uuid=c1ed7f68-b621-42ae-8a1f-bdd0c6016cbe" ] }, { "id" : "ITEM-2", "itemData" : { "DOI" : "10.1016/j.mib.2005.10.006", "ISBN" : "1369-5274 (Print)\\r1369-5274 (Linking)", "ISSN" : "13695274", "PMID" : "16257258", "abstract" : "The transport of proteins into and across hydrophobic membranes is an essential cellular process. The majority of proteins that are translocated in an unfolded conformation traverse the membrane by way of the universally conserved Sec pathway, whereas the twin arginine translocation pathway is responsible for the transport of folded proteins across the membrane. Structural, biochemical and genetic analyses of these processes in Archaea have revealed unique archaeal features, and have also provided a better understanding of these pathways in organisms of all domains. Further study of these pathways in Archaea might elucidate fundamental principles involved in each type of transport and could help determine their relative costs and benefits as well as evolutionary adaptations in protein secretion strategies. \u00a9 2005 Elsevier Ltd. All rights reserved.", "author" : [ { "dropping-particle" : "", "family" : "Pohlschr\u00f6der", "given" : "Mechthild", "non-dropping-particle" : "", "parse-names" : false, "suffix" : "" }, { "dropping-particle" : "", "family" : "Gim\u00e9nez", "given" : "M. I.", "non-dropping-particle" : "", "parse-names" : false, "suffix" : "" }, { "dropping-particle" : "", "family" : "Jarrell", "given" : "Ken F.", "non-dropping-particle" : "", "parse-names" : false, "suffix" : "" } ], "container-title" : "Current Opinion in Microbiology", "id" : "ITEM-2", "issue" : "6", "issued" : { "date-parts" : [ [ "2005" ] ] }, "page" : "713-719", "title" : "Protein transport in Archaea: Sec and twin arginine translocation pathways", "type" : "article-journal", "volume" : "8" }, "uris" : [ "http://www.mendeley.com/documents/?uuid=86791c51-61a4-47dd-a061-c33ac9008714" ] } ], "mendeley" : { "formattedCitation" : "[215,216]", "plainTextFormattedCitation" : "[215,216]", "previouslyFormattedCitation" : "[215,216]"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[215,216]</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These </w:t>
      </w:r>
      <w:r w:rsidR="003D18AD">
        <w:rPr>
          <w:rFonts w:asciiTheme="minorHAnsi" w:hAnsiTheme="minorHAnsi"/>
          <w:color w:val="000000"/>
          <w:sz w:val="22"/>
          <w:szCs w:val="22"/>
          <w:lang w:eastAsia="en-GB"/>
        </w:rPr>
        <w:t xml:space="preserve">higher abundance </w:t>
      </w:r>
      <w:r w:rsidRPr="00C44D8C">
        <w:rPr>
          <w:rFonts w:asciiTheme="minorHAnsi" w:hAnsiTheme="minorHAnsi"/>
          <w:color w:val="000000"/>
          <w:sz w:val="22"/>
          <w:szCs w:val="22"/>
          <w:lang w:eastAsia="en-GB"/>
        </w:rPr>
        <w:t xml:space="preserve">proteins included UDP-glucose 6-dehydrogenase (Mbar_A1119), NDP-N-acetyl-D-galactosaminuronic acid dehydrogenase (Mbar_A1139), UDP-glucose 4-epimerase (Mbar_A0021) and UDP-N-acetylglucosamine 2-epimerase (Mbar_A2140). </w:t>
      </w:r>
    </w:p>
    <w:p w14:paraId="445E59C7" w14:textId="69905034" w:rsidR="00436CD0" w:rsidRPr="00C44D8C" w:rsidRDefault="00436CD0" w:rsidP="00436CD0">
      <w:pPr>
        <w:spacing w:line="360" w:lineRule="auto"/>
        <w:ind w:firstLine="720"/>
        <w:textAlignment w:val="baseline"/>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In addition, proteins involved in the synthesis of components of the external methanochondroitin cell layer of </w:t>
      </w:r>
      <w:r w:rsidRPr="00C44D8C">
        <w:rPr>
          <w:rFonts w:asciiTheme="minorHAnsi" w:hAnsiTheme="minorHAnsi"/>
          <w:i/>
          <w:color w:val="000000"/>
          <w:sz w:val="22"/>
          <w:szCs w:val="22"/>
          <w:lang w:eastAsia="en-GB"/>
        </w:rPr>
        <w:t>M. barkeri</w:t>
      </w:r>
      <w:r w:rsidRPr="00C44D8C">
        <w:rPr>
          <w:rFonts w:asciiTheme="minorHAnsi" w:hAnsiTheme="minorHAnsi"/>
          <w:color w:val="000000"/>
          <w:sz w:val="22"/>
          <w:szCs w:val="22"/>
          <w:lang w:eastAsia="en-GB"/>
        </w:rPr>
        <w:t xml:space="preserve"> were found to be </w:t>
      </w:r>
      <w:r w:rsidR="003D18AD">
        <w:rPr>
          <w:rFonts w:asciiTheme="minorHAnsi" w:hAnsiTheme="minorHAnsi"/>
          <w:color w:val="000000"/>
          <w:sz w:val="22"/>
          <w:szCs w:val="22"/>
          <w:lang w:eastAsia="en-GB"/>
        </w:rPr>
        <w:t>in higher relative abundance</w:t>
      </w:r>
      <w:r w:rsidRPr="00C44D8C">
        <w:rPr>
          <w:rFonts w:asciiTheme="minorHAnsi" w:hAnsiTheme="minorHAnsi"/>
          <w:color w:val="000000"/>
          <w:sz w:val="22"/>
          <w:szCs w:val="22"/>
          <w:lang w:eastAsia="en-GB"/>
        </w:rPr>
        <w:t xml:space="preserve">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cells attached to PVC compared to PETG. These proteins included NDP-N-acetyl-D-galactosaminuronic acid dehydrogenase (Mbar_A1139) and glucose-1-phosphate thymidylyltransferase (Mbar_A2020), which are both responsible for the synthesis of the glucoronic acid, galactosamine and rhamnose components of the methanochondroitin cell layer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"ISSN" : "00992240", "PMID" : "16535504", "abstract" : "Methanobacterium formicicum and Methanosarcina mazeii are two prevalent species isolated from an anaerobic granular consortium grown on a fatty acid mixture. The extracellular polysaccharides (EPS) were extracted from Methanobacterium formicicum and Methanosarcina mazeii and from the methanogenic granules to examine their role in granular development. The EPS made up approximately 20 to 14% of the extracellular polymer extracted from the granules, Methanobacterium formicicum, and Methanosarcina mazeii. The EPS produced by Methanobacterium formicicum was composed mainly of rhamnose, mannose, galactose, glucose, and amino sugars, while that produced by Methanosarcina mazeii contained ribose, galactose, glucose, and glucosamine. The same sugars were also present in the EPS produced by the granules. These results indicate that the two methanogens, especially Methanobacterium formicicum, contributed significantly to the production of the extracellular polymer of the anaerobic granules. Growth temperature, substrates (formate and H(inf2)-CO(inf2)), and the key nutrients (nitrogen and phosphate concentrations) affected polymer production by Methanobacterium formicicum.", "author" : [ { "dropping-particle" : "", "family" : "Veiga", "given" : "Maria C.", "non-dropping-particle" : "", "parse-names" : false, "suffix" : "" }, { "dropping-particle" : "", "family" : "Jain", "given" : "Mahendra K.", "non-dropping-particle" : "", "parse-names" : false, "suffix" : "" }, { "dropping-particle" : "", "family" : "Wu", "given" : "Wei Min", "non-dropping-particle" : "", "parse-names" : false, "suffix" : "" }, { "dropping-particle" : "", "family" : "Hollingsworth", "given" : "Rawle I.", "non-dropping-particle" : "", "parse-names" : false, "suffix" : "" }, { "dropping-particle" : "", "family" : "Zeikus", "given" : "J. Gregory", "non-dropping-particle" : "", "parse-names" : false, "suffix" : "" } ], "container-title" : "Applied and Environmental Microbiology", "id" : "ITEM-1", "issue" : "2", "issued" : { "date-parts" : [ [ "1997" ] ] }, "page" : "403-407", "title" : "Composition and role of extracellular polymers in methanogenic granules", "type" : "article-journal", "volume" : "63" }, "uris" : [ "http://www.mendeley.com/documents/?uuid=ef225fa2-6106-4415-83de-36f47d0042fc" ] }, { "id" : "ITEM-2", "itemData" : { "DOI" : "10.3389/fmicb.2014.00624", "ISBN" : "1664-302X (Electronic)\\r1664-302X (Linking)", "ISSN" : "1664-302X", "PMID" : "25505452", "abstract" : "The common idea of typical cell wall architecture in archaea consists of a pseudo-crystalline proteinaceous surface layer (S-layer), situated upon the cytoplasmic membrane. This is true for the majority of described archaea, hitherto. Within the crenarchaea, the S-layer often represents the only cell wall component, but there are various exceptions from this wall architecture. Beside (glycosylated) S-layers in (hyper)thermophilic cren- and euryarchaea as well as halophilic archaea, one can find a great variety of other cell wall structures like proteoglycan-like S-layers (Halobacteria), glutaminylglycan (Natronococci), methanochondroitin (Methanosarcina) or double layered cell walls with pseudomurein (Methanothermus and Methanopyrus). The presence of an outermost cellular membrane in the crenarchaeal species Ignicoccus hospitalis already gave indications for an outer membrane similar to Gram-negative bacteria. Although there is just limited data concerning their biochemistry and ultrastructure, recent studies on the euryarchaeal methanogen Methanomassiliicoccus luminyensis, cells of the ARMAN group, and the SM1 euryarchaeon delivered further examples for this exceptional cell envelope type consisting of two membranes.", "author" : [ { "dropping-particle" : "", "family" : "Klingl", "given" : "Andreas", "non-dropping-particle" : "", "parse-names" : false, "suffix" : "" } ], "container-title" : "Frontiers in Microbiology", "id" : "ITEM-2", "issued" : { "date-parts" : [ [ "2014" ] ] }, "page" : "1-6", "title" : "S-layer and cytoplasmic membrane - exceptions from the typical archaeal cell wall with a focus on double membranes.", "type" : "article-journal", "volume" : "5" }, "uris" : [ "http://www.mendeley.com/documents/?uuid=aa21aad6-5402-4ec6-93e2-4e9ba9fd1df7" ] } ], "mendeley" : { "formattedCitation" : "[88,212]", "plainTextFormattedCitation" : "[88,212]", "previouslyFormattedCitation" : "[88,212]"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[88,212]</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The </w:t>
      </w:r>
      <w:r w:rsidR="00833BC6">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these proteins has been described in </w:t>
      </w:r>
      <w:r w:rsidRPr="00C44D8C">
        <w:rPr>
          <w:rFonts w:asciiTheme="minorHAnsi" w:hAnsiTheme="minorHAnsi"/>
          <w:color w:val="000000"/>
          <w:sz w:val="22"/>
          <w:szCs w:val="22"/>
          <w:lang w:eastAsia="en-GB"/>
        </w:rPr>
        <w:lastRenderedPageBreak/>
        <w:t>bacterial systems for specifically synthesising high-molecular-weight sugar-rich EPS molecules</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"ITEM-1",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"mendeley" : { "formattedCitation" : "[89]", "plainTextFormattedCitation" : "[89]", "previouslyFormattedCitation" : "[89]"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[89]</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and it is feasible that their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in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attached to PVC in this study is indicative of the requirement for the synthesis of EPS and cell surface components in response to biofilm formation.</w:t>
      </w:r>
    </w:p>
    <w:p w14:paraId="72A709E5" w14:textId="6061C151"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Biofilm formation results in the binary division of adherent cells to form cell clusters during biofilm growth </w:t>
      </w:r>
      <w:r w:rsidR="004614B6">
        <w:rPr>
          <w:rFonts w:asciiTheme="minorHAnsi" w:hAnsiTheme="minorHAnsi"/>
          <w:color w:val="000000"/>
          <w:sz w:val="22"/>
          <w:szCs w:val="22"/>
          <w:lang w:eastAsia="en-GB"/>
        </w:rPr>
        <w:fldChar w:fldCharType="begin" w:fldLock="1"/>
      </w:r>
      <w:r w:rsidR="00AF47D2">
        <w:rPr>
          <w:rFonts w:asciiTheme="minorHAnsi" w:hAnsiTheme="minorHAnsi"/>
          <w:color w:val="000000"/>
          <w:sz w:val="22"/>
          <w:szCs w:val="22"/>
          <w:lang w:eastAsia="en-GB"/>
        </w:rPr>
        <w:instrText>ADDIN CSL_CITATION { "citationItems" : [ { "id" : "ITEM-1", "itemData" : { "DOI" : "10.1016/S0958-1669(02)00318-X", "ISBN" : "0958-1669", "ISSN" : "09581669", "PMID" : "12180097", "abstract" : "Sophisticated molecular and microscopic methods used to study biofilm formation are rapidly broadening our understanding of surface-attached microbial communities in a wide variety of organisms. Regulatory mechanisms involved in the attachment and subsequent development of mature biofilms are being elucidated. Common themes are beginning to emerge, providing promise for the development of sophisticated control strategies.", "author" : [ { "dropping-particle" : "", "family" : "Hall-Stoodley", "given" : "Luanne", "non-dropping-particle" : "", "parse-names" : false, "suffix" : "" }, { "dropping-particle" : "", "family" : "Stoodley", "given" : "Paul", "non-dropping-particle" : "", "parse-names" : false, "suffix" : "" } ], "container-title" : "Current Opinion in Biotechnology", "id" : "ITEM-1", "issue" : "3", "issued" : { "date-parts" : [ [ "2002" ] ] }, "page" : "228-233", "title" : "Developmental regulation of microbial biofilms", "type" : "article-journal", "volume" : "13" }, "uris" : [ "http://www.mendeley.com/documents/?uuid=27d0e551-b7db-46d6-bfba-0bddef4c0814" ] } ], "mendeley" : { "formattedCitation" : "[62]", "plainTextFormattedCitation" : "[62]", "previouslyFormattedCitation" : "[62]"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AF47D2" w:rsidRPr="00AF47D2">
        <w:rPr>
          <w:rFonts w:asciiTheme="minorHAnsi" w:hAnsiTheme="minorHAnsi"/>
          <w:noProof/>
          <w:color w:val="000000"/>
          <w:sz w:val="22"/>
          <w:szCs w:val="22"/>
          <w:lang w:eastAsia="en-GB"/>
        </w:rPr>
        <w:t>[62]</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Various proteins involved in the binary division of cells during cellular growth in biofilm formation were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cells attached to PVC compared to PETG, including four cell division proteins (Mbar</w:t>
      </w:r>
      <w:r w:rsidR="00DF0408">
        <w:rPr>
          <w:rFonts w:asciiTheme="minorHAnsi" w:hAnsiTheme="minorHAnsi"/>
          <w:color w:val="000000"/>
          <w:sz w:val="22"/>
          <w:szCs w:val="22"/>
          <w:lang w:eastAsia="en-GB"/>
        </w:rPr>
        <w:t>_</w:t>
      </w:r>
      <w:r w:rsidRPr="00C44D8C">
        <w:rPr>
          <w:rFonts w:asciiTheme="minorHAnsi" w:hAnsiTheme="minorHAnsi"/>
          <w:color w:val="000000"/>
          <w:sz w:val="22"/>
          <w:szCs w:val="22"/>
          <w:lang w:eastAsia="en-GB"/>
        </w:rPr>
        <w:t xml:space="preserve">A0618, Mbar_A0191, Mbar_A0908, Mbar_A0529). This suggests that biofilm cells attached to PVC were in a higher active growth phase compared to those on PETG. </w:t>
      </w:r>
    </w:p>
    <w:p w14:paraId="0D3397E5" w14:textId="01B40055"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ab/>
        <w:t xml:space="preserve">The ability to transport proteins across membranes is vital for cell viability, and is an indicator of the physiological state of a cell. Protein secretion is a key player in allowing cells to interact </w:t>
      </w:r>
      <w:r w:rsidR="004614B6">
        <w:rPr>
          <w:rFonts w:asciiTheme="minorHAnsi" w:hAnsiTheme="minorHAnsi"/>
          <w:color w:val="000000"/>
          <w:sz w:val="22"/>
          <w:szCs w:val="22"/>
          <w:lang w:eastAsia="en-GB"/>
        </w:rPr>
        <w:t xml:space="preserve">with their external environment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"10.3389/fmicb.2013.00303", "ISBN" : "1664-302X", "ISSN" : "1664-302X", "PMID" : "24133488", "abstract" : "Bacterial colonization of biotic or abiotic surfaces results from two quite distinct physiological processes, namely bacterial adhesion and biofilm formation. Broadly speaking, a biofilm is defined as the sessile development of microbial cells. Biofilm formation arises following bacterial adhesion but not all single bacterial cells adhering reversibly or irreversibly engage inexorably into a sessile mode of growth. Among molecular determinants promoting bacterial colonization, surface proteins are the most functionally diverse active components. To be present on the bacterial cell surface, though, a protein must be secreted in the first place. Considering the close association of secreted proteins with their cognate secretion systems, the secretome (which refers both to the secretion systems and their protein substrates) is a key concept to apprehend the protein secretion and related physiological functions. The protein secretion systems are here considered in light of the differences in the cell-envelope architecture between diderm-LPS (archetypal Gram-negative), monoderm (archetypal Gram-positive) and diderm-mycolate (archetypal acid-fast) bacteria. Besides, their cognate secreted proteins engaged in the bacterial colonization process are regarded from single protein to supramolecular protein structure as well as the non-classical protein secretion. This state-of-the-art on the complement of the secretome (the secretion systems and their cognate effectors) involved in the surface colonization process in diderm-LPS and monoderm bacteria paves the way for future research directions in the field.", "author" : [ { "dropping-particle" : "", "family" : "Chagnot", "given" : "Caroline", "non-dropping-particle" : "", "parse-names" : false, "suffix" : "" }, { "dropping-particle" : "", "family" : "Zorgani", "given" : "Mohamed a", "non-dropping-particle" : "", "parse-names" : false, "suffix" : "" }, { "dropping-particle" : "", "family" : "Astruc", "given" : "Thierry", "non-dropping-particle" : "", "parse-names" : false, "suffix" : "" }, { "dropping-particle" : "", "family" : "Desvaux", "given" : "Micka\u00ebl", "non-dropping-particle" : "", "parse-names" : false, "suffix" : "" } ], "container-title" : "Frontiers in microbiology", "id" : "ITEM-1", "issue" : "October", "issued" : { "date-parts" : [ [ "2013" ] ] }, "page" : "303", "title" : "Proteinaceous determinants of surface colonization in bacteria: bacterial adhesion and biofilm formation from a protein secretion perspective.", "type" : "article-journal", "volume" : "4" }, "uris" : [ "http://www.mendeley.com/documents/?uuid=9d44f133-8650-45e2-bf23-3f3bcf6ecbb5" ] } ], "mendeley" : { "formattedCitation" : "[209]", "plainTextFormattedCitation" : "[209]", "previouslyFormattedCitation" : "[209]"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[209]</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and has been linked to the production of EPS, extracellular structures and biofilm in archaea</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"10.1155/2010/608243", "ISBN" : "1472-3654 (Electronic)", "ISSN" : "14723646", "PMID" : "20671907", "abstract" : "Although archaea have a similar cellular organization as other prokaryotes, the lipid composition of their membranes and their cell surface is unique. Here we discuss recent developments in our understanding of the archaeal protein secretion mechanisms, the assembly of macromolecular cell surface structures, and the release of S-layer-coated vesicles from the archaeal membrane.", "author" : [ { "dropping-particle" : "", "family" : "Ellen", "given" : "Albert F.", "non-dropping-particle" : "", "parse-names" : false, "suffix" : "" }, { "dropping-particle" : "", "family" : "Zolghadr", "given" : "Behnam", "non-dropping-particle" : "", "parse-names" : false, "suffix" : "" }, { "dropping-particle" : "", "family" : "Driessen", "given" : "Arnold M J", "non-dropping-particle" : "", "parse-names" : false, "suffix" : "" }, { "dropping-particle" : "", "family" : "Albers", "given" : "Sonja Verena", "non-dropping-particle" : "", "parse-names" : false, "suffix" : "" } ], "container-title" : "Archaea", "id" : "ITEM-1", "issued" : { "date-parts" : [ [ "2010" ] ] }, "page" : "1-13", "title" : "Shaping the archaeal cell envelope", "type" : "article-journal" }, "uris" : [ "http://www.mendeley.com/documents/?uuid=61938022-9e1a-38e1-87c9-1cd208c0acd4" ] } ], "mendeley" : { "formattedCitation" : "[217]", "plainTextFormattedCitation" : "[217]", "previouslyFormattedCitation" : "[217]"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[217]</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In this study, numerous</w:t>
      </w:r>
      <w:r w:rsidR="003D18AD">
        <w:rPr>
          <w:rFonts w:asciiTheme="minorHAnsi" w:hAnsiTheme="minorHAnsi"/>
          <w:color w:val="000000"/>
          <w:sz w:val="22"/>
          <w:szCs w:val="22"/>
          <w:lang w:eastAsia="en-GB"/>
        </w:rPr>
        <w:t xml:space="preserve"> </w:t>
      </w:r>
      <w:r w:rsidR="003D18AD" w:rsidRPr="00C44D8C">
        <w:rPr>
          <w:rFonts w:asciiTheme="minorHAnsi" w:hAnsiTheme="minorHAnsi"/>
          <w:color w:val="000000"/>
          <w:sz w:val="22"/>
          <w:szCs w:val="22"/>
          <w:lang w:eastAsia="en-GB"/>
        </w:rPr>
        <w:t>ABC transporters</w:t>
      </w:r>
      <w:r w:rsidR="003D18AD">
        <w:rPr>
          <w:rFonts w:asciiTheme="minorHAnsi" w:hAnsiTheme="minorHAnsi"/>
          <w:color w:val="000000"/>
          <w:sz w:val="22"/>
          <w:szCs w:val="22"/>
          <w:lang w:eastAsia="en-GB"/>
        </w:rPr>
        <w:t xml:space="preserve"> with</w:t>
      </w:r>
      <w:r w:rsidRPr="00C44D8C">
        <w:rPr>
          <w:rFonts w:asciiTheme="minorHAnsi" w:hAnsiTheme="minorHAnsi"/>
          <w:color w:val="000000"/>
          <w:sz w:val="22"/>
          <w:szCs w:val="22"/>
          <w:lang w:eastAsia="en-GB"/>
        </w:rPr>
        <w:t xml:space="preserve"> two-fold </w:t>
      </w:r>
      <w:r w:rsidR="003D18AD">
        <w:rPr>
          <w:rFonts w:asciiTheme="minorHAnsi" w:hAnsiTheme="minorHAnsi"/>
          <w:color w:val="000000"/>
          <w:sz w:val="22"/>
          <w:szCs w:val="22"/>
          <w:lang w:eastAsia="en-GB"/>
        </w:rPr>
        <w:t>increased relative abundance that were</w:t>
      </w:r>
      <w:r w:rsidRPr="00C44D8C">
        <w:rPr>
          <w:rFonts w:asciiTheme="minorHAnsi" w:hAnsiTheme="minorHAnsi"/>
          <w:color w:val="000000"/>
          <w:sz w:val="22"/>
          <w:szCs w:val="22"/>
          <w:lang w:eastAsia="en-GB"/>
        </w:rPr>
        <w:t xml:space="preserve"> involved in substrate uptake and export were observed in biofilms attached to PVC compared to PETG (Table 5.6), along with their associated ATPases (Mbar_A1078, Mbar_A1889), which hydrolyse ATP in order to translocate substrates across the membrane. These proteins have a high affinity for specific substrates and allow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to efficiently thrive in environments with low levels of these substrates</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"author" : [ { "dropping-particle" : "", "family" : "Albers", "given" : "Sonja-verena", "non-dropping-particle" : "", "parse-names" : false, "suffix" : "" }, { "dropping-particle" : "", "family" : "Koning", "given" : "Sonja M", "non-dropping-particle" : "", "parse-names" : false, "suffix" : "" }, { "dropping-particle" : "", "family" : "Konings", "given" : "Wil N", "non-dropping-particle" : "", "parse-names" : false, "suffix" : "" }, { "dropping-particle" : "", "family" : "Driessen", "given" : "Arnold J M", "non-dropping-particle" : "", "parse-names" : false, "suffix" : "" } ], "container-title" : "Journal of Bioenergetics and Biomembranes", "id" : "ITEM-1", "issue" : "1", "issued" : { "date-parts" : [ [ "2004" ] ] }, "page" : "5-15", "title" : "Insights Into ABC Transport in Archaea", "type" : "article-journal", "volume" : "36" }, "uris" : [ "http://www.mendeley.com/documents/?uuid=7031154a-1bcd-4200-91af-8f88e6e15178" ] } ], "mendeley" : { "formattedCitation" : "[218]", "plainTextFormattedCitation" : "[218]", "previouslyFormattedCitation" : "[218]"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[218]</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w:t>
      </w:r>
    </w:p>
    <w:p w14:paraId="0F56EFDB" w14:textId="763D6E5B"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ab/>
        <w:t xml:space="preserve">Other proteins involved in energy production and conservation were also </w:t>
      </w:r>
      <w:r w:rsidR="00BA6EB9">
        <w:rPr>
          <w:rFonts w:asciiTheme="minorHAnsi" w:hAnsiTheme="minorHAnsi"/>
          <w:color w:val="000000"/>
          <w:sz w:val="22"/>
          <w:szCs w:val="22"/>
          <w:lang w:eastAsia="en-GB"/>
        </w:rPr>
        <w:t xml:space="preserve">in </w:t>
      </w:r>
      <w:r w:rsidRPr="00C44D8C">
        <w:rPr>
          <w:rFonts w:asciiTheme="minorHAnsi" w:hAnsiTheme="minorHAnsi"/>
          <w:color w:val="000000"/>
          <w:sz w:val="22"/>
          <w:szCs w:val="22"/>
          <w:lang w:eastAsia="en-GB"/>
        </w:rPr>
        <w:t xml:space="preserve">significantly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in biofilm cells attached to PVC, compared to PETG (Table 5.6), including the H(+)-transporting ATP synthases (Mbar_A3099, Mbar_A0392) and V-type ATP synthases (Mbar_A0388, Mbar_A0384, Mbar_A0385, Mbar_A0386, Mbar_A0391, Mbar_A0389, Mbar_A0387). The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these proteins suggest that biofilm cells attached to PVC require an elevated energetic input to support growth and the transport of substrates from the cell compared to those attached to PETG.</w:t>
      </w:r>
    </w:p>
    <w:p w14:paraId="153C58DD" w14:textId="2A6D30D4"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Other important transmembrane enzymes specific for protein export across the cytoplasmic membrane were also detected in biofilms attached to PVC compared to PETG. Two homologs of Sec-independent protein translocase protein TatA (Mbar_A2548, Mbar_A2549) involved in the transport of folded proteins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"10.1155/2010/608243", "ISBN" : "1472-3654 (Electronic)", "ISSN" : "14723646", "PMID" : "20671907", "abstract" : "Although archaea have a similar cellular organization as other prokaryotes, the lipid composition of their membranes and their cell surface is unique. Here we discuss recent developments in our understanding of the archaeal protein secretion mechanisms, the assembly of macromolecular cell surface structures, and the release of S-layer-coated vesicles from the archaeal membrane.", "author" : [ { "dropping-particle" : "", "family" : "Ellen", "given" : "Albert F.", "non-dropping-particle" : "", "parse-names" : false, "suffix" : "" }, { "dropping-particle" : "", "family" : "Zolghadr", "given" : "Behnam", "non-dropping-particle" : "", "parse-names" : false, "suffix" : "" }, { "dropping-particle" : "", "family" : "Driessen", "given" : "Arnold M J", "non-dropping-particle" : "", "parse-names" : false, "suffix" : "" }, { "dropping-particle" : "", "family" : "Albers", "given" : "Sonja Verena", "non-dropping-particle" : "", "parse-names" : false, "suffix" : "" } ], "container-title" : "Archaea", "id" : "ITEM-1", "issued" : { "date-parts" : [ [ "2010" ] ] }, "page" : "1-13", "title" : "Shaping the archaeal cell envelope", "type" : "article-journal" }, "uris" : [ "http://www.mendeley.com/documents/?uuid=61938022-9e1a-38e1-87c9-1cd208c0acd4" ] } ], "mendeley" : { "formattedCitation" : "[217]", "plainTextFormattedCitation" : "[217]", "previouslyFormattedCitation" : "[217]"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[217]</w:t>
      </w:r>
      <w:r w:rsidR="004614B6">
        <w:rPr>
          <w:rFonts w:asciiTheme="minorHAnsi" w:hAnsiTheme="minorHAnsi"/>
          <w:color w:val="000000"/>
          <w:sz w:val="22"/>
          <w:szCs w:val="22"/>
          <w:lang w:eastAsia="en-GB"/>
        </w:rPr>
        <w:fldChar w:fldCharType="end"/>
      </w:r>
      <w:r w:rsidR="004614B6">
        <w:rPr>
          <w:rFonts w:asciiTheme="minorHAnsi" w:hAnsiTheme="minorHAnsi"/>
          <w:color w:val="000000"/>
          <w:sz w:val="22"/>
          <w:szCs w:val="22"/>
          <w:lang w:eastAsia="en-GB"/>
        </w:rPr>
        <w:t>,</w:t>
      </w:r>
      <w:r w:rsidRPr="00C44D8C">
        <w:rPr>
          <w:rFonts w:asciiTheme="minorHAnsi" w:hAnsiTheme="minorHAnsi"/>
          <w:color w:val="000000"/>
          <w:sz w:val="22"/>
          <w:szCs w:val="22"/>
          <w:lang w:eastAsia="en-GB"/>
        </w:rPr>
        <w:t xml:space="preserve"> and protein-export membrane protein SecD (Mbar_A0851) involved in the transport of unfolded proteins, were both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(Table 5.5). The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substrate proteins and cell surface proteins in biofilms attached to PVC highlights the </w:t>
      </w:r>
      <w:r w:rsidRPr="00C44D8C">
        <w:rPr>
          <w:rFonts w:asciiTheme="minorHAnsi" w:hAnsiTheme="minorHAnsi"/>
          <w:color w:val="000000"/>
          <w:sz w:val="22"/>
          <w:szCs w:val="22"/>
          <w:lang w:eastAsia="en-GB"/>
        </w:rPr>
        <w:lastRenderedPageBreak/>
        <w:t xml:space="preserve">importance of the production and secretion of EPS and glycosylated proteins into the environment for biofilm formation </w:t>
      </w:r>
      <w:r w:rsidR="004614B6">
        <w:rPr>
          <w:rFonts w:asciiTheme="minorHAnsi" w:hAnsiTheme="minorHAnsi"/>
          <w:color w:val="000000"/>
          <w:sz w:val="22"/>
          <w:szCs w:val="22"/>
          <w:lang w:eastAsia="en-GB"/>
        </w:rPr>
        <w:t>[209]</w:t>
      </w:r>
      <w:r w:rsidRPr="00C44D8C">
        <w:rPr>
          <w:rFonts w:asciiTheme="minorHAnsi" w:hAnsiTheme="minorHAnsi"/>
          <w:color w:val="000000"/>
          <w:sz w:val="22"/>
          <w:szCs w:val="22"/>
          <w:lang w:eastAsia="en-GB"/>
        </w:rPr>
        <w:t xml:space="preserve">. </w:t>
      </w:r>
    </w:p>
    <w:p w14:paraId="27F1DDBD" w14:textId="77777777" w:rsidR="00436CD0" w:rsidRPr="00C44D8C" w:rsidRDefault="00436CD0" w:rsidP="002B29E5">
      <w:pPr>
        <w:pStyle w:val="Heading7"/>
        <w:rPr>
          <w:lang w:eastAsia="en-GB"/>
        </w:rPr>
      </w:pPr>
      <w:bookmarkStart w:id="152" w:name="_Toc462575361"/>
      <w:r w:rsidRPr="00C44D8C">
        <w:rPr>
          <w:lang w:eastAsia="en-GB"/>
        </w:rPr>
        <w:t>5.3.5.3. Signalling mechanisms</w:t>
      </w:r>
      <w:bookmarkEnd w:id="152"/>
      <w:r w:rsidRPr="00C44D8C">
        <w:rPr>
          <w:lang w:eastAsia="en-GB"/>
        </w:rPr>
        <w:t xml:space="preserve"> </w:t>
      </w:r>
    </w:p>
    <w:p w14:paraId="648D0E1A" w14:textId="39F70D22"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sz w:val="22"/>
          <w:szCs w:val="22"/>
          <w:lang w:eastAsia="en-GB"/>
        </w:rPr>
        <w:t>Signalling mechanisms are important in microorganisms to allow them to respond to important extracellular signals in their environment, which can promot</w:t>
      </w:r>
      <w:r w:rsidR="004614B6">
        <w:rPr>
          <w:rFonts w:asciiTheme="minorHAnsi" w:hAnsiTheme="minorHAnsi"/>
          <w:sz w:val="22"/>
          <w:szCs w:val="22"/>
          <w:lang w:eastAsia="en-GB"/>
        </w:rPr>
        <w:t xml:space="preserve">e survival, defence and growth </w:t>
      </w:r>
      <w:r w:rsidR="004614B6">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"10.1126/science.1121357.Bacterial", "ISBN" : "3532142759", "ISSN" : "0021-9193", "PMID" : "20165945", "abstract" : "Cyclic-di-GMP is a ubiquitous second messenger in bacteria. The recent discovery that c-di-GMP antagonistically controls motility and virulence of single, planktonic cells on one hand and cell adhesion and persistence of multicellular communities on the other has spurred interest in this regulatory compound. Cellular levels of c-di-GMP are controlled through the opposing activities of diguanylate cyclases and phosphodiesterases, which represent two large families of output domains found in bacterial one- and two-component systems. This review concentrates on structural and functional aspects of diguanylate cyclases and phosphodiesterases, and on their role in transmitting environmental stimuli into a range of different cellular functions. In addition, we examine several well-established model systems for c-di-GMP signaling, including Pseudomonas, Vibrio, Caulobacter, and Salmonella.", "author" : [ { "dropping-particle" : "", "family" : "Camilli", "given" : "Andrew", "non-dropping-particle" : "", "parse-names" : false, "suffix" : "" }, { "dropping-particle" : "", "family" : "Bassler", "given" : "Bonnie L.", "non-dropping-particle" : "", "parse-names" : false, "suffix" : "" } ], "container-title" : "Science", "id" : "ITEM-1", "issued" : { "date-parts" : [ [ "2006" ] ] }, "page" : "1113-1116", "title" : "Bacterial small-molecule signalling pathways", "type" : "article-journal", "volume" : "311" }, "uris" : [ "http://www.mendeley.com/documents/?uuid=e3911b8b-d71d-4e93-9450-9ab88b0d63f9" ] } ], "mendeley" : { "formattedCitation" : "[219]", "plainTextFormattedCitation" : "[219]", "previouslyFormattedCitation" : "[219]" }, "properties" : { "noteIndex" : 0 }, "schema" : "https://github.com/citation-style-language/schema/raw/master/csl-citation.json" }</w:instrText>
      </w:r>
      <w:r w:rsidR="004614B6">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[219]</w:t>
      </w:r>
      <w:r w:rsidR="004614B6">
        <w:rPr>
          <w:rFonts w:asciiTheme="minorHAnsi" w:hAnsiTheme="minorHAnsi"/>
          <w:sz w:val="22"/>
          <w:szCs w:val="22"/>
          <w:lang w:eastAsia="en-GB"/>
        </w:rPr>
        <w:fldChar w:fldCharType="end"/>
      </w:r>
      <w:r w:rsidRPr="00C44D8C">
        <w:rPr>
          <w:rFonts w:asciiTheme="minorHAnsi" w:hAnsiTheme="minorHAnsi"/>
          <w:sz w:val="22"/>
          <w:szCs w:val="22"/>
          <w:lang w:eastAsia="en-GB"/>
        </w:rPr>
        <w:t xml:space="preserve">. Various signal proteins involved in nitrogen regulation and defence responses were </w:t>
      </w:r>
      <w:r w:rsidR="003D18AD">
        <w:rPr>
          <w:rFonts w:asciiTheme="minorHAnsi" w:hAnsiTheme="minorHAnsi"/>
          <w:color w:val="000000"/>
          <w:sz w:val="22"/>
          <w:szCs w:val="22"/>
          <w:lang w:eastAsia="en-GB"/>
        </w:rPr>
        <w:t>found in higher relative abundance</w:t>
      </w:r>
      <w:r w:rsidRPr="00C44D8C">
        <w:rPr>
          <w:rFonts w:asciiTheme="minorHAnsi" w:hAnsiTheme="minorHAnsi"/>
          <w:sz w:val="22"/>
          <w:szCs w:val="22"/>
          <w:lang w:eastAsia="en-GB"/>
        </w:rPr>
        <w:t xml:space="preserve"> in </w:t>
      </w:r>
      <w:r w:rsidRPr="00C44D8C">
        <w:rPr>
          <w:rFonts w:asciiTheme="minorHAnsi" w:hAnsiTheme="minorHAnsi"/>
          <w:i/>
          <w:sz w:val="22"/>
          <w:szCs w:val="22"/>
          <w:lang w:eastAsia="en-GB"/>
        </w:rPr>
        <w:t xml:space="preserve">M. barkeri </w:t>
      </w:r>
      <w:r w:rsidRPr="00C44D8C">
        <w:rPr>
          <w:rFonts w:asciiTheme="minorHAnsi" w:hAnsiTheme="minorHAnsi"/>
          <w:sz w:val="22"/>
          <w:szCs w:val="22"/>
          <w:lang w:eastAsia="en-GB"/>
        </w:rPr>
        <w:t>biofilms attached to PVC compared to PETG (Table 5.3), and are d</w:t>
      </w:r>
      <w:r w:rsidR="002B29E5">
        <w:rPr>
          <w:rFonts w:asciiTheme="minorHAnsi" w:hAnsiTheme="minorHAnsi"/>
          <w:sz w:val="22"/>
          <w:szCs w:val="22"/>
          <w:lang w:eastAsia="en-GB"/>
        </w:rPr>
        <w:t xml:space="preserve">escribed in more detail below. </w:t>
      </w:r>
    </w:p>
    <w:p w14:paraId="1262F150" w14:textId="77777777" w:rsidR="00436CD0" w:rsidRPr="00C44D8C" w:rsidRDefault="00436CD0" w:rsidP="00436CD0">
      <w:pPr>
        <w:spacing w:line="360" w:lineRule="auto"/>
        <w:rPr>
          <w:rFonts w:asciiTheme="minorHAnsi" w:hAnsiTheme="minorHAnsi"/>
          <w:sz w:val="22"/>
          <w:szCs w:val="22"/>
          <w:lang w:eastAsia="en-GB"/>
        </w:rPr>
      </w:pPr>
    </w:p>
    <w:p w14:paraId="78D032D2" w14:textId="55BF9C34"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Table 5.3</w:t>
      </w:r>
      <w:r w:rsidRPr="00C44D8C">
        <w:rPr>
          <w:rFonts w:asciiTheme="minorHAnsi" w:hAnsiTheme="minorHAnsi"/>
          <w:color w:val="000000"/>
          <w:sz w:val="22"/>
          <w:szCs w:val="22"/>
          <w:lang w:eastAsia="en-GB"/>
        </w:rPr>
        <w:t xml:space="preserve"> Proteins involved in signalling mechanisms and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 (p ≤ 0.05).</w:t>
      </w:r>
    </w:p>
    <w:tbl>
      <w:tblPr>
        <w:tblW w:w="4858" w:type="pct"/>
        <w:tblLayout w:type="fixed"/>
        <w:tblLook w:val="04A0" w:firstRow="1" w:lastRow="0" w:firstColumn="1" w:lastColumn="0" w:noHBand="0" w:noVBand="1"/>
      </w:tblPr>
      <w:tblGrid>
        <w:gridCol w:w="1510"/>
        <w:gridCol w:w="4795"/>
        <w:gridCol w:w="1682"/>
      </w:tblGrid>
      <w:tr w:rsidR="00436CD0" w:rsidRPr="00C44D8C" w14:paraId="2BC72EA3" w14:textId="77777777" w:rsidTr="002B29E5">
        <w:trPr>
          <w:trHeight w:val="620"/>
        </w:trPr>
        <w:tc>
          <w:tcPr>
            <w:tcW w:w="945" w:type="pct"/>
            <w:tcBorders>
              <w:top w:val="nil"/>
              <w:left w:val="nil"/>
              <w:bottom w:val="single" w:sz="4" w:space="0" w:color="auto"/>
              <w:right w:val="nil"/>
            </w:tcBorders>
            <w:shd w:val="clear" w:color="auto" w:fill="auto"/>
            <w:hideMark/>
          </w:tcPr>
          <w:p w14:paraId="663A9B4C"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Loci</w:t>
            </w:r>
          </w:p>
        </w:tc>
        <w:tc>
          <w:tcPr>
            <w:tcW w:w="3002" w:type="pct"/>
            <w:tcBorders>
              <w:top w:val="nil"/>
              <w:left w:val="nil"/>
              <w:bottom w:val="single" w:sz="4" w:space="0" w:color="auto"/>
              <w:right w:val="nil"/>
            </w:tcBorders>
            <w:shd w:val="clear" w:color="auto" w:fill="auto"/>
            <w:hideMark/>
          </w:tcPr>
          <w:p w14:paraId="716499EF"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Protein</w:t>
            </w:r>
          </w:p>
        </w:tc>
        <w:tc>
          <w:tcPr>
            <w:tcW w:w="1053" w:type="pct"/>
            <w:tcBorders>
              <w:top w:val="nil"/>
              <w:left w:val="nil"/>
              <w:bottom w:val="single" w:sz="4" w:space="0" w:color="auto"/>
              <w:right w:val="nil"/>
            </w:tcBorders>
            <w:shd w:val="clear" w:color="auto" w:fill="auto"/>
            <w:hideMark/>
          </w:tcPr>
          <w:p w14:paraId="3B72522C"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Fold change</w:t>
            </w:r>
          </w:p>
        </w:tc>
      </w:tr>
      <w:tr w:rsidR="00436CD0" w:rsidRPr="00C44D8C" w14:paraId="3D717FC9" w14:textId="77777777" w:rsidTr="002B29E5">
        <w:trPr>
          <w:trHeight w:val="310"/>
        </w:trPr>
        <w:tc>
          <w:tcPr>
            <w:tcW w:w="5000" w:type="pct"/>
            <w:gridSpan w:val="3"/>
            <w:tcBorders>
              <w:top w:val="single" w:sz="4" w:space="0" w:color="auto"/>
              <w:bottom w:val="nil"/>
              <w:right w:val="nil"/>
            </w:tcBorders>
            <w:shd w:val="clear" w:color="auto" w:fill="auto"/>
            <w:noWrap/>
            <w:hideMark/>
          </w:tcPr>
          <w:p w14:paraId="1354F617"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Signal transduction mechanisms</w:t>
            </w:r>
          </w:p>
        </w:tc>
      </w:tr>
      <w:tr w:rsidR="00436CD0" w:rsidRPr="00C44D8C" w14:paraId="6D3E34AA" w14:textId="77777777" w:rsidTr="00436CD0">
        <w:trPr>
          <w:trHeight w:val="290"/>
        </w:trPr>
        <w:tc>
          <w:tcPr>
            <w:tcW w:w="945" w:type="pct"/>
            <w:tcBorders>
              <w:top w:val="nil"/>
              <w:left w:val="nil"/>
              <w:bottom w:val="nil"/>
              <w:right w:val="nil"/>
            </w:tcBorders>
            <w:shd w:val="clear" w:color="auto" w:fill="auto"/>
            <w:noWrap/>
            <w:hideMark/>
          </w:tcPr>
          <w:p w14:paraId="46401B0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Mbar_A3247</w:t>
            </w:r>
          </w:p>
        </w:tc>
        <w:tc>
          <w:tcPr>
            <w:tcW w:w="3002" w:type="pct"/>
            <w:tcBorders>
              <w:top w:val="nil"/>
              <w:left w:val="nil"/>
              <w:bottom w:val="nil"/>
              <w:right w:val="nil"/>
            </w:tcBorders>
            <w:shd w:val="clear" w:color="auto" w:fill="auto"/>
            <w:noWrap/>
            <w:hideMark/>
          </w:tcPr>
          <w:p w14:paraId="2459FA0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Sensory transduction histidine kinase</w:t>
            </w:r>
          </w:p>
        </w:tc>
        <w:tc>
          <w:tcPr>
            <w:tcW w:w="1053" w:type="pct"/>
            <w:tcBorders>
              <w:top w:val="nil"/>
              <w:left w:val="nil"/>
              <w:bottom w:val="nil"/>
              <w:right w:val="nil"/>
            </w:tcBorders>
            <w:shd w:val="clear" w:color="auto" w:fill="auto"/>
            <w:noWrap/>
            <w:hideMark/>
          </w:tcPr>
          <w:p w14:paraId="2AD94BD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3.77</w:t>
            </w:r>
          </w:p>
        </w:tc>
      </w:tr>
      <w:tr w:rsidR="00436CD0" w:rsidRPr="00C44D8C" w14:paraId="561EEC4C" w14:textId="77777777" w:rsidTr="00436CD0">
        <w:trPr>
          <w:trHeight w:val="290"/>
        </w:trPr>
        <w:tc>
          <w:tcPr>
            <w:tcW w:w="945" w:type="pct"/>
            <w:tcBorders>
              <w:top w:val="nil"/>
              <w:left w:val="nil"/>
              <w:bottom w:val="nil"/>
              <w:right w:val="nil"/>
            </w:tcBorders>
            <w:shd w:val="clear" w:color="auto" w:fill="auto"/>
            <w:noWrap/>
            <w:hideMark/>
          </w:tcPr>
          <w:p w14:paraId="0677504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Mbar_A2180</w:t>
            </w:r>
          </w:p>
        </w:tc>
        <w:tc>
          <w:tcPr>
            <w:tcW w:w="3002" w:type="pct"/>
            <w:tcBorders>
              <w:top w:val="nil"/>
              <w:left w:val="nil"/>
              <w:bottom w:val="nil"/>
              <w:right w:val="nil"/>
            </w:tcBorders>
            <w:shd w:val="clear" w:color="auto" w:fill="auto"/>
            <w:noWrap/>
            <w:hideMark/>
          </w:tcPr>
          <w:p w14:paraId="2A4E6FB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L-glutamine synthetase </w:t>
            </w:r>
          </w:p>
        </w:tc>
        <w:tc>
          <w:tcPr>
            <w:tcW w:w="1053" w:type="pct"/>
            <w:tcBorders>
              <w:top w:val="nil"/>
              <w:left w:val="nil"/>
              <w:bottom w:val="nil"/>
              <w:right w:val="nil"/>
            </w:tcBorders>
            <w:shd w:val="clear" w:color="auto" w:fill="auto"/>
            <w:noWrap/>
            <w:hideMark/>
          </w:tcPr>
          <w:p w14:paraId="1E203F0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2.25</w:t>
            </w:r>
          </w:p>
        </w:tc>
      </w:tr>
      <w:tr w:rsidR="00436CD0" w:rsidRPr="00C44D8C" w14:paraId="70880F87" w14:textId="77777777" w:rsidTr="00436CD0">
        <w:trPr>
          <w:trHeight w:val="290"/>
        </w:trPr>
        <w:tc>
          <w:tcPr>
            <w:tcW w:w="945" w:type="pct"/>
            <w:tcBorders>
              <w:top w:val="nil"/>
              <w:left w:val="nil"/>
              <w:bottom w:val="nil"/>
              <w:right w:val="nil"/>
            </w:tcBorders>
            <w:shd w:val="clear" w:color="auto" w:fill="auto"/>
            <w:noWrap/>
            <w:hideMark/>
          </w:tcPr>
          <w:p w14:paraId="7B5C0A0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Mbar_A3420</w:t>
            </w:r>
          </w:p>
        </w:tc>
        <w:tc>
          <w:tcPr>
            <w:tcW w:w="3002" w:type="pct"/>
            <w:tcBorders>
              <w:top w:val="nil"/>
              <w:left w:val="nil"/>
              <w:bottom w:val="nil"/>
              <w:right w:val="nil"/>
            </w:tcBorders>
            <w:shd w:val="clear" w:color="auto" w:fill="auto"/>
            <w:noWrap/>
            <w:hideMark/>
          </w:tcPr>
          <w:p w14:paraId="14F8C5D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MoaA/NifB/PqqE family protein</w:t>
            </w:r>
          </w:p>
        </w:tc>
        <w:tc>
          <w:tcPr>
            <w:tcW w:w="1053" w:type="pct"/>
            <w:tcBorders>
              <w:top w:val="nil"/>
              <w:left w:val="nil"/>
              <w:bottom w:val="nil"/>
              <w:right w:val="nil"/>
            </w:tcBorders>
            <w:shd w:val="clear" w:color="auto" w:fill="auto"/>
            <w:noWrap/>
            <w:hideMark/>
          </w:tcPr>
          <w:p w14:paraId="26CBB91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2.14</w:t>
            </w:r>
          </w:p>
        </w:tc>
      </w:tr>
      <w:tr w:rsidR="00436CD0" w:rsidRPr="00C44D8C" w14:paraId="022B15A5" w14:textId="77777777" w:rsidTr="00436CD0">
        <w:trPr>
          <w:trHeight w:val="290"/>
        </w:trPr>
        <w:tc>
          <w:tcPr>
            <w:tcW w:w="945" w:type="pct"/>
            <w:tcBorders>
              <w:top w:val="nil"/>
              <w:left w:val="nil"/>
              <w:bottom w:val="nil"/>
              <w:right w:val="nil"/>
            </w:tcBorders>
            <w:shd w:val="clear" w:color="auto" w:fill="auto"/>
            <w:noWrap/>
            <w:hideMark/>
          </w:tcPr>
          <w:p w14:paraId="2EC8910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Mbar_A2347</w:t>
            </w:r>
          </w:p>
        </w:tc>
        <w:tc>
          <w:tcPr>
            <w:tcW w:w="3002" w:type="pct"/>
            <w:tcBorders>
              <w:top w:val="nil"/>
              <w:left w:val="nil"/>
              <w:bottom w:val="nil"/>
              <w:right w:val="nil"/>
            </w:tcBorders>
            <w:shd w:val="clear" w:color="auto" w:fill="auto"/>
            <w:noWrap/>
            <w:hideMark/>
          </w:tcPr>
          <w:p w14:paraId="5F706B1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Nitrogen regulatory protein P-II</w:t>
            </w:r>
          </w:p>
        </w:tc>
        <w:tc>
          <w:tcPr>
            <w:tcW w:w="1053" w:type="pct"/>
            <w:tcBorders>
              <w:top w:val="nil"/>
              <w:left w:val="nil"/>
              <w:bottom w:val="nil"/>
              <w:right w:val="nil"/>
            </w:tcBorders>
            <w:shd w:val="clear" w:color="auto" w:fill="auto"/>
            <w:noWrap/>
            <w:hideMark/>
          </w:tcPr>
          <w:p w14:paraId="76C86DD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2.07</w:t>
            </w:r>
          </w:p>
        </w:tc>
      </w:tr>
      <w:tr w:rsidR="00436CD0" w:rsidRPr="00C44D8C" w14:paraId="7C9E0237" w14:textId="77777777" w:rsidTr="00436CD0">
        <w:trPr>
          <w:trHeight w:val="290"/>
        </w:trPr>
        <w:tc>
          <w:tcPr>
            <w:tcW w:w="945" w:type="pct"/>
            <w:tcBorders>
              <w:top w:val="nil"/>
              <w:left w:val="nil"/>
              <w:bottom w:val="nil"/>
              <w:right w:val="nil"/>
            </w:tcBorders>
            <w:shd w:val="clear" w:color="auto" w:fill="auto"/>
            <w:noWrap/>
            <w:hideMark/>
          </w:tcPr>
          <w:p w14:paraId="49EA1F8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Mbar_A3129</w:t>
            </w:r>
          </w:p>
        </w:tc>
        <w:tc>
          <w:tcPr>
            <w:tcW w:w="3002" w:type="pct"/>
            <w:tcBorders>
              <w:top w:val="nil"/>
              <w:left w:val="nil"/>
              <w:bottom w:val="nil"/>
              <w:right w:val="nil"/>
            </w:tcBorders>
            <w:shd w:val="clear" w:color="auto" w:fill="auto"/>
            <w:noWrap/>
            <w:hideMark/>
          </w:tcPr>
          <w:p w14:paraId="35C7530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GTP-binding protein</w:t>
            </w:r>
          </w:p>
        </w:tc>
        <w:tc>
          <w:tcPr>
            <w:tcW w:w="1053" w:type="pct"/>
            <w:tcBorders>
              <w:top w:val="nil"/>
              <w:left w:val="nil"/>
              <w:bottom w:val="nil"/>
              <w:right w:val="nil"/>
            </w:tcBorders>
            <w:shd w:val="clear" w:color="auto" w:fill="auto"/>
            <w:noWrap/>
            <w:hideMark/>
          </w:tcPr>
          <w:p w14:paraId="3ACA43F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2.05</w:t>
            </w:r>
          </w:p>
        </w:tc>
      </w:tr>
      <w:tr w:rsidR="00436CD0" w:rsidRPr="00C44D8C" w14:paraId="063B73B7" w14:textId="77777777" w:rsidTr="00436CD0">
        <w:trPr>
          <w:trHeight w:val="290"/>
        </w:trPr>
        <w:tc>
          <w:tcPr>
            <w:tcW w:w="945" w:type="pct"/>
            <w:tcBorders>
              <w:top w:val="nil"/>
              <w:left w:val="nil"/>
              <w:bottom w:val="nil"/>
              <w:right w:val="nil"/>
            </w:tcBorders>
            <w:shd w:val="clear" w:color="auto" w:fill="auto"/>
            <w:noWrap/>
            <w:hideMark/>
          </w:tcPr>
          <w:p w14:paraId="54C7ED9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Mbar_A0729</w:t>
            </w:r>
          </w:p>
        </w:tc>
        <w:tc>
          <w:tcPr>
            <w:tcW w:w="3002" w:type="pct"/>
            <w:tcBorders>
              <w:top w:val="nil"/>
              <w:left w:val="nil"/>
              <w:bottom w:val="nil"/>
              <w:right w:val="nil"/>
            </w:tcBorders>
            <w:shd w:val="clear" w:color="auto" w:fill="auto"/>
            <w:noWrap/>
            <w:hideMark/>
          </w:tcPr>
          <w:p w14:paraId="14F3A72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NifS protein</w:t>
            </w:r>
          </w:p>
        </w:tc>
        <w:tc>
          <w:tcPr>
            <w:tcW w:w="1053" w:type="pct"/>
            <w:tcBorders>
              <w:top w:val="nil"/>
              <w:left w:val="nil"/>
              <w:bottom w:val="nil"/>
              <w:right w:val="nil"/>
            </w:tcBorders>
            <w:shd w:val="clear" w:color="auto" w:fill="auto"/>
            <w:noWrap/>
            <w:hideMark/>
          </w:tcPr>
          <w:p w14:paraId="625F89E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40F54C6A" w14:textId="77777777" w:rsidTr="00436CD0">
        <w:trPr>
          <w:trHeight w:val="290"/>
        </w:trPr>
        <w:tc>
          <w:tcPr>
            <w:tcW w:w="945" w:type="pct"/>
            <w:tcBorders>
              <w:top w:val="nil"/>
              <w:left w:val="nil"/>
              <w:bottom w:val="nil"/>
              <w:right w:val="nil"/>
            </w:tcBorders>
            <w:shd w:val="clear" w:color="auto" w:fill="auto"/>
            <w:noWrap/>
            <w:hideMark/>
          </w:tcPr>
          <w:p w14:paraId="31D2D77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Mbar_A0122</w:t>
            </w:r>
          </w:p>
        </w:tc>
        <w:tc>
          <w:tcPr>
            <w:tcW w:w="3002" w:type="pct"/>
            <w:tcBorders>
              <w:top w:val="nil"/>
              <w:left w:val="nil"/>
              <w:bottom w:val="nil"/>
              <w:right w:val="nil"/>
            </w:tcBorders>
            <w:shd w:val="clear" w:color="auto" w:fill="auto"/>
            <w:noWrap/>
            <w:hideMark/>
          </w:tcPr>
          <w:p w14:paraId="00A0117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Ferric uptake regulation protein</w:t>
            </w:r>
          </w:p>
        </w:tc>
        <w:tc>
          <w:tcPr>
            <w:tcW w:w="1053" w:type="pct"/>
            <w:tcBorders>
              <w:top w:val="nil"/>
              <w:left w:val="nil"/>
              <w:bottom w:val="nil"/>
              <w:right w:val="nil"/>
            </w:tcBorders>
            <w:shd w:val="clear" w:color="auto" w:fill="auto"/>
            <w:noWrap/>
            <w:hideMark/>
          </w:tcPr>
          <w:p w14:paraId="17CA24D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1.80</w:t>
            </w:r>
          </w:p>
        </w:tc>
      </w:tr>
      <w:tr w:rsidR="00436CD0" w:rsidRPr="00C44D8C" w14:paraId="0E74C99B" w14:textId="77777777" w:rsidTr="00436CD0">
        <w:trPr>
          <w:trHeight w:val="290"/>
        </w:trPr>
        <w:tc>
          <w:tcPr>
            <w:tcW w:w="945" w:type="pct"/>
            <w:tcBorders>
              <w:top w:val="nil"/>
              <w:left w:val="nil"/>
              <w:bottom w:val="nil"/>
              <w:right w:val="nil"/>
            </w:tcBorders>
            <w:shd w:val="clear" w:color="auto" w:fill="auto"/>
            <w:noWrap/>
            <w:hideMark/>
          </w:tcPr>
          <w:p w14:paraId="1D8155D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Mbar_A2425</w:t>
            </w:r>
          </w:p>
        </w:tc>
        <w:tc>
          <w:tcPr>
            <w:tcW w:w="3002" w:type="pct"/>
            <w:tcBorders>
              <w:top w:val="nil"/>
              <w:left w:val="nil"/>
              <w:bottom w:val="nil"/>
              <w:right w:val="nil"/>
            </w:tcBorders>
            <w:shd w:val="clear" w:color="auto" w:fill="auto"/>
            <w:noWrap/>
            <w:hideMark/>
          </w:tcPr>
          <w:p w14:paraId="05C6D44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NifU protein</w:t>
            </w:r>
          </w:p>
        </w:tc>
        <w:tc>
          <w:tcPr>
            <w:tcW w:w="1053" w:type="pct"/>
            <w:tcBorders>
              <w:top w:val="nil"/>
              <w:left w:val="nil"/>
              <w:bottom w:val="nil"/>
              <w:right w:val="nil"/>
            </w:tcBorders>
            <w:shd w:val="clear" w:color="auto" w:fill="auto"/>
            <w:noWrap/>
            <w:hideMark/>
          </w:tcPr>
          <w:p w14:paraId="37CB547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4D3862B4" w14:textId="77777777" w:rsidTr="00436CD0">
        <w:trPr>
          <w:trHeight w:val="290"/>
        </w:trPr>
        <w:tc>
          <w:tcPr>
            <w:tcW w:w="945" w:type="pct"/>
            <w:tcBorders>
              <w:top w:val="nil"/>
              <w:left w:val="nil"/>
              <w:bottom w:val="nil"/>
              <w:right w:val="nil"/>
            </w:tcBorders>
            <w:shd w:val="clear" w:color="auto" w:fill="auto"/>
            <w:noWrap/>
            <w:hideMark/>
          </w:tcPr>
          <w:p w14:paraId="3166E76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Mbar_A0159</w:t>
            </w:r>
          </w:p>
        </w:tc>
        <w:tc>
          <w:tcPr>
            <w:tcW w:w="3002" w:type="pct"/>
            <w:tcBorders>
              <w:top w:val="nil"/>
              <w:left w:val="nil"/>
              <w:bottom w:val="nil"/>
              <w:right w:val="nil"/>
            </w:tcBorders>
            <w:shd w:val="clear" w:color="auto" w:fill="auto"/>
            <w:noWrap/>
            <w:hideMark/>
          </w:tcPr>
          <w:p w14:paraId="53C7EE5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Nitrogen regulatory protein P-II</w:t>
            </w:r>
          </w:p>
        </w:tc>
        <w:tc>
          <w:tcPr>
            <w:tcW w:w="1053" w:type="pct"/>
            <w:tcBorders>
              <w:top w:val="nil"/>
              <w:left w:val="nil"/>
              <w:bottom w:val="nil"/>
              <w:right w:val="nil"/>
            </w:tcBorders>
            <w:shd w:val="clear" w:color="auto" w:fill="auto"/>
            <w:noWrap/>
            <w:hideMark/>
          </w:tcPr>
          <w:p w14:paraId="380FB24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1.74</w:t>
            </w:r>
          </w:p>
        </w:tc>
      </w:tr>
      <w:tr w:rsidR="00436CD0" w:rsidRPr="00C44D8C" w14:paraId="307F7295" w14:textId="77777777" w:rsidTr="00436CD0">
        <w:trPr>
          <w:trHeight w:val="290"/>
        </w:trPr>
        <w:tc>
          <w:tcPr>
            <w:tcW w:w="945" w:type="pct"/>
            <w:tcBorders>
              <w:top w:val="nil"/>
              <w:left w:val="nil"/>
              <w:bottom w:val="nil"/>
              <w:right w:val="nil"/>
            </w:tcBorders>
            <w:shd w:val="clear" w:color="auto" w:fill="auto"/>
            <w:noWrap/>
            <w:hideMark/>
          </w:tcPr>
          <w:p w14:paraId="072F83B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Mbar_A2703</w:t>
            </w:r>
          </w:p>
        </w:tc>
        <w:tc>
          <w:tcPr>
            <w:tcW w:w="3002" w:type="pct"/>
            <w:tcBorders>
              <w:top w:val="nil"/>
              <w:left w:val="nil"/>
              <w:bottom w:val="nil"/>
              <w:right w:val="nil"/>
            </w:tcBorders>
            <w:shd w:val="clear" w:color="auto" w:fill="auto"/>
            <w:noWrap/>
            <w:hideMark/>
          </w:tcPr>
          <w:p w14:paraId="44DC9B4F" w14:textId="77777777" w:rsidR="00436CD0" w:rsidRPr="00C44D8C" w:rsidRDefault="00436CD0" w:rsidP="00436CD0">
            <w:pPr>
              <w:rPr>
                <w:rFonts w:asciiTheme="minorHAnsi" w:hAnsiTheme="minorHAnsi"/>
                <w:color w:val="000000"/>
                <w:sz w:val="22"/>
                <w:szCs w:val="22"/>
                <w:lang w:val="de-DE" w:eastAsia="en-GB"/>
              </w:rPr>
            </w:pPr>
            <w:r w:rsidRPr="00C44D8C">
              <w:rPr>
                <w:rFonts w:asciiTheme="minorHAnsi" w:hAnsiTheme="minorHAnsi"/>
                <w:color w:val="000000"/>
                <w:sz w:val="22"/>
                <w:szCs w:val="22"/>
                <w:lang w:val="de-DE" w:eastAsia="en-GB"/>
              </w:rPr>
              <w:t>Nitrogen fixation protein NifH/NifE</w:t>
            </w:r>
          </w:p>
        </w:tc>
        <w:tc>
          <w:tcPr>
            <w:tcW w:w="1053" w:type="pct"/>
            <w:tcBorders>
              <w:top w:val="nil"/>
              <w:left w:val="nil"/>
              <w:bottom w:val="nil"/>
              <w:right w:val="nil"/>
            </w:tcBorders>
            <w:shd w:val="clear" w:color="auto" w:fill="auto"/>
            <w:noWrap/>
            <w:hideMark/>
          </w:tcPr>
          <w:p w14:paraId="5E3EF66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1A67FD2E" w14:textId="77777777" w:rsidTr="00436CD0">
        <w:trPr>
          <w:trHeight w:val="290"/>
        </w:trPr>
        <w:tc>
          <w:tcPr>
            <w:tcW w:w="945" w:type="pct"/>
            <w:tcBorders>
              <w:top w:val="nil"/>
              <w:left w:val="nil"/>
              <w:bottom w:val="nil"/>
              <w:right w:val="nil"/>
            </w:tcBorders>
            <w:shd w:val="clear" w:color="auto" w:fill="auto"/>
            <w:noWrap/>
            <w:hideMark/>
          </w:tcPr>
          <w:p w14:paraId="245B9B9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Mbar_A0665</w:t>
            </w:r>
          </w:p>
        </w:tc>
        <w:tc>
          <w:tcPr>
            <w:tcW w:w="3002" w:type="pct"/>
            <w:tcBorders>
              <w:top w:val="nil"/>
              <w:left w:val="nil"/>
              <w:bottom w:val="nil"/>
              <w:right w:val="nil"/>
            </w:tcBorders>
            <w:shd w:val="clear" w:color="auto" w:fill="auto"/>
            <w:noWrap/>
            <w:hideMark/>
          </w:tcPr>
          <w:p w14:paraId="696BD08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Glutamate synthase (NADPH) GltB1 subunit </w:t>
            </w:r>
          </w:p>
        </w:tc>
        <w:tc>
          <w:tcPr>
            <w:tcW w:w="1053" w:type="pct"/>
            <w:tcBorders>
              <w:top w:val="nil"/>
              <w:left w:val="nil"/>
              <w:bottom w:val="nil"/>
              <w:right w:val="nil"/>
            </w:tcBorders>
            <w:shd w:val="clear" w:color="auto" w:fill="auto"/>
            <w:noWrap/>
            <w:hideMark/>
          </w:tcPr>
          <w:p w14:paraId="682CD15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1.69</w:t>
            </w:r>
          </w:p>
        </w:tc>
      </w:tr>
      <w:tr w:rsidR="00436CD0" w:rsidRPr="00C44D8C" w14:paraId="6049990F" w14:textId="77777777" w:rsidTr="00436CD0">
        <w:trPr>
          <w:trHeight w:val="290"/>
        </w:trPr>
        <w:tc>
          <w:tcPr>
            <w:tcW w:w="945" w:type="pct"/>
            <w:tcBorders>
              <w:top w:val="nil"/>
              <w:left w:val="nil"/>
              <w:bottom w:val="nil"/>
              <w:right w:val="nil"/>
            </w:tcBorders>
            <w:shd w:val="clear" w:color="auto" w:fill="auto"/>
            <w:noWrap/>
            <w:hideMark/>
          </w:tcPr>
          <w:p w14:paraId="226889E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Mbar_A0347</w:t>
            </w:r>
          </w:p>
        </w:tc>
        <w:tc>
          <w:tcPr>
            <w:tcW w:w="3002" w:type="pct"/>
            <w:tcBorders>
              <w:top w:val="nil"/>
              <w:left w:val="nil"/>
              <w:bottom w:val="nil"/>
              <w:right w:val="nil"/>
            </w:tcBorders>
            <w:shd w:val="clear" w:color="auto" w:fill="auto"/>
            <w:noWrap/>
            <w:hideMark/>
          </w:tcPr>
          <w:p w14:paraId="1F7E511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Mo-nitrogenase iron protein subunit NifH </w:t>
            </w:r>
          </w:p>
        </w:tc>
        <w:tc>
          <w:tcPr>
            <w:tcW w:w="1053" w:type="pct"/>
            <w:tcBorders>
              <w:top w:val="nil"/>
              <w:left w:val="nil"/>
              <w:bottom w:val="nil"/>
              <w:right w:val="nil"/>
            </w:tcBorders>
            <w:shd w:val="clear" w:color="auto" w:fill="auto"/>
            <w:noWrap/>
            <w:hideMark/>
          </w:tcPr>
          <w:p w14:paraId="4BFA66E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1.52</w:t>
            </w:r>
          </w:p>
        </w:tc>
      </w:tr>
      <w:tr w:rsidR="00436CD0" w:rsidRPr="00C44D8C" w14:paraId="377B086D" w14:textId="77777777" w:rsidTr="00436CD0">
        <w:trPr>
          <w:trHeight w:val="290"/>
        </w:trPr>
        <w:tc>
          <w:tcPr>
            <w:tcW w:w="945" w:type="pct"/>
            <w:tcBorders>
              <w:top w:val="nil"/>
              <w:left w:val="nil"/>
              <w:bottom w:val="nil"/>
              <w:right w:val="nil"/>
            </w:tcBorders>
            <w:shd w:val="clear" w:color="auto" w:fill="auto"/>
            <w:noWrap/>
            <w:hideMark/>
          </w:tcPr>
          <w:p w14:paraId="0281ADB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Mbar_A0167</w:t>
            </w:r>
          </w:p>
        </w:tc>
        <w:tc>
          <w:tcPr>
            <w:tcW w:w="3002" w:type="pct"/>
            <w:tcBorders>
              <w:top w:val="nil"/>
              <w:left w:val="nil"/>
              <w:bottom w:val="nil"/>
              <w:right w:val="nil"/>
            </w:tcBorders>
            <w:shd w:val="clear" w:color="auto" w:fill="auto"/>
            <w:noWrap/>
            <w:hideMark/>
          </w:tcPr>
          <w:p w14:paraId="43F11F97" w14:textId="77777777" w:rsidR="00436CD0" w:rsidRPr="00224A2D" w:rsidRDefault="00436CD0" w:rsidP="00436CD0">
            <w:pPr>
              <w:rPr>
                <w:rFonts w:asciiTheme="minorHAnsi" w:hAnsiTheme="minorHAnsi"/>
                <w:color w:val="000000"/>
                <w:sz w:val="22"/>
                <w:szCs w:val="22"/>
                <w:lang w:val="nl-NL" w:eastAsia="en-GB"/>
              </w:rPr>
            </w:pPr>
            <w:r w:rsidRPr="00224A2D">
              <w:rPr>
                <w:rFonts w:asciiTheme="minorHAnsi" w:hAnsiTheme="minorHAnsi"/>
                <w:color w:val="000000"/>
                <w:sz w:val="22"/>
                <w:szCs w:val="22"/>
                <w:lang w:val="nl-NL" w:eastAsia="en-GB"/>
              </w:rPr>
              <w:t xml:space="preserve">Mo-nitrogenase MoFe protein subunit NifK </w:t>
            </w:r>
          </w:p>
        </w:tc>
        <w:tc>
          <w:tcPr>
            <w:tcW w:w="1053" w:type="pct"/>
            <w:tcBorders>
              <w:top w:val="nil"/>
              <w:left w:val="nil"/>
              <w:bottom w:val="nil"/>
              <w:right w:val="nil"/>
            </w:tcBorders>
            <w:shd w:val="clear" w:color="auto" w:fill="auto"/>
            <w:noWrap/>
            <w:hideMark/>
          </w:tcPr>
          <w:p w14:paraId="1455B7D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1.40</w:t>
            </w:r>
          </w:p>
        </w:tc>
      </w:tr>
      <w:tr w:rsidR="00436CD0" w:rsidRPr="00C44D8C" w14:paraId="2CC12E60" w14:textId="77777777" w:rsidTr="002B29E5">
        <w:trPr>
          <w:trHeight w:val="290"/>
        </w:trPr>
        <w:tc>
          <w:tcPr>
            <w:tcW w:w="945" w:type="pct"/>
            <w:tcBorders>
              <w:top w:val="nil"/>
              <w:left w:val="nil"/>
              <w:bottom w:val="single" w:sz="4" w:space="0" w:color="auto"/>
              <w:right w:val="nil"/>
            </w:tcBorders>
            <w:shd w:val="clear" w:color="auto" w:fill="auto"/>
            <w:noWrap/>
            <w:hideMark/>
          </w:tcPr>
          <w:p w14:paraId="05FF1C7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3002" w:type="pct"/>
            <w:tcBorders>
              <w:top w:val="nil"/>
              <w:left w:val="nil"/>
              <w:bottom w:val="single" w:sz="4" w:space="0" w:color="auto"/>
              <w:right w:val="nil"/>
            </w:tcBorders>
            <w:shd w:val="clear" w:color="auto" w:fill="auto"/>
            <w:noWrap/>
            <w:hideMark/>
          </w:tcPr>
          <w:p w14:paraId="26F38CB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1053" w:type="pct"/>
            <w:tcBorders>
              <w:top w:val="nil"/>
              <w:left w:val="nil"/>
              <w:bottom w:val="single" w:sz="4" w:space="0" w:color="auto"/>
              <w:right w:val="nil"/>
            </w:tcBorders>
            <w:shd w:val="clear" w:color="auto" w:fill="auto"/>
            <w:noWrap/>
            <w:hideMark/>
          </w:tcPr>
          <w:p w14:paraId="68695A7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r>
      <w:tr w:rsidR="00436CD0" w:rsidRPr="00C44D8C" w14:paraId="109E6A6D" w14:textId="77777777" w:rsidTr="002B29E5">
        <w:trPr>
          <w:trHeight w:val="310"/>
        </w:trPr>
        <w:tc>
          <w:tcPr>
            <w:tcW w:w="5000" w:type="pct"/>
            <w:gridSpan w:val="3"/>
            <w:tcBorders>
              <w:top w:val="single" w:sz="4" w:space="0" w:color="auto"/>
              <w:bottom w:val="nil"/>
              <w:right w:val="nil"/>
            </w:tcBorders>
            <w:shd w:val="clear" w:color="auto" w:fill="auto"/>
            <w:noWrap/>
            <w:hideMark/>
          </w:tcPr>
          <w:p w14:paraId="0A1CDEDD"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Defense mechanisms</w:t>
            </w:r>
          </w:p>
        </w:tc>
      </w:tr>
      <w:tr w:rsidR="00436CD0" w:rsidRPr="00C44D8C" w14:paraId="79EDCA36" w14:textId="77777777" w:rsidTr="00436CD0">
        <w:trPr>
          <w:trHeight w:val="290"/>
        </w:trPr>
        <w:tc>
          <w:tcPr>
            <w:tcW w:w="945" w:type="pct"/>
            <w:tcBorders>
              <w:top w:val="nil"/>
              <w:left w:val="nil"/>
              <w:bottom w:val="nil"/>
              <w:right w:val="nil"/>
            </w:tcBorders>
            <w:shd w:val="clear" w:color="auto" w:fill="auto"/>
            <w:noWrap/>
            <w:hideMark/>
          </w:tcPr>
          <w:p w14:paraId="28659C8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Mbar_A1182</w:t>
            </w:r>
          </w:p>
        </w:tc>
        <w:tc>
          <w:tcPr>
            <w:tcW w:w="3002" w:type="pct"/>
            <w:tcBorders>
              <w:top w:val="nil"/>
              <w:left w:val="nil"/>
              <w:bottom w:val="nil"/>
              <w:right w:val="nil"/>
            </w:tcBorders>
            <w:shd w:val="clear" w:color="auto" w:fill="auto"/>
            <w:noWrap/>
            <w:hideMark/>
          </w:tcPr>
          <w:p w14:paraId="5D32EB7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Nucleoid protein MC1</w:t>
            </w:r>
          </w:p>
        </w:tc>
        <w:tc>
          <w:tcPr>
            <w:tcW w:w="1053" w:type="pct"/>
            <w:tcBorders>
              <w:top w:val="nil"/>
              <w:left w:val="nil"/>
              <w:bottom w:val="nil"/>
              <w:right w:val="nil"/>
            </w:tcBorders>
            <w:shd w:val="clear" w:color="auto" w:fill="auto"/>
            <w:noWrap/>
            <w:hideMark/>
          </w:tcPr>
          <w:p w14:paraId="057F265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2.29</w:t>
            </w:r>
          </w:p>
        </w:tc>
      </w:tr>
      <w:tr w:rsidR="00436CD0" w:rsidRPr="00C44D8C" w14:paraId="65F3D60C" w14:textId="77777777" w:rsidTr="00436CD0">
        <w:trPr>
          <w:trHeight w:val="290"/>
        </w:trPr>
        <w:tc>
          <w:tcPr>
            <w:tcW w:w="945" w:type="pct"/>
            <w:tcBorders>
              <w:left w:val="nil"/>
              <w:right w:val="nil"/>
            </w:tcBorders>
            <w:shd w:val="clear" w:color="auto" w:fill="auto"/>
            <w:noWrap/>
          </w:tcPr>
          <w:p w14:paraId="3273833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Mbar_A3527</w:t>
            </w:r>
          </w:p>
        </w:tc>
        <w:tc>
          <w:tcPr>
            <w:tcW w:w="3002" w:type="pct"/>
            <w:tcBorders>
              <w:left w:val="nil"/>
              <w:right w:val="nil"/>
            </w:tcBorders>
            <w:shd w:val="clear" w:color="auto" w:fill="auto"/>
            <w:noWrap/>
          </w:tcPr>
          <w:p w14:paraId="147C8EC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Universal stress protein</w:t>
            </w:r>
          </w:p>
        </w:tc>
        <w:tc>
          <w:tcPr>
            <w:tcW w:w="1053" w:type="pct"/>
            <w:tcBorders>
              <w:left w:val="nil"/>
              <w:right w:val="nil"/>
            </w:tcBorders>
            <w:shd w:val="clear" w:color="auto" w:fill="auto"/>
            <w:noWrap/>
          </w:tcPr>
          <w:p w14:paraId="097EF11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2.24</w:t>
            </w:r>
          </w:p>
        </w:tc>
      </w:tr>
      <w:tr w:rsidR="00436CD0" w:rsidRPr="00C44D8C" w14:paraId="51A86905" w14:textId="77777777" w:rsidTr="00436CD0">
        <w:trPr>
          <w:trHeight w:val="290"/>
        </w:trPr>
        <w:tc>
          <w:tcPr>
            <w:tcW w:w="945" w:type="pct"/>
            <w:tcBorders>
              <w:top w:val="nil"/>
              <w:left w:val="nil"/>
              <w:bottom w:val="nil"/>
              <w:right w:val="nil"/>
            </w:tcBorders>
            <w:shd w:val="clear" w:color="auto" w:fill="auto"/>
            <w:noWrap/>
            <w:hideMark/>
          </w:tcPr>
          <w:p w14:paraId="56676A4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Mbar_A0479</w:t>
            </w:r>
          </w:p>
        </w:tc>
        <w:tc>
          <w:tcPr>
            <w:tcW w:w="3002" w:type="pct"/>
            <w:tcBorders>
              <w:top w:val="nil"/>
              <w:left w:val="nil"/>
              <w:bottom w:val="nil"/>
              <w:right w:val="nil"/>
            </w:tcBorders>
            <w:shd w:val="clear" w:color="auto" w:fill="auto"/>
            <w:noWrap/>
            <w:hideMark/>
          </w:tcPr>
          <w:p w14:paraId="58649FB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Peroxiredoxin </w:t>
            </w:r>
          </w:p>
        </w:tc>
        <w:tc>
          <w:tcPr>
            <w:tcW w:w="1053" w:type="pct"/>
            <w:tcBorders>
              <w:top w:val="nil"/>
              <w:left w:val="nil"/>
              <w:bottom w:val="nil"/>
              <w:right w:val="nil"/>
            </w:tcBorders>
            <w:shd w:val="clear" w:color="auto" w:fill="auto"/>
            <w:noWrap/>
            <w:hideMark/>
          </w:tcPr>
          <w:p w14:paraId="2750611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5CCCD95C" w14:textId="77777777" w:rsidTr="00436CD0">
        <w:trPr>
          <w:trHeight w:val="290"/>
        </w:trPr>
        <w:tc>
          <w:tcPr>
            <w:tcW w:w="945" w:type="pct"/>
            <w:tcBorders>
              <w:left w:val="nil"/>
              <w:right w:val="nil"/>
            </w:tcBorders>
            <w:shd w:val="clear" w:color="auto" w:fill="auto"/>
            <w:noWrap/>
          </w:tcPr>
          <w:p w14:paraId="44D1C63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Mbar_A3529</w:t>
            </w:r>
          </w:p>
        </w:tc>
        <w:tc>
          <w:tcPr>
            <w:tcW w:w="3002" w:type="pct"/>
            <w:tcBorders>
              <w:left w:val="nil"/>
              <w:right w:val="nil"/>
            </w:tcBorders>
            <w:shd w:val="clear" w:color="auto" w:fill="auto"/>
            <w:noWrap/>
          </w:tcPr>
          <w:p w14:paraId="3EAE57A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Universal stress protein</w:t>
            </w:r>
          </w:p>
        </w:tc>
        <w:tc>
          <w:tcPr>
            <w:tcW w:w="1053" w:type="pct"/>
            <w:tcBorders>
              <w:left w:val="nil"/>
              <w:right w:val="nil"/>
            </w:tcBorders>
            <w:shd w:val="clear" w:color="auto" w:fill="auto"/>
            <w:noWrap/>
          </w:tcPr>
          <w:p w14:paraId="41650DB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1229E26C" w14:textId="77777777" w:rsidTr="00436CD0">
        <w:trPr>
          <w:trHeight w:val="290"/>
        </w:trPr>
        <w:tc>
          <w:tcPr>
            <w:tcW w:w="945" w:type="pct"/>
            <w:tcBorders>
              <w:top w:val="nil"/>
              <w:left w:val="nil"/>
              <w:bottom w:val="nil"/>
              <w:right w:val="nil"/>
            </w:tcBorders>
            <w:shd w:val="clear" w:color="auto" w:fill="auto"/>
            <w:noWrap/>
            <w:hideMark/>
          </w:tcPr>
          <w:p w14:paraId="39BB862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Mbar_A1084</w:t>
            </w:r>
          </w:p>
        </w:tc>
        <w:tc>
          <w:tcPr>
            <w:tcW w:w="3002" w:type="pct"/>
            <w:tcBorders>
              <w:top w:val="nil"/>
              <w:left w:val="nil"/>
              <w:bottom w:val="nil"/>
              <w:right w:val="nil"/>
            </w:tcBorders>
            <w:shd w:val="clear" w:color="auto" w:fill="auto"/>
            <w:noWrap/>
            <w:hideMark/>
          </w:tcPr>
          <w:p w14:paraId="6A153C1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Thermosome subunit</w:t>
            </w:r>
          </w:p>
        </w:tc>
        <w:tc>
          <w:tcPr>
            <w:tcW w:w="1053" w:type="pct"/>
            <w:tcBorders>
              <w:top w:val="nil"/>
              <w:left w:val="nil"/>
              <w:bottom w:val="nil"/>
              <w:right w:val="nil"/>
            </w:tcBorders>
            <w:shd w:val="clear" w:color="auto" w:fill="auto"/>
            <w:noWrap/>
            <w:hideMark/>
          </w:tcPr>
          <w:p w14:paraId="4BAEF64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1.95</w:t>
            </w:r>
          </w:p>
        </w:tc>
      </w:tr>
      <w:tr w:rsidR="00436CD0" w:rsidRPr="00C44D8C" w14:paraId="0B448E8D" w14:textId="77777777" w:rsidTr="00436CD0">
        <w:trPr>
          <w:trHeight w:val="290"/>
        </w:trPr>
        <w:tc>
          <w:tcPr>
            <w:tcW w:w="945" w:type="pct"/>
            <w:tcBorders>
              <w:left w:val="nil"/>
              <w:right w:val="nil"/>
            </w:tcBorders>
            <w:shd w:val="clear" w:color="auto" w:fill="auto"/>
            <w:noWrap/>
          </w:tcPr>
          <w:p w14:paraId="6BE015A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Mbar_A0825</w:t>
            </w:r>
          </w:p>
        </w:tc>
        <w:tc>
          <w:tcPr>
            <w:tcW w:w="3002" w:type="pct"/>
            <w:tcBorders>
              <w:left w:val="nil"/>
              <w:right w:val="nil"/>
            </w:tcBorders>
            <w:shd w:val="clear" w:color="auto" w:fill="auto"/>
            <w:noWrap/>
          </w:tcPr>
          <w:p w14:paraId="0EABD8B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Universal stress protein</w:t>
            </w:r>
          </w:p>
        </w:tc>
        <w:tc>
          <w:tcPr>
            <w:tcW w:w="1053" w:type="pct"/>
            <w:tcBorders>
              <w:left w:val="nil"/>
              <w:right w:val="nil"/>
            </w:tcBorders>
            <w:shd w:val="clear" w:color="auto" w:fill="auto"/>
            <w:noWrap/>
          </w:tcPr>
          <w:p w14:paraId="71A6136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45AEE50A" w14:textId="77777777" w:rsidTr="00436CD0">
        <w:trPr>
          <w:trHeight w:val="290"/>
        </w:trPr>
        <w:tc>
          <w:tcPr>
            <w:tcW w:w="945" w:type="pct"/>
            <w:tcBorders>
              <w:top w:val="nil"/>
              <w:left w:val="nil"/>
              <w:right w:val="nil"/>
            </w:tcBorders>
            <w:shd w:val="clear" w:color="auto" w:fill="auto"/>
            <w:noWrap/>
            <w:hideMark/>
          </w:tcPr>
          <w:p w14:paraId="601D693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Mbar_A2310</w:t>
            </w:r>
          </w:p>
        </w:tc>
        <w:tc>
          <w:tcPr>
            <w:tcW w:w="3002" w:type="pct"/>
            <w:tcBorders>
              <w:top w:val="nil"/>
              <w:left w:val="nil"/>
              <w:right w:val="nil"/>
            </w:tcBorders>
            <w:shd w:val="clear" w:color="auto" w:fill="auto"/>
            <w:noWrap/>
            <w:hideMark/>
          </w:tcPr>
          <w:p w14:paraId="6359A94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Thioredoxin</w:t>
            </w:r>
          </w:p>
        </w:tc>
        <w:tc>
          <w:tcPr>
            <w:tcW w:w="1053" w:type="pct"/>
            <w:tcBorders>
              <w:top w:val="nil"/>
              <w:left w:val="nil"/>
              <w:right w:val="nil"/>
            </w:tcBorders>
            <w:shd w:val="clear" w:color="auto" w:fill="auto"/>
            <w:noWrap/>
            <w:hideMark/>
          </w:tcPr>
          <w:p w14:paraId="01C0349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1.80</w:t>
            </w:r>
          </w:p>
        </w:tc>
      </w:tr>
      <w:tr w:rsidR="00436CD0" w:rsidRPr="00C44D8C" w14:paraId="35FEA510" w14:textId="77777777" w:rsidTr="00436CD0">
        <w:trPr>
          <w:trHeight w:val="290"/>
        </w:trPr>
        <w:tc>
          <w:tcPr>
            <w:tcW w:w="945" w:type="pct"/>
            <w:tcBorders>
              <w:top w:val="nil"/>
              <w:left w:val="nil"/>
              <w:bottom w:val="nil"/>
              <w:right w:val="nil"/>
            </w:tcBorders>
            <w:shd w:val="clear" w:color="auto" w:fill="auto"/>
            <w:noWrap/>
            <w:hideMark/>
          </w:tcPr>
          <w:p w14:paraId="61959C7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Mbar_A0309</w:t>
            </w:r>
          </w:p>
        </w:tc>
        <w:tc>
          <w:tcPr>
            <w:tcW w:w="3002" w:type="pct"/>
            <w:tcBorders>
              <w:top w:val="nil"/>
              <w:left w:val="nil"/>
              <w:bottom w:val="nil"/>
              <w:right w:val="nil"/>
            </w:tcBorders>
            <w:shd w:val="clear" w:color="auto" w:fill="auto"/>
            <w:noWrap/>
            <w:hideMark/>
          </w:tcPr>
          <w:p w14:paraId="43A00D9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CRISPR-associated helicase, Cas3 family</w:t>
            </w:r>
          </w:p>
        </w:tc>
        <w:tc>
          <w:tcPr>
            <w:tcW w:w="1053" w:type="pct"/>
            <w:tcBorders>
              <w:top w:val="nil"/>
              <w:left w:val="nil"/>
              <w:bottom w:val="nil"/>
              <w:right w:val="nil"/>
            </w:tcBorders>
            <w:shd w:val="clear" w:color="auto" w:fill="auto"/>
            <w:noWrap/>
            <w:hideMark/>
          </w:tcPr>
          <w:p w14:paraId="6E3658E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1.82</w:t>
            </w:r>
          </w:p>
        </w:tc>
      </w:tr>
      <w:tr w:rsidR="00436CD0" w:rsidRPr="00C44D8C" w14:paraId="1A50BD80" w14:textId="77777777" w:rsidTr="00436CD0">
        <w:trPr>
          <w:trHeight w:val="290"/>
        </w:trPr>
        <w:tc>
          <w:tcPr>
            <w:tcW w:w="945" w:type="pct"/>
            <w:tcBorders>
              <w:top w:val="nil"/>
              <w:left w:val="nil"/>
              <w:bottom w:val="nil"/>
              <w:right w:val="nil"/>
            </w:tcBorders>
            <w:shd w:val="clear" w:color="auto" w:fill="auto"/>
            <w:noWrap/>
            <w:hideMark/>
          </w:tcPr>
          <w:p w14:paraId="050F215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Mbar_A1201</w:t>
            </w:r>
          </w:p>
        </w:tc>
        <w:tc>
          <w:tcPr>
            <w:tcW w:w="3002" w:type="pct"/>
            <w:tcBorders>
              <w:top w:val="nil"/>
              <w:left w:val="nil"/>
              <w:bottom w:val="nil"/>
              <w:right w:val="nil"/>
            </w:tcBorders>
            <w:shd w:val="clear" w:color="auto" w:fill="auto"/>
            <w:noWrap/>
            <w:hideMark/>
          </w:tcPr>
          <w:p w14:paraId="307FE2B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Thermosome subunit</w:t>
            </w:r>
          </w:p>
        </w:tc>
        <w:tc>
          <w:tcPr>
            <w:tcW w:w="1053" w:type="pct"/>
            <w:tcBorders>
              <w:top w:val="nil"/>
              <w:left w:val="nil"/>
              <w:bottom w:val="nil"/>
              <w:right w:val="nil"/>
            </w:tcBorders>
            <w:shd w:val="clear" w:color="auto" w:fill="auto"/>
            <w:noWrap/>
            <w:hideMark/>
          </w:tcPr>
          <w:p w14:paraId="3529A94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1.78</w:t>
            </w:r>
          </w:p>
        </w:tc>
      </w:tr>
      <w:tr w:rsidR="00436CD0" w:rsidRPr="00C44D8C" w14:paraId="3634E7DE" w14:textId="77777777" w:rsidTr="00436CD0">
        <w:trPr>
          <w:trHeight w:val="290"/>
        </w:trPr>
        <w:tc>
          <w:tcPr>
            <w:tcW w:w="945" w:type="pct"/>
            <w:tcBorders>
              <w:top w:val="nil"/>
              <w:left w:val="nil"/>
              <w:right w:val="nil"/>
            </w:tcBorders>
            <w:shd w:val="clear" w:color="auto" w:fill="auto"/>
            <w:noWrap/>
            <w:hideMark/>
          </w:tcPr>
          <w:p w14:paraId="268298C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Mbar_A2898</w:t>
            </w:r>
          </w:p>
        </w:tc>
        <w:tc>
          <w:tcPr>
            <w:tcW w:w="3002" w:type="pct"/>
            <w:tcBorders>
              <w:top w:val="nil"/>
              <w:left w:val="nil"/>
              <w:right w:val="nil"/>
            </w:tcBorders>
            <w:shd w:val="clear" w:color="auto" w:fill="auto"/>
            <w:noWrap/>
            <w:hideMark/>
          </w:tcPr>
          <w:p w14:paraId="7B2B52B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Thioredoxin reductase </w:t>
            </w:r>
          </w:p>
        </w:tc>
        <w:tc>
          <w:tcPr>
            <w:tcW w:w="1053" w:type="pct"/>
            <w:tcBorders>
              <w:top w:val="nil"/>
              <w:left w:val="nil"/>
              <w:right w:val="nil"/>
            </w:tcBorders>
            <w:shd w:val="clear" w:color="auto" w:fill="auto"/>
            <w:noWrap/>
            <w:hideMark/>
          </w:tcPr>
          <w:p w14:paraId="4810590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1.64</w:t>
            </w:r>
          </w:p>
        </w:tc>
      </w:tr>
      <w:tr w:rsidR="00436CD0" w:rsidRPr="00C44D8C" w14:paraId="4C6DDB22" w14:textId="77777777" w:rsidTr="00436CD0">
        <w:trPr>
          <w:trHeight w:val="290"/>
        </w:trPr>
        <w:tc>
          <w:tcPr>
            <w:tcW w:w="945" w:type="pct"/>
            <w:tcBorders>
              <w:left w:val="nil"/>
              <w:bottom w:val="single" w:sz="4" w:space="0" w:color="auto"/>
              <w:right w:val="nil"/>
            </w:tcBorders>
            <w:shd w:val="clear" w:color="auto" w:fill="auto"/>
            <w:noWrap/>
          </w:tcPr>
          <w:p w14:paraId="26B0069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Mbar_A2586</w:t>
            </w:r>
          </w:p>
        </w:tc>
        <w:tc>
          <w:tcPr>
            <w:tcW w:w="3002" w:type="pct"/>
            <w:tcBorders>
              <w:left w:val="nil"/>
              <w:bottom w:val="single" w:sz="4" w:space="0" w:color="auto"/>
              <w:right w:val="nil"/>
            </w:tcBorders>
            <w:shd w:val="clear" w:color="auto" w:fill="auto"/>
            <w:noWrap/>
          </w:tcPr>
          <w:p w14:paraId="49F8B72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Universal stress protein</w:t>
            </w:r>
          </w:p>
        </w:tc>
        <w:tc>
          <w:tcPr>
            <w:tcW w:w="1053" w:type="pct"/>
            <w:tcBorders>
              <w:left w:val="nil"/>
              <w:bottom w:val="single" w:sz="4" w:space="0" w:color="auto"/>
              <w:right w:val="nil"/>
            </w:tcBorders>
            <w:shd w:val="clear" w:color="auto" w:fill="auto"/>
            <w:noWrap/>
          </w:tcPr>
          <w:p w14:paraId="6596274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1.34</w:t>
            </w:r>
          </w:p>
        </w:tc>
      </w:tr>
    </w:tbl>
    <w:p w14:paraId="2D7C895C" w14:textId="77777777" w:rsidR="00436CD0" w:rsidRPr="00C44D8C" w:rsidRDefault="00436CD0" w:rsidP="00436CD0">
      <w:pPr>
        <w:spacing w:line="360" w:lineRule="auto"/>
        <w:rPr>
          <w:rFonts w:asciiTheme="minorHAnsi" w:hAnsiTheme="minorHAnsi"/>
          <w:color w:val="000000"/>
          <w:sz w:val="22"/>
          <w:szCs w:val="22"/>
          <w:lang w:eastAsia="en-GB"/>
        </w:rPr>
      </w:pPr>
    </w:p>
    <w:p w14:paraId="1DAE5861" w14:textId="32D86257"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Nitrogen fixation is an important biological process for living organisms. This process produces ammonium from atmospheric nitrogen for incorporation into cell material to facilitate growth and biogenesis, and is a highly regulated process owing to its ATP-intensive requirements</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"10.1093/molbev/msh047", "author" : [ { "dropping-particle" : "", "family" : "Raymond", "given" : "Jason", "non-dropping-particle" : "", "parse-names" : false, "suffix" : "" }, { "dropping-particle" : "", "family" : "Siefert", "given" : "Janet L", "non-dropping-particle" : "", "parse-names" : false, "suffix" : "" }, { "dropping-particle" : "", "family" : "Staples", "given" : "Christopher R", "non-dropping-particle" : "", "parse-names" : false, "suffix" : "" }, { "dropping-particle" : "", "family" : "Blankenship", "given" : "Robert E", "non-dropping-particle" : "", "parse-names" : false, "suffix" : "" } ], "container-title" : "Molecular Biological Evolution", "id" : "ITEM-1", "issued" : { "date-parts" : [ [ "2004" ] ] }, "page" : "541-554", "title" : "The Natural History of Nitrogen Fixation", "type" : "article-journal", "volume" : "21" }, "uris" : [ "http://www.mendeley.com/documents/?uuid=8d838d77-63b3-4759-8387-f12f4caaebb2" ] } ], "mendeley" : { "formattedCitation" : "[220]", "plainTextFormattedCitation" : "[220]", "previouslyFormattedCitation" : "[220]"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[220]</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Nitrogenase catalyses this process, and is an enzyme consisting of two subunits: a molybdenum-iron and an iron protein, which are encoded by </w:t>
      </w:r>
      <w:r w:rsidRPr="00C44D8C">
        <w:rPr>
          <w:rFonts w:asciiTheme="minorHAnsi" w:hAnsiTheme="minorHAnsi"/>
          <w:i/>
          <w:color w:val="000000"/>
          <w:sz w:val="22"/>
          <w:szCs w:val="22"/>
          <w:lang w:eastAsia="en-GB"/>
        </w:rPr>
        <w:t xml:space="preserve">nif </w:t>
      </w:r>
      <w:r w:rsidRPr="00C44D8C">
        <w:rPr>
          <w:rFonts w:asciiTheme="minorHAnsi" w:hAnsiTheme="minorHAnsi"/>
          <w:color w:val="000000"/>
          <w:sz w:val="22"/>
          <w:szCs w:val="22"/>
          <w:lang w:eastAsia="en-GB"/>
        </w:rPr>
        <w:t>genes</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"10.1099/mic.0.27303-0", "ISBN" : "1350-0872 (Print)\\r1350-0872 (Linking)", "ISSN" : "13500872", "PMID" : "15528644", "abstract" : "The nitrogen cycle (N-cycle) in the biosphere, mainly driven by prokaryotes, involves different reductive or oxidative reactions used either for assimilatory purposes or in respiratory processes for energy conservation. As the N-cycle has important agricultural and environmental implications, bacterial nitrogen metabolism has become a major research topic in recent years. Archaea are able to perform different reductive pathways of the N-cycle, including both assimilatory processes, such as nitrate assimilation and N(2) fixation, and dissimilatory reactions, such as nitrate respiration and denitrification. However, nitrogen metabolism is much less known in archaea than in bacteria. The availability of the complete genome sequences of several members of the eury- and crenarchaeota has enabled new approaches to the understanding of archaeal physiology and biochemistry, including metabolic reactions involving nitrogen compounds. Comparative studies reveal that significant differences exist in the structure and regulation of some enzymes involved in nitrogen metabolism in archaea, giving rise to important conclusions and new perspectives regarding the evolution, function and physiological relevance of the different N-cycle processes. This review discusses the advances that have been made in understanding nitrate reduction and other aspects of the inorganic nitrogen metabolism in archaea.", "author" : [ { "dropping-particle" : "", "family" : "Cabello", "given" : "Purificaci\u00f3n", "non-dropping-particle" : "", "parse-names" : false, "suffix" : "" }, { "dropping-particle" : "", "family" : "Rold\u00e1n", "given" : "M. Dolores", "non-dropping-particle" : "", "parse-names" : false, "suffix" : "" }, { "dropping-particle" : "", "family" : "Moreno-Vivi\u00e1n", "given" : "Conrado", "non-dropping-particle" : "", "parse-names" : false, "suffix" : "" } ], "container-title" : "Microbiology", "id" : "ITEM-1", "issue" : "11", "issued" : { "date-parts" : [ [ "2004" ] ] }, "page" : "3527-3546", "title" : "Nitrate reduction and the nitrogen cycle in archaea", "type" : "article-journal", "volume" : "150" }, "uris" : [ "http://www.mendeley.com/documents/?uuid=4d674c3a-6e47-44ce-a20f-4a7cb9cf43b4" ] } ], "mendeley" : { "formattedCitation" : "[221]", "plainTextFormattedCitation" : "[221]", "previouslyFormattedCitation" : "[221]"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[221]</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It is only in the </w:t>
      </w:r>
      <w:r w:rsidRPr="00C44D8C">
        <w:rPr>
          <w:rFonts w:asciiTheme="minorHAnsi" w:hAnsiTheme="minorHAnsi"/>
          <w:i/>
          <w:color w:val="000000"/>
          <w:sz w:val="22"/>
          <w:szCs w:val="22"/>
          <w:lang w:eastAsia="en-GB"/>
        </w:rPr>
        <w:t xml:space="preserve">Methanosarcina </w:t>
      </w:r>
      <w:r w:rsidRPr="00C44D8C">
        <w:rPr>
          <w:rFonts w:asciiTheme="minorHAnsi" w:hAnsiTheme="minorHAnsi"/>
          <w:color w:val="000000"/>
          <w:sz w:val="22"/>
          <w:szCs w:val="22"/>
          <w:lang w:eastAsia="en-GB"/>
        </w:rPr>
        <w:t xml:space="preserve">that such a wide range of </w:t>
      </w:r>
      <w:r w:rsidRPr="00C44D8C">
        <w:rPr>
          <w:rFonts w:asciiTheme="minorHAnsi" w:hAnsiTheme="minorHAnsi"/>
          <w:i/>
          <w:color w:val="000000"/>
          <w:sz w:val="22"/>
          <w:szCs w:val="22"/>
          <w:lang w:eastAsia="en-GB"/>
        </w:rPr>
        <w:t xml:space="preserve">nif </w:t>
      </w:r>
      <w:r w:rsidRPr="00C44D8C">
        <w:rPr>
          <w:rFonts w:asciiTheme="minorHAnsi" w:hAnsiTheme="minorHAnsi"/>
          <w:color w:val="000000"/>
          <w:sz w:val="22"/>
          <w:szCs w:val="22"/>
          <w:lang w:eastAsia="en-GB"/>
        </w:rPr>
        <w:t xml:space="preserve">genes and nitrogen fixation proteins are conserved, highlighting the metabolic diversity of this genus not only in methanogenesis, but also in nitrogen fixation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"10.1093/molbev/msh047", "author" : [ { "dropping-particle" : "", "family" : "Raymond", "given" : "Jason", "non-dropping-particle" : "", "parse-names" : false, "suffix" : "" }, { "dropping-particle" : "", "family" : "Siefert", "given" : "Janet L", "non-dropping-particle" : "", "parse-names" : false, "suffix" : "" }, { "dropping-particle" : "", "family" : "Staples", "given" : "Christopher R", "non-dropping-particle" : "", "parse-names" : false, "suffix" : "" }, { "dropping-particle" : "", "family" : "Blankenship", "given" : "Robert E", "non-dropping-particle" : "", "parse-names" : false, "suffix" : "" } ], "container-title" : "Molecular Biological Evolution", "id" : "ITEM-1", "issued" : { "date-parts" : [ [ "2004" ] ] }, "page" : "541-554", "title" : "The Natural History of Nitrogen Fixation", "type" : "article-journal", "volume" : "21" }, "uris" : [ "http://www.mendeley.com/documents/?uuid=8d838d77-63b3-4759-8387-f12f4caaebb2" ] } ], "mendeley" : { "formattedCitation" : "[220]", "plainTextFormattedCitation" : "[220]", "previouslyFormattedCitation" : "[220]"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[220]</w:t>
      </w:r>
      <w:r w:rsidR="004614B6">
        <w:rPr>
          <w:rFonts w:asciiTheme="minorHAnsi" w:hAnsiTheme="minorHAnsi"/>
          <w:color w:val="000000"/>
          <w:sz w:val="22"/>
          <w:szCs w:val="22"/>
          <w:lang w:eastAsia="en-GB"/>
        </w:rPr>
        <w:fldChar w:fldCharType="end"/>
      </w:r>
      <w:r w:rsidR="004614B6">
        <w:rPr>
          <w:rFonts w:asciiTheme="minorHAnsi" w:hAnsiTheme="minorHAnsi"/>
          <w:color w:val="000000"/>
          <w:sz w:val="22"/>
          <w:szCs w:val="22"/>
          <w:lang w:eastAsia="en-GB"/>
        </w:rPr>
        <w:t>.</w:t>
      </w:r>
      <w:r w:rsidRPr="00C44D8C">
        <w:rPr>
          <w:rFonts w:asciiTheme="minorHAnsi" w:hAnsiTheme="minorHAnsi"/>
          <w:color w:val="000000"/>
          <w:sz w:val="22"/>
          <w:szCs w:val="22"/>
          <w:lang w:eastAsia="en-GB"/>
        </w:rPr>
        <w:t xml:space="preserve"> In this study, several alternative nitrogenases involved in ammonium assimilation were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(Table 5.3). These proteins included two nitrogen regulatory proteins P-II (Mbar_A2347, Mbar_A0159), the two subunits of nitrogenase (Mbar_A0347, Mbar_A0167), and nitrogen signal transduction proteins (Mbar_A3420, Mbar_A0729, Mbar_A2425, Mbar_A2703). </w:t>
      </w:r>
    </w:p>
    <w:p w14:paraId="44813F6E" w14:textId="32416937"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Additionally, glutamine synthetase and glutamate synthase are the major enzymes involved in ammonium assimilation and amino acid synthesis, which were both found </w:t>
      </w:r>
      <w:r w:rsidR="003D18AD">
        <w:rPr>
          <w:rFonts w:asciiTheme="minorHAnsi" w:hAnsiTheme="minorHAnsi"/>
          <w:color w:val="000000"/>
          <w:sz w:val="22"/>
          <w:szCs w:val="22"/>
          <w:lang w:eastAsia="en-GB"/>
        </w:rPr>
        <w:t>in higher relative abundance</w:t>
      </w:r>
      <w:r w:rsidRPr="00C44D8C">
        <w:rPr>
          <w:rFonts w:asciiTheme="minorHAnsi" w:hAnsiTheme="minorHAnsi"/>
          <w:color w:val="000000"/>
          <w:sz w:val="22"/>
          <w:szCs w:val="22"/>
          <w:lang w:eastAsia="en-GB"/>
        </w:rPr>
        <w:t xml:space="preserve">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biofilms attached to PVC compared to PETG (Mbar_A2180, Mbar_A0665). This suggests that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attached to PVC may require increased levels of nitrogen fixation to support higher levels of cellular growth during biofilm formation on PVC.</w:t>
      </w:r>
    </w:p>
    <w:p w14:paraId="2D6B2FA9" w14:textId="126E3302"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Mature biofilm formation is also associated with environmental stress, with the different metabolic activities of a biofilm creating varying gradients in nutrients, signalling compounds, oxygen and microbial waste within the biofilm</w:t>
      </w:r>
      <w:r w:rsidR="004614B6">
        <w:rPr>
          <w:rFonts w:asciiTheme="minorHAnsi" w:hAnsiTheme="minorHAnsi"/>
          <w:color w:val="000000"/>
          <w:sz w:val="22"/>
          <w:szCs w:val="22"/>
          <w:lang w:eastAsia="en-GB"/>
        </w:rPr>
        <w:t xml:space="preserve"> </w:t>
      </w:r>
      <w:r w:rsidR="004614B6">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"10.1038/nrmicro1838", "ISSN" : "1740-1534", "PMID" : "18264116", "abstract" : "Biofilms contain bacterial cells that are in a wide range of physiological states. Within a biofilm population, cells with diverse genotypes and phenotypes that express distinct metabolic pathways, stress responses and other specific biological activities are juxtaposed. The mechanisms that contribute to this genetic and physiological heterogeneity include microscale chemical gradients, adaptation to local environmental conditions, stochastic gene expression and the genotypic variation that occurs through mutation and selection. Here, we discuss the processes that generate chemical gradients in biofilms, the genetic and physiological responses of the bacteria as they adapt to these gradients and the techniques that can be used to visualize and measure the microscale physiological heterogeneities of bacteria in biofilms.", "author" : [ { "dropping-particle" : "", "family" : "Stewart", "given" : "Philip S", "non-dropping-particle" : "", "parse-names" : false, "suffix" : "" }, { "dropping-particle" : "", "family" : "Franklin", "given" : "Michael J", "non-dropping-particle" : "", "parse-names" : false, "suffix" : "" } ], "container-title" : "Nature reviews. Microbiology", "id" : "ITEM-1", "issue" : "3", "issued" : { "date-parts" : [ [ "2008", "3" ] ] }, "page" : "199-210", "title" : "Physiological heterogeneity in biofilms.", "type" : "article-journal", "volume" : "6" }, "uris" : [ "http://www.mendeley.com/documents/?uuid=03901db8-4f8b-42b7-b7cc-aca0db12cc68" ] } ], "mendeley" : { "formattedCitation" : "[222]", "plainTextFormattedCitation" : "[222]", "previouslyFormattedCitation" : "[222]" }, "properties" : { "noteIndex" : 0 }, "schema" : "https://github.com/citation-style-language/schema/raw/master/csl-citation.json" }</w:instrText>
      </w:r>
      <w:r w:rsidR="004614B6">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[222]</w:t>
      </w:r>
      <w:r w:rsidR="004614B6">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Therefore, various stress-related proteins were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biofilms attached to PVC, including two thermosome proteins (Mbar_A1084, Mbar_A1201), which are group II chaperonins essential for protein folding and for promoting cell survival in the face of environmental stress </w:t>
      </w:r>
      <w:r w:rsidR="009C6F0F">
        <w:rPr>
          <w:rFonts w:asciiTheme="minorHAnsi" w:hAnsiTheme="minorHAnsi"/>
          <w:color w:val="000000"/>
          <w:sz w:val="22"/>
          <w:szCs w:val="22"/>
          <w:lang w:eastAsia="en-GB"/>
        </w:rPr>
        <w:t>[206].</w:t>
      </w:r>
    </w:p>
    <w:p w14:paraId="041031ED" w14:textId="3DEF2815"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Six universal stress proteins were also two-fold</w:t>
      </w:r>
      <w:r w:rsidR="003D18AD">
        <w:rPr>
          <w:rFonts w:asciiTheme="minorHAnsi" w:hAnsiTheme="minorHAnsi"/>
          <w:color w:val="000000"/>
          <w:sz w:val="22"/>
          <w:szCs w:val="22"/>
          <w:lang w:eastAsia="en-GB"/>
        </w:rPr>
        <w:t xml:space="preserve"> higher in abundance</w:t>
      </w:r>
      <w:r w:rsidRPr="00C44D8C">
        <w:rPr>
          <w:rFonts w:asciiTheme="minorHAnsi" w:hAnsiTheme="minorHAnsi"/>
          <w:color w:val="000000"/>
          <w:sz w:val="22"/>
          <w:szCs w:val="22"/>
          <w:lang w:eastAsia="en-GB"/>
        </w:rPr>
        <w:t xml:space="preserve"> in cells attached to PVC compared to PETG (Mbar_A3527, Mbar_A3529, Mbar_A0825, Mbar_A0487, Mbar_A3147, Mbar_A2586). These proteins are indicative of the establishment of a more developed biofilm on the surface of PVC, which is usually accompanied by higher levels of different metabolic activity and therefore, localised stress within the biofilm. This can result in the observed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stress-related proteins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biofilms attached to PVC.</w:t>
      </w:r>
    </w:p>
    <w:p w14:paraId="7C58082B" w14:textId="55BE3ECE"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The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other proteins related to stress from biofilms attached to PVC compared to PETG were observed (Table 5.5), including the group I </w:t>
      </w:r>
      <w:r w:rsidRPr="00C44D8C">
        <w:rPr>
          <w:rFonts w:asciiTheme="minorHAnsi" w:hAnsiTheme="minorHAnsi"/>
          <w:color w:val="000000"/>
          <w:sz w:val="22"/>
          <w:szCs w:val="22"/>
          <w:lang w:eastAsia="en-GB"/>
        </w:rPr>
        <w:lastRenderedPageBreak/>
        <w:t xml:space="preserve">chaperonins, DnaK heat shock protein 70 and heat shock protein 20 (Mbar_A3433, Mbar_A0859). These proteins have been reported to be differentially regulated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as a mechanism of cell survival under cond</w:t>
      </w:r>
      <w:r w:rsidR="009C6F0F">
        <w:rPr>
          <w:rFonts w:asciiTheme="minorHAnsi" w:hAnsiTheme="minorHAnsi"/>
          <w:color w:val="000000"/>
          <w:sz w:val="22"/>
          <w:szCs w:val="22"/>
          <w:lang w:eastAsia="en-GB"/>
        </w:rPr>
        <w:t xml:space="preserve">itions of environmental stress [206] </w:t>
      </w:r>
      <w:r w:rsidRPr="00C44D8C">
        <w:rPr>
          <w:rFonts w:asciiTheme="minorHAnsi" w:hAnsiTheme="minorHAnsi"/>
          <w:color w:val="000000"/>
          <w:sz w:val="22"/>
          <w:szCs w:val="22"/>
          <w:lang w:eastAsia="en-GB"/>
        </w:rPr>
        <w:t xml:space="preserve">such as heat shock </w:t>
      </w:r>
      <w:r w:rsidR="009C6F0F">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"10.1007/s10295-006-0114-3", "ISBN" : "1367-5435", "ISSN" : "13675435", "PMID" : "16604357", "abstract" : "Methanosarcina barkeri is a methanogenic archaeon that can digest cellulose and other polysaccharides to produce methane. It can only grow under strictly anoxic conditions, but which can survive air exposure. To obtain further knowledge of cellular changes occurring in M. barkeri in response to air exposure and other environmental stresses, we constructed the first oligonucleotide microarray for M. barkeri and used it to investigate the global transcriptomic responses of M. barkeri to air exposure and heat shock at 45 degrees C for 1 h. The results showed that various house-keeping genes, such as genes involved in DNA replication recombination and repair, energy production and conversion, and protein turnover were regulated by environmental stimuli. In response to air exposure, up-regulation of a large number of transposase encoding genes was observed. However, no differential expression of genes encoding superoxide dismutase, catalase, nonspecific peroxidases or thioredoxin reductase was observed in response to air exposure, implying that no significant level of reactive oxygen species has been formed under air exposure. In response to heat shock, both Hsp70 (DnaK-DnaJ-GrpE chaperone system) the Hsp60 (GroEL) systems were up-regulated, suggesting that they may play an important role in protein biogenesis in M. barkeri during heat stress.", "author" : [ { "dropping-particle" : "", "family" : "Zhang", "given" : "Weiwen", "non-dropping-particle" : "", "parse-names" : false, "suffix" : "" }, { "dropping-particle" : "", "family" : "Culley", "given" : "David E.", "non-dropping-particle" : "", "parse-names" : false, "suffix" : "" }, { "dropping-particle" : "", "family" : "Nie", "given" : "Lei", "non-dropping-particle" : "", "parse-names" : false, "suffix" : "" }, { "dropping-particle" : "", "family" : "Brockman", "given" : "Fred J.", "non-dropping-particle" : "", "parse-names" : false, "suffix" : "" } ], "container-title" : "Journal of Industrial Microbiology and Biotechnology", "id" : "ITEM-1", "issued" : { "date-parts" : [ [ "2006" ] ] }, "page" : "784-790", "title" : "DNA microarray analysis of anaerobic Methanosarcina barkeri reveals responses to heat shock and air exposure", "type" : "article-journal", "volume" : "33" }, "uris" : [ "http://www.mendeley.com/documents/?uuid=8ac1869d-62df-4da7-bbe7-77279d5c403e" ] }, { "id" : "ITEM-2", "itemData" : { "DOI" : "10.1128/AEM.03787-12", "ISSN" : "1098-5336", "PMID" : "23645201", "abstract" : "Low-temperature anaerobic digestion (LTAD) technology is underpinned by a diverse microbial community. The methanogenic archaea represent a key functional group in these consortia, undertaking CO2 reduction as well as acetate and methylated C1 metabolism with subsequent biogas (40 to 60% CH4 and 30 to 50% CO2) formation. However, the cold adaptation strategies, which allow methanogens to function efficiently in LTAD, remain unclear. Here, a pure-culture proteomic approach was employed to study the functional characteristics of Methanosarcina barkeri (optimum growth temperature, 37\u00b0C), which has been detected in LTAD bioreactors. Two experimental approaches were undertaken. The first approach aimed to characterize a low-temperature shock response (LTSR) of M. barkeri DSMZ 800(T) grown at 37\u00b0C with a temperature drop to 15\u00b0C, while the second experimental approach aimed to examine the low-temperature adaptation strategies (LTAS) of the same strain when it was grown at 15\u00b0C. The latter experiment employed cell viability and growth measurements (optical density at 600 nm [OD600]), which directly compared M. barkeri cells grown at 15\u00b0C with those grown at 37\u00b0C. During the LTSR experiment, a total of 127 proteins were detected in 37\u00b0C and 15\u00b0C samples, with 20 proteins differentially expressed with respect to temperature, while in the LTAS experiment 39% of proteins identified were differentially expressed between phases of growth. Functional categories included methanogenesis, cellular information processing, and chaperones. By applying a polyphasic approach (proteomics and growth studies), insights into the low-temperature adaptation capacity of this mesophilically characterized methanogen were obtained which suggest that the metabolically diverse Methanosarcinaceae could be functionally relevant for LTAD systems.", "author" : [ { "dropping-particle" : "", "family" : "Gunnigle", "given" : "Eoin", "non-dropping-particle" : "", "parse-names" : false, "suffix" : "" }, { "dropping-particle" : "", "family" : "McCay", "given" : "Paul", "non-dropping-particle" : "", "parse-names" : false, "suffix" : "" }, { "dropping-particle" : "", "family" : "Fuszard", "given" : "Matthew", "non-dropping-particle" : "", "parse-names" : false, "suffix" : "" }, { "dropping-particle" : "", "family" : "Botting", "given" : "Catherine H", "non-dropping-particle" : "", "parse-names" : false, "suffix" : "" }, { "dropping-particle" : "", "family" : "Abram", "given" : "Florence", "non-dropping-particle" : "", "parse-names" : false, "suffix" : "" }, { "dropping-particle" : "", "family" : "O'Flaherty", "given" : "Vincent", "non-dropping-particle" : "", "parse-names" : false, "suffix" : "" } ], "container-title" : "Applied and environmental microbiology", "id" : "ITEM-2", "issue" : "14", "issued" : { "date-parts" : [ [ "2013", "7" ] ] }, "page" : "4210-9", "title" : "A functional approach to uncover the low-temperature adaptation strategies of the archaeon Methanosarcina barkeri.", "type" : "article-journal", "volume" : "79" }, "uris" : [ "http://www.mendeley.com/documents/?uuid=a1e78e2b-5465-45d9-947f-dd0983c6bf6b" ] } ], "mendeley" : { "formattedCitation" : "[161,223]", "plainTextFormattedCitation" : "[161,223]", "previouslyFormattedCitation" : "[161,223]"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[161,223]</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Additionally, the group I chaperonins, 60 kDa chaperonin (GroEL protein) (Mbar_A1543) and 10 kDa chaperonin (GroES protein) (Mbar_A1542) were </w:t>
      </w:r>
      <w:r w:rsidR="009C6F0F">
        <w:rPr>
          <w:rFonts w:asciiTheme="minorHAnsi" w:hAnsiTheme="minorHAnsi"/>
          <w:color w:val="000000"/>
          <w:sz w:val="22"/>
          <w:szCs w:val="22"/>
          <w:lang w:eastAsia="en-GB"/>
        </w:rPr>
        <w:t>identified</w:t>
      </w:r>
      <w:r w:rsidRPr="00C44D8C">
        <w:rPr>
          <w:rFonts w:asciiTheme="minorHAnsi" w:hAnsiTheme="minorHAnsi"/>
          <w:color w:val="000000"/>
          <w:sz w:val="22"/>
          <w:szCs w:val="22"/>
          <w:lang w:eastAsia="en-GB"/>
        </w:rPr>
        <w:t xml:space="preserve"> in cells attached to PVC. These </w:t>
      </w:r>
      <w:r w:rsidR="003D18AD">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proteins suggest that they may play an important role in the stress response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during biofilm formation on PVC.</w:t>
      </w:r>
    </w:p>
    <w:p w14:paraId="583E46DE" w14:textId="77777777" w:rsidR="00436CD0" w:rsidRPr="00C44D8C" w:rsidRDefault="00436CD0" w:rsidP="00436CD0">
      <w:pPr>
        <w:spacing w:line="360" w:lineRule="auto"/>
        <w:rPr>
          <w:rFonts w:asciiTheme="minorHAnsi" w:hAnsiTheme="minorHAnsi"/>
          <w:color w:val="000000"/>
          <w:sz w:val="22"/>
          <w:szCs w:val="22"/>
          <w:lang w:eastAsia="en-GB"/>
        </w:rPr>
      </w:pPr>
    </w:p>
    <w:p w14:paraId="68318631" w14:textId="77777777" w:rsidR="00436CD0" w:rsidRPr="002B29E5" w:rsidRDefault="00436CD0" w:rsidP="002B29E5">
      <w:pPr>
        <w:pStyle w:val="Heading7"/>
      </w:pPr>
      <w:bookmarkStart w:id="153" w:name="_Toc462575362"/>
      <w:r w:rsidRPr="002B29E5">
        <w:t>5.3.5.4. Cellular processes</w:t>
      </w:r>
      <w:bookmarkEnd w:id="153"/>
      <w:r w:rsidRPr="002B29E5">
        <w:t xml:space="preserve"> </w:t>
      </w:r>
    </w:p>
    <w:p w14:paraId="4EF5F3F2" w14:textId="7E7C3EAC"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sz w:val="22"/>
          <w:szCs w:val="22"/>
          <w:lang w:eastAsia="en-GB"/>
        </w:rPr>
        <w:t>Multiple p</w:t>
      </w:r>
      <w:r w:rsidRPr="00C44D8C">
        <w:rPr>
          <w:rFonts w:asciiTheme="minorHAnsi" w:hAnsiTheme="minorHAnsi"/>
          <w:color w:val="000000"/>
          <w:sz w:val="22"/>
          <w:szCs w:val="22"/>
          <w:lang w:eastAsia="en-GB"/>
        </w:rPr>
        <w:t xml:space="preserve">roteins involved in cellular processes, such as translation, transcription, replication and repair were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 cells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when attached to PVC compared to PETG (Table 5.4). </w:t>
      </w:r>
    </w:p>
    <w:p w14:paraId="4C9C6534" w14:textId="77777777" w:rsidR="00436CD0" w:rsidRPr="00C44D8C" w:rsidRDefault="00436CD0" w:rsidP="00436CD0">
      <w:pPr>
        <w:spacing w:line="360" w:lineRule="auto"/>
        <w:rPr>
          <w:rFonts w:asciiTheme="minorHAnsi" w:hAnsiTheme="minorHAnsi"/>
          <w:color w:val="000000"/>
          <w:sz w:val="22"/>
          <w:szCs w:val="22"/>
          <w:lang w:eastAsia="en-GB"/>
        </w:rPr>
      </w:pPr>
    </w:p>
    <w:p w14:paraId="26E35103" w14:textId="7F7D4484"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Table 5.4</w:t>
      </w:r>
      <w:r w:rsidRPr="00C44D8C">
        <w:rPr>
          <w:rFonts w:asciiTheme="minorHAnsi" w:hAnsiTheme="minorHAnsi"/>
          <w:color w:val="000000"/>
          <w:sz w:val="22"/>
          <w:szCs w:val="22"/>
          <w:lang w:eastAsia="en-GB"/>
        </w:rPr>
        <w:t xml:space="preserve"> Proteins involved in cellular processes and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 (p ≤ 0.05).</w:t>
      </w:r>
    </w:p>
    <w:tbl>
      <w:tblPr>
        <w:tblW w:w="5020" w:type="pct"/>
        <w:tblLayout w:type="fixed"/>
        <w:tblLook w:val="04A0" w:firstRow="1" w:lastRow="0" w:firstColumn="1" w:lastColumn="0" w:noHBand="0" w:noVBand="1"/>
      </w:tblPr>
      <w:tblGrid>
        <w:gridCol w:w="1510"/>
        <w:gridCol w:w="5272"/>
        <w:gridCol w:w="1471"/>
      </w:tblGrid>
      <w:tr w:rsidR="00436CD0" w:rsidRPr="00C44D8C" w14:paraId="52BC48DC" w14:textId="77777777" w:rsidTr="002B29E5">
        <w:trPr>
          <w:trHeight w:val="310"/>
        </w:trPr>
        <w:tc>
          <w:tcPr>
            <w:tcW w:w="915" w:type="pct"/>
            <w:tcBorders>
              <w:top w:val="nil"/>
              <w:left w:val="nil"/>
              <w:bottom w:val="single" w:sz="4" w:space="0" w:color="auto"/>
              <w:right w:val="nil"/>
            </w:tcBorders>
            <w:shd w:val="clear" w:color="auto" w:fill="auto"/>
            <w:hideMark/>
          </w:tcPr>
          <w:p w14:paraId="79A7A0C0"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Loci</w:t>
            </w:r>
          </w:p>
        </w:tc>
        <w:tc>
          <w:tcPr>
            <w:tcW w:w="3194" w:type="pct"/>
            <w:tcBorders>
              <w:top w:val="nil"/>
              <w:left w:val="nil"/>
              <w:bottom w:val="single" w:sz="4" w:space="0" w:color="auto"/>
              <w:right w:val="nil"/>
            </w:tcBorders>
            <w:shd w:val="clear" w:color="auto" w:fill="auto"/>
            <w:hideMark/>
          </w:tcPr>
          <w:p w14:paraId="2ECEDC96"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Protein</w:t>
            </w:r>
          </w:p>
        </w:tc>
        <w:tc>
          <w:tcPr>
            <w:tcW w:w="891" w:type="pct"/>
            <w:tcBorders>
              <w:top w:val="nil"/>
              <w:left w:val="nil"/>
              <w:bottom w:val="single" w:sz="4" w:space="0" w:color="auto"/>
              <w:right w:val="nil"/>
            </w:tcBorders>
            <w:shd w:val="clear" w:color="auto" w:fill="auto"/>
            <w:hideMark/>
          </w:tcPr>
          <w:p w14:paraId="50F143A1"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Fold change</w:t>
            </w:r>
          </w:p>
        </w:tc>
      </w:tr>
      <w:tr w:rsidR="00436CD0" w:rsidRPr="00C44D8C" w14:paraId="7852AE2E" w14:textId="77777777" w:rsidTr="002B29E5">
        <w:trPr>
          <w:trHeight w:val="310"/>
        </w:trPr>
        <w:tc>
          <w:tcPr>
            <w:tcW w:w="5000" w:type="pct"/>
            <w:gridSpan w:val="3"/>
            <w:tcBorders>
              <w:top w:val="single" w:sz="4" w:space="0" w:color="auto"/>
              <w:bottom w:val="nil"/>
              <w:right w:val="nil"/>
            </w:tcBorders>
            <w:shd w:val="clear" w:color="auto" w:fill="auto"/>
            <w:noWrap/>
            <w:hideMark/>
          </w:tcPr>
          <w:p w14:paraId="1C4403CE"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Translation</w:t>
            </w:r>
          </w:p>
        </w:tc>
      </w:tr>
      <w:tr w:rsidR="00436CD0" w:rsidRPr="00C44D8C" w14:paraId="0D0CD1E4" w14:textId="77777777" w:rsidTr="00436CD0">
        <w:trPr>
          <w:trHeight w:val="290"/>
        </w:trPr>
        <w:tc>
          <w:tcPr>
            <w:tcW w:w="915" w:type="pct"/>
            <w:tcBorders>
              <w:top w:val="nil"/>
              <w:left w:val="nil"/>
              <w:bottom w:val="nil"/>
              <w:right w:val="nil"/>
            </w:tcBorders>
            <w:shd w:val="clear" w:color="auto" w:fill="auto"/>
            <w:noWrap/>
            <w:hideMark/>
          </w:tcPr>
          <w:p w14:paraId="16F10B5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Mbar_A0097</w:t>
            </w:r>
          </w:p>
        </w:tc>
        <w:tc>
          <w:tcPr>
            <w:tcW w:w="3194" w:type="pct"/>
            <w:tcBorders>
              <w:top w:val="nil"/>
              <w:left w:val="nil"/>
              <w:bottom w:val="nil"/>
              <w:right w:val="nil"/>
            </w:tcBorders>
            <w:shd w:val="clear" w:color="auto" w:fill="auto"/>
            <w:noWrap/>
            <w:hideMark/>
          </w:tcPr>
          <w:p w14:paraId="384C6FA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L5</w:t>
            </w:r>
          </w:p>
        </w:tc>
        <w:tc>
          <w:tcPr>
            <w:tcW w:w="891" w:type="pct"/>
            <w:tcBorders>
              <w:top w:val="nil"/>
              <w:left w:val="nil"/>
              <w:bottom w:val="nil"/>
              <w:right w:val="nil"/>
            </w:tcBorders>
            <w:shd w:val="clear" w:color="auto" w:fill="auto"/>
            <w:noWrap/>
            <w:hideMark/>
          </w:tcPr>
          <w:p w14:paraId="6764473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2.50</w:t>
            </w:r>
          </w:p>
        </w:tc>
      </w:tr>
      <w:tr w:rsidR="00436CD0" w:rsidRPr="00C44D8C" w14:paraId="105DD8C1" w14:textId="77777777" w:rsidTr="00436CD0">
        <w:trPr>
          <w:trHeight w:val="290"/>
        </w:trPr>
        <w:tc>
          <w:tcPr>
            <w:tcW w:w="915" w:type="pct"/>
            <w:tcBorders>
              <w:top w:val="nil"/>
              <w:left w:val="nil"/>
              <w:bottom w:val="nil"/>
              <w:right w:val="nil"/>
            </w:tcBorders>
            <w:shd w:val="clear" w:color="auto" w:fill="auto"/>
            <w:noWrap/>
            <w:hideMark/>
          </w:tcPr>
          <w:p w14:paraId="3FDCC13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Mbar_A0095</w:t>
            </w:r>
          </w:p>
        </w:tc>
        <w:tc>
          <w:tcPr>
            <w:tcW w:w="3194" w:type="pct"/>
            <w:tcBorders>
              <w:top w:val="nil"/>
              <w:left w:val="nil"/>
              <w:bottom w:val="nil"/>
              <w:right w:val="nil"/>
            </w:tcBorders>
            <w:shd w:val="clear" w:color="auto" w:fill="auto"/>
            <w:noWrap/>
            <w:hideMark/>
          </w:tcPr>
          <w:p w14:paraId="12EC327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S8</w:t>
            </w:r>
          </w:p>
        </w:tc>
        <w:tc>
          <w:tcPr>
            <w:tcW w:w="891" w:type="pct"/>
            <w:tcBorders>
              <w:top w:val="nil"/>
              <w:left w:val="nil"/>
              <w:bottom w:val="nil"/>
              <w:right w:val="nil"/>
            </w:tcBorders>
            <w:shd w:val="clear" w:color="auto" w:fill="auto"/>
            <w:noWrap/>
            <w:hideMark/>
          </w:tcPr>
          <w:p w14:paraId="0A58EBE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2.33</w:t>
            </w:r>
          </w:p>
        </w:tc>
      </w:tr>
      <w:tr w:rsidR="00436CD0" w:rsidRPr="00C44D8C" w14:paraId="49889C21" w14:textId="77777777" w:rsidTr="00436CD0">
        <w:trPr>
          <w:trHeight w:val="290"/>
        </w:trPr>
        <w:tc>
          <w:tcPr>
            <w:tcW w:w="915" w:type="pct"/>
            <w:tcBorders>
              <w:top w:val="nil"/>
              <w:left w:val="nil"/>
              <w:bottom w:val="nil"/>
              <w:right w:val="nil"/>
            </w:tcBorders>
            <w:shd w:val="clear" w:color="auto" w:fill="auto"/>
            <w:noWrap/>
            <w:hideMark/>
          </w:tcPr>
          <w:p w14:paraId="7B51188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Mbar_A0089</w:t>
            </w:r>
          </w:p>
        </w:tc>
        <w:tc>
          <w:tcPr>
            <w:tcW w:w="3194" w:type="pct"/>
            <w:tcBorders>
              <w:top w:val="nil"/>
              <w:left w:val="nil"/>
              <w:bottom w:val="nil"/>
              <w:right w:val="nil"/>
            </w:tcBorders>
            <w:shd w:val="clear" w:color="auto" w:fill="auto"/>
            <w:noWrap/>
            <w:hideMark/>
          </w:tcPr>
          <w:p w14:paraId="71282BD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L30P</w:t>
            </w:r>
          </w:p>
        </w:tc>
        <w:tc>
          <w:tcPr>
            <w:tcW w:w="891" w:type="pct"/>
            <w:tcBorders>
              <w:top w:val="nil"/>
              <w:left w:val="nil"/>
              <w:bottom w:val="nil"/>
              <w:right w:val="nil"/>
            </w:tcBorders>
            <w:shd w:val="clear" w:color="auto" w:fill="auto"/>
            <w:noWrap/>
            <w:hideMark/>
          </w:tcPr>
          <w:p w14:paraId="2D26EE1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2.29</w:t>
            </w:r>
          </w:p>
        </w:tc>
      </w:tr>
      <w:tr w:rsidR="00436CD0" w:rsidRPr="00C44D8C" w14:paraId="17319812" w14:textId="77777777" w:rsidTr="00436CD0">
        <w:trPr>
          <w:trHeight w:val="290"/>
        </w:trPr>
        <w:tc>
          <w:tcPr>
            <w:tcW w:w="915" w:type="pct"/>
            <w:tcBorders>
              <w:top w:val="nil"/>
              <w:left w:val="nil"/>
              <w:bottom w:val="nil"/>
              <w:right w:val="nil"/>
            </w:tcBorders>
            <w:shd w:val="clear" w:color="auto" w:fill="auto"/>
            <w:noWrap/>
            <w:hideMark/>
          </w:tcPr>
          <w:p w14:paraId="18DA8B8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Mbar_A3224</w:t>
            </w:r>
          </w:p>
        </w:tc>
        <w:tc>
          <w:tcPr>
            <w:tcW w:w="3194" w:type="pct"/>
            <w:tcBorders>
              <w:top w:val="nil"/>
              <w:left w:val="nil"/>
              <w:bottom w:val="nil"/>
              <w:right w:val="nil"/>
            </w:tcBorders>
            <w:shd w:val="clear" w:color="auto" w:fill="auto"/>
            <w:noWrap/>
            <w:hideMark/>
          </w:tcPr>
          <w:p w14:paraId="1327CFA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tRNA (guanine(26)-N(2))-dimethyltransferase </w:t>
            </w:r>
          </w:p>
        </w:tc>
        <w:tc>
          <w:tcPr>
            <w:tcW w:w="891" w:type="pct"/>
            <w:tcBorders>
              <w:top w:val="nil"/>
              <w:left w:val="nil"/>
              <w:bottom w:val="nil"/>
              <w:right w:val="nil"/>
            </w:tcBorders>
            <w:shd w:val="clear" w:color="auto" w:fill="auto"/>
            <w:noWrap/>
            <w:hideMark/>
          </w:tcPr>
          <w:p w14:paraId="7956EF9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2.25</w:t>
            </w:r>
          </w:p>
        </w:tc>
      </w:tr>
      <w:tr w:rsidR="00436CD0" w:rsidRPr="00C44D8C" w14:paraId="4D3D64DA" w14:textId="77777777" w:rsidTr="00436CD0">
        <w:trPr>
          <w:trHeight w:val="290"/>
        </w:trPr>
        <w:tc>
          <w:tcPr>
            <w:tcW w:w="915" w:type="pct"/>
            <w:tcBorders>
              <w:top w:val="nil"/>
              <w:left w:val="nil"/>
              <w:bottom w:val="nil"/>
              <w:right w:val="nil"/>
            </w:tcBorders>
            <w:shd w:val="clear" w:color="auto" w:fill="auto"/>
            <w:noWrap/>
            <w:hideMark/>
          </w:tcPr>
          <w:p w14:paraId="64A3B0E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Mbar_A3687</w:t>
            </w:r>
          </w:p>
        </w:tc>
        <w:tc>
          <w:tcPr>
            <w:tcW w:w="3194" w:type="pct"/>
            <w:tcBorders>
              <w:top w:val="nil"/>
              <w:left w:val="nil"/>
              <w:bottom w:val="nil"/>
              <w:right w:val="nil"/>
            </w:tcBorders>
            <w:shd w:val="clear" w:color="auto" w:fill="auto"/>
            <w:noWrap/>
            <w:hideMark/>
          </w:tcPr>
          <w:p w14:paraId="76C6308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S7</w:t>
            </w:r>
          </w:p>
        </w:tc>
        <w:tc>
          <w:tcPr>
            <w:tcW w:w="891" w:type="pct"/>
            <w:tcBorders>
              <w:top w:val="nil"/>
              <w:left w:val="nil"/>
              <w:bottom w:val="nil"/>
              <w:right w:val="nil"/>
            </w:tcBorders>
            <w:shd w:val="clear" w:color="auto" w:fill="auto"/>
            <w:noWrap/>
            <w:hideMark/>
          </w:tcPr>
          <w:p w14:paraId="2C40CE7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2.24</w:t>
            </w:r>
          </w:p>
        </w:tc>
      </w:tr>
      <w:tr w:rsidR="00436CD0" w:rsidRPr="00C44D8C" w14:paraId="292E6FBA" w14:textId="77777777" w:rsidTr="00436CD0">
        <w:trPr>
          <w:trHeight w:val="290"/>
        </w:trPr>
        <w:tc>
          <w:tcPr>
            <w:tcW w:w="915" w:type="pct"/>
            <w:tcBorders>
              <w:top w:val="nil"/>
              <w:left w:val="nil"/>
              <w:bottom w:val="nil"/>
              <w:right w:val="nil"/>
            </w:tcBorders>
            <w:shd w:val="clear" w:color="auto" w:fill="auto"/>
            <w:noWrap/>
            <w:hideMark/>
          </w:tcPr>
          <w:p w14:paraId="4752CC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Mbar_A0094</w:t>
            </w:r>
          </w:p>
        </w:tc>
        <w:tc>
          <w:tcPr>
            <w:tcW w:w="3194" w:type="pct"/>
            <w:tcBorders>
              <w:top w:val="nil"/>
              <w:left w:val="nil"/>
              <w:bottom w:val="nil"/>
              <w:right w:val="nil"/>
            </w:tcBorders>
            <w:shd w:val="clear" w:color="auto" w:fill="auto"/>
            <w:noWrap/>
            <w:hideMark/>
          </w:tcPr>
          <w:p w14:paraId="4E88750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L6</w:t>
            </w:r>
          </w:p>
        </w:tc>
        <w:tc>
          <w:tcPr>
            <w:tcW w:w="891" w:type="pct"/>
            <w:tcBorders>
              <w:top w:val="nil"/>
              <w:left w:val="nil"/>
              <w:bottom w:val="nil"/>
              <w:right w:val="nil"/>
            </w:tcBorders>
            <w:shd w:val="clear" w:color="auto" w:fill="auto"/>
            <w:noWrap/>
            <w:hideMark/>
          </w:tcPr>
          <w:p w14:paraId="63FE2DC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2.21</w:t>
            </w:r>
          </w:p>
        </w:tc>
      </w:tr>
      <w:tr w:rsidR="00436CD0" w:rsidRPr="00C44D8C" w14:paraId="6F3D879F" w14:textId="77777777" w:rsidTr="00436CD0">
        <w:trPr>
          <w:trHeight w:val="290"/>
        </w:trPr>
        <w:tc>
          <w:tcPr>
            <w:tcW w:w="915" w:type="pct"/>
            <w:tcBorders>
              <w:top w:val="nil"/>
              <w:left w:val="nil"/>
              <w:bottom w:val="nil"/>
              <w:right w:val="nil"/>
            </w:tcBorders>
            <w:shd w:val="clear" w:color="auto" w:fill="auto"/>
            <w:noWrap/>
            <w:hideMark/>
          </w:tcPr>
          <w:p w14:paraId="7580FCE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Mbar_A0077</w:t>
            </w:r>
          </w:p>
        </w:tc>
        <w:tc>
          <w:tcPr>
            <w:tcW w:w="3194" w:type="pct"/>
            <w:tcBorders>
              <w:top w:val="nil"/>
              <w:left w:val="nil"/>
              <w:bottom w:val="nil"/>
              <w:right w:val="nil"/>
            </w:tcBorders>
            <w:shd w:val="clear" w:color="auto" w:fill="auto"/>
            <w:noWrap/>
            <w:hideMark/>
          </w:tcPr>
          <w:p w14:paraId="7072E49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S4</w:t>
            </w:r>
          </w:p>
        </w:tc>
        <w:tc>
          <w:tcPr>
            <w:tcW w:w="891" w:type="pct"/>
            <w:tcBorders>
              <w:top w:val="nil"/>
              <w:left w:val="nil"/>
              <w:bottom w:val="nil"/>
              <w:right w:val="nil"/>
            </w:tcBorders>
            <w:shd w:val="clear" w:color="auto" w:fill="auto"/>
            <w:noWrap/>
            <w:hideMark/>
          </w:tcPr>
          <w:p w14:paraId="02B8310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2.20</w:t>
            </w:r>
          </w:p>
        </w:tc>
      </w:tr>
      <w:tr w:rsidR="00436CD0" w:rsidRPr="00C44D8C" w14:paraId="1FEC468A" w14:textId="77777777" w:rsidTr="00436CD0">
        <w:trPr>
          <w:trHeight w:val="290"/>
        </w:trPr>
        <w:tc>
          <w:tcPr>
            <w:tcW w:w="915" w:type="pct"/>
            <w:tcBorders>
              <w:top w:val="nil"/>
              <w:left w:val="nil"/>
              <w:bottom w:val="nil"/>
              <w:right w:val="nil"/>
            </w:tcBorders>
            <w:shd w:val="clear" w:color="auto" w:fill="auto"/>
            <w:noWrap/>
            <w:hideMark/>
          </w:tcPr>
          <w:p w14:paraId="2688D3C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Mbar_A1008</w:t>
            </w:r>
          </w:p>
        </w:tc>
        <w:tc>
          <w:tcPr>
            <w:tcW w:w="3194" w:type="pct"/>
            <w:tcBorders>
              <w:top w:val="nil"/>
              <w:left w:val="nil"/>
              <w:bottom w:val="nil"/>
              <w:right w:val="nil"/>
            </w:tcBorders>
            <w:shd w:val="clear" w:color="auto" w:fill="auto"/>
            <w:noWrap/>
            <w:hideMark/>
          </w:tcPr>
          <w:p w14:paraId="6A3245B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Arginine--tRNA ligase </w:t>
            </w:r>
          </w:p>
        </w:tc>
        <w:tc>
          <w:tcPr>
            <w:tcW w:w="891" w:type="pct"/>
            <w:tcBorders>
              <w:top w:val="nil"/>
              <w:left w:val="nil"/>
              <w:bottom w:val="nil"/>
              <w:right w:val="nil"/>
            </w:tcBorders>
            <w:shd w:val="clear" w:color="auto" w:fill="auto"/>
            <w:noWrap/>
            <w:hideMark/>
          </w:tcPr>
          <w:p w14:paraId="25AAAE4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2.18</w:t>
            </w:r>
          </w:p>
        </w:tc>
      </w:tr>
      <w:tr w:rsidR="00436CD0" w:rsidRPr="00C44D8C" w14:paraId="2F503AB3" w14:textId="77777777" w:rsidTr="00436CD0">
        <w:trPr>
          <w:trHeight w:val="290"/>
        </w:trPr>
        <w:tc>
          <w:tcPr>
            <w:tcW w:w="915" w:type="pct"/>
            <w:tcBorders>
              <w:top w:val="nil"/>
              <w:left w:val="nil"/>
              <w:bottom w:val="nil"/>
              <w:right w:val="nil"/>
            </w:tcBorders>
            <w:shd w:val="clear" w:color="auto" w:fill="auto"/>
            <w:noWrap/>
            <w:hideMark/>
          </w:tcPr>
          <w:p w14:paraId="465ADB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Mbar_A0101</w:t>
            </w:r>
          </w:p>
        </w:tc>
        <w:tc>
          <w:tcPr>
            <w:tcW w:w="3194" w:type="pct"/>
            <w:tcBorders>
              <w:top w:val="nil"/>
              <w:left w:val="nil"/>
              <w:bottom w:val="nil"/>
              <w:right w:val="nil"/>
            </w:tcBorders>
            <w:shd w:val="clear" w:color="auto" w:fill="auto"/>
            <w:noWrap/>
            <w:hideMark/>
          </w:tcPr>
          <w:p w14:paraId="26AFF04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S17P</w:t>
            </w:r>
          </w:p>
        </w:tc>
        <w:tc>
          <w:tcPr>
            <w:tcW w:w="891" w:type="pct"/>
            <w:tcBorders>
              <w:top w:val="nil"/>
              <w:left w:val="nil"/>
              <w:bottom w:val="nil"/>
              <w:right w:val="nil"/>
            </w:tcBorders>
            <w:shd w:val="clear" w:color="auto" w:fill="auto"/>
            <w:noWrap/>
            <w:hideMark/>
          </w:tcPr>
          <w:p w14:paraId="46A1268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2.13</w:t>
            </w:r>
          </w:p>
        </w:tc>
      </w:tr>
      <w:tr w:rsidR="00436CD0" w:rsidRPr="00C44D8C" w14:paraId="3A6F73AC" w14:textId="77777777" w:rsidTr="00436CD0">
        <w:trPr>
          <w:trHeight w:val="290"/>
        </w:trPr>
        <w:tc>
          <w:tcPr>
            <w:tcW w:w="915" w:type="pct"/>
            <w:tcBorders>
              <w:top w:val="nil"/>
              <w:left w:val="nil"/>
              <w:bottom w:val="nil"/>
              <w:right w:val="nil"/>
            </w:tcBorders>
            <w:shd w:val="clear" w:color="auto" w:fill="auto"/>
            <w:noWrap/>
            <w:hideMark/>
          </w:tcPr>
          <w:p w14:paraId="33E8B23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Mbar_A0901</w:t>
            </w:r>
          </w:p>
        </w:tc>
        <w:tc>
          <w:tcPr>
            <w:tcW w:w="3194" w:type="pct"/>
            <w:tcBorders>
              <w:top w:val="nil"/>
              <w:left w:val="nil"/>
              <w:bottom w:val="nil"/>
              <w:right w:val="nil"/>
            </w:tcBorders>
            <w:shd w:val="clear" w:color="auto" w:fill="auto"/>
            <w:noWrap/>
            <w:hideMark/>
          </w:tcPr>
          <w:p w14:paraId="0109522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Threonylcarbamoyl-AMP synthase </w:t>
            </w:r>
          </w:p>
        </w:tc>
        <w:tc>
          <w:tcPr>
            <w:tcW w:w="891" w:type="pct"/>
            <w:tcBorders>
              <w:top w:val="nil"/>
              <w:left w:val="nil"/>
              <w:bottom w:val="nil"/>
              <w:right w:val="nil"/>
            </w:tcBorders>
            <w:shd w:val="clear" w:color="auto" w:fill="auto"/>
            <w:noWrap/>
            <w:hideMark/>
          </w:tcPr>
          <w:p w14:paraId="5DA267A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2.12</w:t>
            </w:r>
          </w:p>
        </w:tc>
      </w:tr>
      <w:tr w:rsidR="00436CD0" w:rsidRPr="00C44D8C" w14:paraId="57311EA2" w14:textId="77777777" w:rsidTr="00436CD0">
        <w:trPr>
          <w:trHeight w:val="290"/>
        </w:trPr>
        <w:tc>
          <w:tcPr>
            <w:tcW w:w="915" w:type="pct"/>
            <w:tcBorders>
              <w:top w:val="nil"/>
              <w:left w:val="nil"/>
              <w:bottom w:val="nil"/>
              <w:right w:val="nil"/>
            </w:tcBorders>
            <w:shd w:val="clear" w:color="auto" w:fill="auto"/>
            <w:noWrap/>
            <w:hideMark/>
          </w:tcPr>
          <w:p w14:paraId="60B5520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Mbar_A3383</w:t>
            </w:r>
          </w:p>
        </w:tc>
        <w:tc>
          <w:tcPr>
            <w:tcW w:w="3194" w:type="pct"/>
            <w:tcBorders>
              <w:top w:val="nil"/>
              <w:left w:val="nil"/>
              <w:bottom w:val="nil"/>
              <w:right w:val="nil"/>
            </w:tcBorders>
            <w:shd w:val="clear" w:color="auto" w:fill="auto"/>
            <w:noWrap/>
            <w:hideMark/>
          </w:tcPr>
          <w:p w14:paraId="2719518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S6e</w:t>
            </w:r>
          </w:p>
        </w:tc>
        <w:tc>
          <w:tcPr>
            <w:tcW w:w="891" w:type="pct"/>
            <w:tcBorders>
              <w:top w:val="nil"/>
              <w:left w:val="nil"/>
              <w:bottom w:val="nil"/>
              <w:right w:val="nil"/>
            </w:tcBorders>
            <w:shd w:val="clear" w:color="auto" w:fill="auto"/>
            <w:noWrap/>
            <w:hideMark/>
          </w:tcPr>
          <w:p w14:paraId="115A7B1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2.12</w:t>
            </w:r>
          </w:p>
        </w:tc>
      </w:tr>
      <w:tr w:rsidR="00436CD0" w:rsidRPr="00C44D8C" w14:paraId="72D06E0D" w14:textId="77777777" w:rsidTr="00436CD0">
        <w:trPr>
          <w:trHeight w:val="290"/>
        </w:trPr>
        <w:tc>
          <w:tcPr>
            <w:tcW w:w="915" w:type="pct"/>
            <w:tcBorders>
              <w:top w:val="nil"/>
              <w:left w:val="nil"/>
              <w:bottom w:val="nil"/>
              <w:right w:val="nil"/>
            </w:tcBorders>
            <w:shd w:val="clear" w:color="auto" w:fill="auto"/>
            <w:noWrap/>
            <w:hideMark/>
          </w:tcPr>
          <w:p w14:paraId="127121A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Mbar_A1873</w:t>
            </w:r>
          </w:p>
        </w:tc>
        <w:tc>
          <w:tcPr>
            <w:tcW w:w="3194" w:type="pct"/>
            <w:tcBorders>
              <w:top w:val="nil"/>
              <w:left w:val="nil"/>
              <w:bottom w:val="nil"/>
              <w:right w:val="nil"/>
            </w:tcBorders>
            <w:shd w:val="clear" w:color="auto" w:fill="auto"/>
            <w:noWrap/>
            <w:hideMark/>
          </w:tcPr>
          <w:p w14:paraId="1925576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S15</w:t>
            </w:r>
          </w:p>
        </w:tc>
        <w:tc>
          <w:tcPr>
            <w:tcW w:w="891" w:type="pct"/>
            <w:tcBorders>
              <w:top w:val="nil"/>
              <w:left w:val="nil"/>
              <w:bottom w:val="nil"/>
              <w:right w:val="nil"/>
            </w:tcBorders>
            <w:shd w:val="clear" w:color="auto" w:fill="auto"/>
            <w:noWrap/>
            <w:hideMark/>
          </w:tcPr>
          <w:p w14:paraId="4897637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2.10</w:t>
            </w:r>
          </w:p>
        </w:tc>
      </w:tr>
      <w:tr w:rsidR="00436CD0" w:rsidRPr="00C44D8C" w14:paraId="6C17EF22" w14:textId="77777777" w:rsidTr="00436CD0">
        <w:trPr>
          <w:trHeight w:val="290"/>
        </w:trPr>
        <w:tc>
          <w:tcPr>
            <w:tcW w:w="915" w:type="pct"/>
            <w:tcBorders>
              <w:top w:val="nil"/>
              <w:left w:val="nil"/>
              <w:bottom w:val="nil"/>
              <w:right w:val="nil"/>
            </w:tcBorders>
            <w:shd w:val="clear" w:color="auto" w:fill="auto"/>
            <w:noWrap/>
            <w:hideMark/>
          </w:tcPr>
          <w:p w14:paraId="411AD90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Mbar_A1428</w:t>
            </w:r>
          </w:p>
        </w:tc>
        <w:tc>
          <w:tcPr>
            <w:tcW w:w="3194" w:type="pct"/>
            <w:tcBorders>
              <w:top w:val="nil"/>
              <w:left w:val="nil"/>
              <w:bottom w:val="nil"/>
              <w:right w:val="nil"/>
            </w:tcBorders>
            <w:shd w:val="clear" w:color="auto" w:fill="auto"/>
            <w:noWrap/>
            <w:hideMark/>
          </w:tcPr>
          <w:p w14:paraId="3E05394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L18e</w:t>
            </w:r>
          </w:p>
        </w:tc>
        <w:tc>
          <w:tcPr>
            <w:tcW w:w="891" w:type="pct"/>
            <w:tcBorders>
              <w:top w:val="nil"/>
              <w:left w:val="nil"/>
              <w:bottom w:val="nil"/>
              <w:right w:val="nil"/>
            </w:tcBorders>
            <w:shd w:val="clear" w:color="auto" w:fill="auto"/>
            <w:noWrap/>
            <w:hideMark/>
          </w:tcPr>
          <w:p w14:paraId="6972970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2.09</w:t>
            </w:r>
          </w:p>
        </w:tc>
      </w:tr>
      <w:tr w:rsidR="00436CD0" w:rsidRPr="00C44D8C" w14:paraId="3CA2D840" w14:textId="77777777" w:rsidTr="00436CD0">
        <w:trPr>
          <w:trHeight w:val="290"/>
        </w:trPr>
        <w:tc>
          <w:tcPr>
            <w:tcW w:w="915" w:type="pct"/>
            <w:tcBorders>
              <w:top w:val="nil"/>
              <w:left w:val="nil"/>
              <w:bottom w:val="nil"/>
              <w:right w:val="nil"/>
            </w:tcBorders>
            <w:shd w:val="clear" w:color="auto" w:fill="auto"/>
            <w:noWrap/>
            <w:hideMark/>
          </w:tcPr>
          <w:p w14:paraId="6D3DC92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Mbar_A0078</w:t>
            </w:r>
          </w:p>
        </w:tc>
        <w:tc>
          <w:tcPr>
            <w:tcW w:w="3194" w:type="pct"/>
            <w:tcBorders>
              <w:top w:val="nil"/>
              <w:left w:val="nil"/>
              <w:bottom w:val="nil"/>
              <w:right w:val="nil"/>
            </w:tcBorders>
            <w:shd w:val="clear" w:color="auto" w:fill="auto"/>
            <w:noWrap/>
            <w:hideMark/>
          </w:tcPr>
          <w:p w14:paraId="765B139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S13</w:t>
            </w:r>
          </w:p>
        </w:tc>
        <w:tc>
          <w:tcPr>
            <w:tcW w:w="891" w:type="pct"/>
            <w:tcBorders>
              <w:top w:val="nil"/>
              <w:left w:val="nil"/>
              <w:bottom w:val="nil"/>
              <w:right w:val="nil"/>
            </w:tcBorders>
            <w:shd w:val="clear" w:color="auto" w:fill="auto"/>
            <w:noWrap/>
            <w:hideMark/>
          </w:tcPr>
          <w:p w14:paraId="1F0C79A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2.09</w:t>
            </w:r>
          </w:p>
        </w:tc>
      </w:tr>
      <w:tr w:rsidR="00436CD0" w:rsidRPr="00C44D8C" w14:paraId="2AA160A0" w14:textId="77777777" w:rsidTr="00436CD0">
        <w:trPr>
          <w:trHeight w:val="290"/>
        </w:trPr>
        <w:tc>
          <w:tcPr>
            <w:tcW w:w="915" w:type="pct"/>
            <w:tcBorders>
              <w:top w:val="nil"/>
              <w:left w:val="nil"/>
              <w:bottom w:val="nil"/>
              <w:right w:val="nil"/>
            </w:tcBorders>
            <w:shd w:val="clear" w:color="auto" w:fill="auto"/>
            <w:noWrap/>
            <w:hideMark/>
          </w:tcPr>
          <w:p w14:paraId="4E4EE30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Mbar_A0534</w:t>
            </w:r>
          </w:p>
        </w:tc>
        <w:tc>
          <w:tcPr>
            <w:tcW w:w="3194" w:type="pct"/>
            <w:tcBorders>
              <w:top w:val="nil"/>
              <w:left w:val="nil"/>
              <w:bottom w:val="nil"/>
              <w:right w:val="nil"/>
            </w:tcBorders>
            <w:shd w:val="clear" w:color="auto" w:fill="auto"/>
            <w:noWrap/>
            <w:hideMark/>
          </w:tcPr>
          <w:p w14:paraId="4368138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Protein translation factor SUI1 homolog</w:t>
            </w:r>
          </w:p>
        </w:tc>
        <w:tc>
          <w:tcPr>
            <w:tcW w:w="891" w:type="pct"/>
            <w:tcBorders>
              <w:top w:val="nil"/>
              <w:left w:val="nil"/>
              <w:bottom w:val="nil"/>
              <w:right w:val="nil"/>
            </w:tcBorders>
            <w:shd w:val="clear" w:color="auto" w:fill="auto"/>
            <w:noWrap/>
            <w:hideMark/>
          </w:tcPr>
          <w:p w14:paraId="0AC109C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2.09</w:t>
            </w:r>
          </w:p>
        </w:tc>
      </w:tr>
      <w:tr w:rsidR="00436CD0" w:rsidRPr="00C44D8C" w14:paraId="1AE1AE86" w14:textId="77777777" w:rsidTr="00436CD0">
        <w:trPr>
          <w:trHeight w:val="290"/>
        </w:trPr>
        <w:tc>
          <w:tcPr>
            <w:tcW w:w="915" w:type="pct"/>
            <w:tcBorders>
              <w:top w:val="nil"/>
              <w:left w:val="nil"/>
              <w:bottom w:val="nil"/>
              <w:right w:val="nil"/>
            </w:tcBorders>
            <w:shd w:val="clear" w:color="auto" w:fill="auto"/>
            <w:noWrap/>
            <w:hideMark/>
          </w:tcPr>
          <w:p w14:paraId="0C04B69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Mbar_A3231</w:t>
            </w:r>
          </w:p>
        </w:tc>
        <w:tc>
          <w:tcPr>
            <w:tcW w:w="3194" w:type="pct"/>
            <w:tcBorders>
              <w:top w:val="nil"/>
              <w:left w:val="nil"/>
              <w:bottom w:val="nil"/>
              <w:right w:val="nil"/>
            </w:tcBorders>
            <w:shd w:val="clear" w:color="auto" w:fill="auto"/>
            <w:noWrap/>
            <w:hideMark/>
          </w:tcPr>
          <w:p w14:paraId="2BDD77E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L21e</w:t>
            </w:r>
          </w:p>
        </w:tc>
        <w:tc>
          <w:tcPr>
            <w:tcW w:w="891" w:type="pct"/>
            <w:tcBorders>
              <w:top w:val="nil"/>
              <w:left w:val="nil"/>
              <w:bottom w:val="nil"/>
              <w:right w:val="nil"/>
            </w:tcBorders>
            <w:shd w:val="clear" w:color="auto" w:fill="auto"/>
            <w:noWrap/>
            <w:hideMark/>
          </w:tcPr>
          <w:p w14:paraId="6A4CAEF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2.08</w:t>
            </w:r>
          </w:p>
        </w:tc>
      </w:tr>
      <w:tr w:rsidR="00436CD0" w:rsidRPr="00C44D8C" w14:paraId="1780CDFB" w14:textId="77777777" w:rsidTr="00436CD0">
        <w:trPr>
          <w:trHeight w:val="290"/>
        </w:trPr>
        <w:tc>
          <w:tcPr>
            <w:tcW w:w="915" w:type="pct"/>
            <w:tcBorders>
              <w:top w:val="nil"/>
              <w:left w:val="nil"/>
              <w:bottom w:val="nil"/>
              <w:right w:val="nil"/>
            </w:tcBorders>
            <w:shd w:val="clear" w:color="auto" w:fill="auto"/>
            <w:noWrap/>
            <w:hideMark/>
          </w:tcPr>
          <w:p w14:paraId="5EF10E4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Mbar_A0884</w:t>
            </w:r>
          </w:p>
        </w:tc>
        <w:tc>
          <w:tcPr>
            <w:tcW w:w="3194" w:type="pct"/>
            <w:tcBorders>
              <w:top w:val="nil"/>
              <w:left w:val="nil"/>
              <w:bottom w:val="nil"/>
              <w:right w:val="nil"/>
            </w:tcBorders>
            <w:shd w:val="clear" w:color="auto" w:fill="auto"/>
            <w:noWrap/>
            <w:hideMark/>
          </w:tcPr>
          <w:p w14:paraId="60BD1A6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Aspartyl/glutamyl-tRNA(Asn/Gln) amidotransferase subunit B </w:t>
            </w:r>
          </w:p>
        </w:tc>
        <w:tc>
          <w:tcPr>
            <w:tcW w:w="891" w:type="pct"/>
            <w:tcBorders>
              <w:top w:val="nil"/>
              <w:left w:val="nil"/>
              <w:bottom w:val="nil"/>
              <w:right w:val="nil"/>
            </w:tcBorders>
            <w:shd w:val="clear" w:color="auto" w:fill="auto"/>
            <w:noWrap/>
            <w:hideMark/>
          </w:tcPr>
          <w:p w14:paraId="51AA90C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2.08</w:t>
            </w:r>
          </w:p>
        </w:tc>
      </w:tr>
      <w:tr w:rsidR="00436CD0" w:rsidRPr="00C44D8C" w14:paraId="084D9928" w14:textId="77777777" w:rsidTr="00436CD0">
        <w:trPr>
          <w:trHeight w:val="290"/>
        </w:trPr>
        <w:tc>
          <w:tcPr>
            <w:tcW w:w="915" w:type="pct"/>
            <w:tcBorders>
              <w:top w:val="nil"/>
              <w:left w:val="nil"/>
              <w:bottom w:val="nil"/>
              <w:right w:val="nil"/>
            </w:tcBorders>
            <w:shd w:val="clear" w:color="auto" w:fill="auto"/>
            <w:noWrap/>
            <w:hideMark/>
          </w:tcPr>
          <w:p w14:paraId="436AC5B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Mbar_A0614</w:t>
            </w:r>
          </w:p>
        </w:tc>
        <w:tc>
          <w:tcPr>
            <w:tcW w:w="3194" w:type="pct"/>
            <w:tcBorders>
              <w:top w:val="nil"/>
              <w:left w:val="nil"/>
              <w:bottom w:val="nil"/>
              <w:right w:val="nil"/>
            </w:tcBorders>
            <w:shd w:val="clear" w:color="auto" w:fill="auto"/>
            <w:noWrap/>
            <w:hideMark/>
          </w:tcPr>
          <w:p w14:paraId="722ED0E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L1</w:t>
            </w:r>
          </w:p>
        </w:tc>
        <w:tc>
          <w:tcPr>
            <w:tcW w:w="891" w:type="pct"/>
            <w:tcBorders>
              <w:top w:val="nil"/>
              <w:left w:val="nil"/>
              <w:bottom w:val="nil"/>
              <w:right w:val="nil"/>
            </w:tcBorders>
            <w:shd w:val="clear" w:color="auto" w:fill="auto"/>
            <w:noWrap/>
            <w:hideMark/>
          </w:tcPr>
          <w:p w14:paraId="0911BB5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2.08</w:t>
            </w:r>
          </w:p>
        </w:tc>
      </w:tr>
      <w:tr w:rsidR="00436CD0" w:rsidRPr="00C44D8C" w14:paraId="312F1259" w14:textId="77777777" w:rsidTr="00436CD0">
        <w:trPr>
          <w:trHeight w:val="290"/>
        </w:trPr>
        <w:tc>
          <w:tcPr>
            <w:tcW w:w="915" w:type="pct"/>
            <w:tcBorders>
              <w:top w:val="nil"/>
              <w:left w:val="nil"/>
              <w:bottom w:val="nil"/>
              <w:right w:val="nil"/>
            </w:tcBorders>
            <w:shd w:val="clear" w:color="auto" w:fill="auto"/>
            <w:noWrap/>
            <w:hideMark/>
          </w:tcPr>
          <w:p w14:paraId="23F95A1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Mbar_A3509</w:t>
            </w:r>
          </w:p>
        </w:tc>
        <w:tc>
          <w:tcPr>
            <w:tcW w:w="3194" w:type="pct"/>
            <w:tcBorders>
              <w:top w:val="nil"/>
              <w:left w:val="nil"/>
              <w:bottom w:val="nil"/>
              <w:right w:val="nil"/>
            </w:tcBorders>
            <w:shd w:val="clear" w:color="auto" w:fill="auto"/>
            <w:noWrap/>
            <w:hideMark/>
          </w:tcPr>
          <w:p w14:paraId="3002E86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RNase L inhibitor</w:t>
            </w:r>
          </w:p>
        </w:tc>
        <w:tc>
          <w:tcPr>
            <w:tcW w:w="891" w:type="pct"/>
            <w:tcBorders>
              <w:top w:val="nil"/>
              <w:left w:val="nil"/>
              <w:bottom w:val="nil"/>
              <w:right w:val="nil"/>
            </w:tcBorders>
            <w:shd w:val="clear" w:color="auto" w:fill="auto"/>
            <w:noWrap/>
            <w:hideMark/>
          </w:tcPr>
          <w:p w14:paraId="7A9B418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2.08</w:t>
            </w:r>
          </w:p>
        </w:tc>
      </w:tr>
      <w:tr w:rsidR="00436CD0" w:rsidRPr="00C44D8C" w14:paraId="553BEDE8" w14:textId="77777777" w:rsidTr="00436CD0">
        <w:trPr>
          <w:trHeight w:val="290"/>
        </w:trPr>
        <w:tc>
          <w:tcPr>
            <w:tcW w:w="915" w:type="pct"/>
            <w:tcBorders>
              <w:top w:val="nil"/>
              <w:left w:val="nil"/>
              <w:bottom w:val="nil"/>
              <w:right w:val="nil"/>
            </w:tcBorders>
            <w:shd w:val="clear" w:color="auto" w:fill="auto"/>
            <w:noWrap/>
            <w:hideMark/>
          </w:tcPr>
          <w:p w14:paraId="75DF9C7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Mbar_A0092</w:t>
            </w:r>
          </w:p>
        </w:tc>
        <w:tc>
          <w:tcPr>
            <w:tcW w:w="3194" w:type="pct"/>
            <w:tcBorders>
              <w:top w:val="nil"/>
              <w:left w:val="nil"/>
              <w:bottom w:val="nil"/>
              <w:right w:val="nil"/>
            </w:tcBorders>
            <w:shd w:val="clear" w:color="auto" w:fill="auto"/>
            <w:noWrap/>
            <w:hideMark/>
          </w:tcPr>
          <w:p w14:paraId="1E83AED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L19e</w:t>
            </w:r>
          </w:p>
        </w:tc>
        <w:tc>
          <w:tcPr>
            <w:tcW w:w="891" w:type="pct"/>
            <w:tcBorders>
              <w:top w:val="nil"/>
              <w:left w:val="nil"/>
              <w:bottom w:val="nil"/>
              <w:right w:val="nil"/>
            </w:tcBorders>
            <w:shd w:val="clear" w:color="auto" w:fill="auto"/>
            <w:noWrap/>
            <w:hideMark/>
          </w:tcPr>
          <w:p w14:paraId="3CD868D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2.06</w:t>
            </w:r>
          </w:p>
        </w:tc>
      </w:tr>
      <w:tr w:rsidR="00436CD0" w:rsidRPr="00C44D8C" w14:paraId="264B0F48" w14:textId="77777777" w:rsidTr="00436CD0">
        <w:trPr>
          <w:trHeight w:val="290"/>
        </w:trPr>
        <w:tc>
          <w:tcPr>
            <w:tcW w:w="915" w:type="pct"/>
            <w:tcBorders>
              <w:top w:val="nil"/>
              <w:left w:val="nil"/>
              <w:bottom w:val="nil"/>
              <w:right w:val="nil"/>
            </w:tcBorders>
            <w:shd w:val="clear" w:color="auto" w:fill="auto"/>
            <w:noWrap/>
            <w:hideMark/>
          </w:tcPr>
          <w:p w14:paraId="7722AE4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Mbar_A0110</w:t>
            </w:r>
          </w:p>
        </w:tc>
        <w:tc>
          <w:tcPr>
            <w:tcW w:w="3194" w:type="pct"/>
            <w:tcBorders>
              <w:top w:val="nil"/>
              <w:left w:val="nil"/>
              <w:bottom w:val="nil"/>
              <w:right w:val="nil"/>
            </w:tcBorders>
            <w:shd w:val="clear" w:color="auto" w:fill="auto"/>
            <w:noWrap/>
            <w:hideMark/>
          </w:tcPr>
          <w:p w14:paraId="0884C13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L3</w:t>
            </w:r>
          </w:p>
        </w:tc>
        <w:tc>
          <w:tcPr>
            <w:tcW w:w="891" w:type="pct"/>
            <w:tcBorders>
              <w:top w:val="nil"/>
              <w:left w:val="nil"/>
              <w:bottom w:val="nil"/>
              <w:right w:val="nil"/>
            </w:tcBorders>
            <w:shd w:val="clear" w:color="auto" w:fill="auto"/>
            <w:noWrap/>
            <w:hideMark/>
          </w:tcPr>
          <w:p w14:paraId="67F4681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2.05</w:t>
            </w:r>
          </w:p>
        </w:tc>
      </w:tr>
      <w:tr w:rsidR="00436CD0" w:rsidRPr="00C44D8C" w14:paraId="43920F06" w14:textId="77777777" w:rsidTr="00436CD0">
        <w:trPr>
          <w:trHeight w:val="290"/>
        </w:trPr>
        <w:tc>
          <w:tcPr>
            <w:tcW w:w="915" w:type="pct"/>
            <w:tcBorders>
              <w:top w:val="nil"/>
              <w:left w:val="nil"/>
              <w:bottom w:val="nil"/>
              <w:right w:val="nil"/>
            </w:tcBorders>
            <w:shd w:val="clear" w:color="auto" w:fill="auto"/>
            <w:noWrap/>
            <w:hideMark/>
          </w:tcPr>
          <w:p w14:paraId="2896027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Mbar_A0282</w:t>
            </w:r>
          </w:p>
        </w:tc>
        <w:tc>
          <w:tcPr>
            <w:tcW w:w="3194" w:type="pct"/>
            <w:tcBorders>
              <w:top w:val="nil"/>
              <w:left w:val="nil"/>
              <w:bottom w:val="nil"/>
              <w:right w:val="nil"/>
            </w:tcBorders>
            <w:shd w:val="clear" w:color="auto" w:fill="auto"/>
            <w:noWrap/>
            <w:hideMark/>
          </w:tcPr>
          <w:p w14:paraId="1DE969B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S24e</w:t>
            </w:r>
          </w:p>
        </w:tc>
        <w:tc>
          <w:tcPr>
            <w:tcW w:w="891" w:type="pct"/>
            <w:tcBorders>
              <w:top w:val="nil"/>
              <w:left w:val="nil"/>
              <w:bottom w:val="nil"/>
              <w:right w:val="nil"/>
            </w:tcBorders>
            <w:shd w:val="clear" w:color="auto" w:fill="auto"/>
            <w:noWrap/>
            <w:hideMark/>
          </w:tcPr>
          <w:p w14:paraId="1E8A880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2.03</w:t>
            </w:r>
          </w:p>
        </w:tc>
      </w:tr>
      <w:tr w:rsidR="00436CD0" w:rsidRPr="00C44D8C" w14:paraId="7F11AC64" w14:textId="77777777" w:rsidTr="00436CD0">
        <w:trPr>
          <w:trHeight w:val="290"/>
        </w:trPr>
        <w:tc>
          <w:tcPr>
            <w:tcW w:w="915" w:type="pct"/>
            <w:tcBorders>
              <w:top w:val="nil"/>
              <w:left w:val="nil"/>
              <w:bottom w:val="nil"/>
              <w:right w:val="nil"/>
            </w:tcBorders>
            <w:shd w:val="clear" w:color="auto" w:fill="auto"/>
            <w:noWrap/>
            <w:hideMark/>
          </w:tcPr>
          <w:p w14:paraId="55572AC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Mbar_A0098</w:t>
            </w:r>
          </w:p>
        </w:tc>
        <w:tc>
          <w:tcPr>
            <w:tcW w:w="3194" w:type="pct"/>
            <w:tcBorders>
              <w:top w:val="nil"/>
              <w:left w:val="nil"/>
              <w:bottom w:val="nil"/>
              <w:right w:val="nil"/>
            </w:tcBorders>
            <w:shd w:val="clear" w:color="auto" w:fill="auto"/>
            <w:noWrap/>
            <w:hideMark/>
          </w:tcPr>
          <w:p w14:paraId="0C10E6B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S4e</w:t>
            </w:r>
          </w:p>
        </w:tc>
        <w:tc>
          <w:tcPr>
            <w:tcW w:w="891" w:type="pct"/>
            <w:tcBorders>
              <w:top w:val="nil"/>
              <w:left w:val="nil"/>
              <w:bottom w:val="nil"/>
              <w:right w:val="nil"/>
            </w:tcBorders>
            <w:shd w:val="clear" w:color="auto" w:fill="auto"/>
            <w:noWrap/>
            <w:hideMark/>
          </w:tcPr>
          <w:p w14:paraId="7F6FCCD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2.03</w:t>
            </w:r>
          </w:p>
        </w:tc>
      </w:tr>
      <w:tr w:rsidR="00436CD0" w:rsidRPr="00C44D8C" w14:paraId="4678A492" w14:textId="77777777" w:rsidTr="00436CD0">
        <w:trPr>
          <w:trHeight w:val="290"/>
        </w:trPr>
        <w:tc>
          <w:tcPr>
            <w:tcW w:w="915" w:type="pct"/>
            <w:tcBorders>
              <w:top w:val="nil"/>
              <w:left w:val="nil"/>
              <w:bottom w:val="nil"/>
              <w:right w:val="nil"/>
            </w:tcBorders>
            <w:shd w:val="clear" w:color="auto" w:fill="auto"/>
            <w:noWrap/>
            <w:hideMark/>
          </w:tcPr>
          <w:p w14:paraId="640F6E5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Mbar_A0454</w:t>
            </w:r>
          </w:p>
        </w:tc>
        <w:tc>
          <w:tcPr>
            <w:tcW w:w="3194" w:type="pct"/>
            <w:tcBorders>
              <w:top w:val="nil"/>
              <w:left w:val="nil"/>
              <w:bottom w:val="nil"/>
              <w:right w:val="nil"/>
            </w:tcBorders>
            <w:shd w:val="clear" w:color="auto" w:fill="auto"/>
            <w:noWrap/>
            <w:hideMark/>
          </w:tcPr>
          <w:p w14:paraId="3F08DCB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S19e</w:t>
            </w:r>
          </w:p>
        </w:tc>
        <w:tc>
          <w:tcPr>
            <w:tcW w:w="891" w:type="pct"/>
            <w:tcBorders>
              <w:top w:val="nil"/>
              <w:left w:val="nil"/>
              <w:bottom w:val="nil"/>
              <w:right w:val="nil"/>
            </w:tcBorders>
            <w:shd w:val="clear" w:color="auto" w:fill="auto"/>
            <w:noWrap/>
            <w:hideMark/>
          </w:tcPr>
          <w:p w14:paraId="5209366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2.02</w:t>
            </w:r>
          </w:p>
        </w:tc>
      </w:tr>
      <w:tr w:rsidR="00436CD0" w:rsidRPr="00C44D8C" w14:paraId="7C27EB2C" w14:textId="77777777" w:rsidTr="00436CD0">
        <w:trPr>
          <w:trHeight w:val="290"/>
        </w:trPr>
        <w:tc>
          <w:tcPr>
            <w:tcW w:w="915" w:type="pct"/>
            <w:tcBorders>
              <w:top w:val="nil"/>
              <w:left w:val="nil"/>
              <w:bottom w:val="nil"/>
              <w:right w:val="nil"/>
            </w:tcBorders>
            <w:shd w:val="clear" w:color="auto" w:fill="auto"/>
            <w:noWrap/>
            <w:hideMark/>
          </w:tcPr>
          <w:p w14:paraId="1D4E53C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Mbar_A2127</w:t>
            </w:r>
          </w:p>
        </w:tc>
        <w:tc>
          <w:tcPr>
            <w:tcW w:w="3194" w:type="pct"/>
            <w:tcBorders>
              <w:top w:val="nil"/>
              <w:left w:val="nil"/>
              <w:bottom w:val="nil"/>
              <w:right w:val="nil"/>
            </w:tcBorders>
            <w:shd w:val="clear" w:color="auto" w:fill="auto"/>
            <w:noWrap/>
            <w:hideMark/>
          </w:tcPr>
          <w:p w14:paraId="60EFB70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30S ribosomal protein S3Ae </w:t>
            </w:r>
          </w:p>
        </w:tc>
        <w:tc>
          <w:tcPr>
            <w:tcW w:w="891" w:type="pct"/>
            <w:tcBorders>
              <w:top w:val="nil"/>
              <w:left w:val="nil"/>
              <w:bottom w:val="nil"/>
              <w:right w:val="nil"/>
            </w:tcBorders>
            <w:shd w:val="clear" w:color="auto" w:fill="auto"/>
            <w:noWrap/>
            <w:hideMark/>
          </w:tcPr>
          <w:p w14:paraId="674C7B6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2.01</w:t>
            </w:r>
          </w:p>
        </w:tc>
      </w:tr>
      <w:tr w:rsidR="00436CD0" w:rsidRPr="00C44D8C" w14:paraId="742EFCDD" w14:textId="77777777" w:rsidTr="00436CD0">
        <w:trPr>
          <w:trHeight w:val="290"/>
        </w:trPr>
        <w:tc>
          <w:tcPr>
            <w:tcW w:w="915" w:type="pct"/>
            <w:tcBorders>
              <w:top w:val="nil"/>
              <w:left w:val="nil"/>
              <w:bottom w:val="nil"/>
              <w:right w:val="nil"/>
            </w:tcBorders>
            <w:shd w:val="clear" w:color="auto" w:fill="auto"/>
            <w:noWrap/>
            <w:hideMark/>
          </w:tcPr>
          <w:p w14:paraId="2275EA6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Mbar_A1332</w:t>
            </w:r>
          </w:p>
        </w:tc>
        <w:tc>
          <w:tcPr>
            <w:tcW w:w="3194" w:type="pct"/>
            <w:tcBorders>
              <w:top w:val="nil"/>
              <w:left w:val="nil"/>
              <w:bottom w:val="nil"/>
              <w:right w:val="nil"/>
            </w:tcBorders>
            <w:shd w:val="clear" w:color="auto" w:fill="auto"/>
            <w:noWrap/>
            <w:hideMark/>
          </w:tcPr>
          <w:p w14:paraId="20AD343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tRNA pseudouridine synthase A</w:t>
            </w:r>
          </w:p>
        </w:tc>
        <w:tc>
          <w:tcPr>
            <w:tcW w:w="891" w:type="pct"/>
            <w:tcBorders>
              <w:top w:val="nil"/>
              <w:left w:val="nil"/>
              <w:bottom w:val="nil"/>
              <w:right w:val="nil"/>
            </w:tcBorders>
            <w:shd w:val="clear" w:color="auto" w:fill="auto"/>
            <w:noWrap/>
            <w:hideMark/>
          </w:tcPr>
          <w:p w14:paraId="2FB9564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396CC27E" w14:textId="77777777" w:rsidTr="00436CD0">
        <w:trPr>
          <w:trHeight w:val="290"/>
        </w:trPr>
        <w:tc>
          <w:tcPr>
            <w:tcW w:w="915" w:type="pct"/>
            <w:tcBorders>
              <w:top w:val="nil"/>
              <w:left w:val="nil"/>
              <w:bottom w:val="nil"/>
              <w:right w:val="nil"/>
            </w:tcBorders>
            <w:shd w:val="clear" w:color="auto" w:fill="auto"/>
            <w:noWrap/>
            <w:hideMark/>
          </w:tcPr>
          <w:p w14:paraId="49A790C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Mbar_A0839</w:t>
            </w:r>
          </w:p>
        </w:tc>
        <w:tc>
          <w:tcPr>
            <w:tcW w:w="3194" w:type="pct"/>
            <w:tcBorders>
              <w:top w:val="nil"/>
              <w:left w:val="nil"/>
              <w:bottom w:val="nil"/>
              <w:right w:val="nil"/>
            </w:tcBorders>
            <w:shd w:val="clear" w:color="auto" w:fill="auto"/>
            <w:noWrap/>
            <w:hideMark/>
          </w:tcPr>
          <w:p w14:paraId="3C6A5B7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Pyrrolysine--tRNA ligase </w:t>
            </w:r>
          </w:p>
        </w:tc>
        <w:tc>
          <w:tcPr>
            <w:tcW w:w="891" w:type="pct"/>
            <w:tcBorders>
              <w:top w:val="nil"/>
              <w:left w:val="nil"/>
              <w:bottom w:val="nil"/>
              <w:right w:val="nil"/>
            </w:tcBorders>
            <w:shd w:val="clear" w:color="auto" w:fill="auto"/>
            <w:noWrap/>
            <w:hideMark/>
          </w:tcPr>
          <w:p w14:paraId="5742D18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53CD0C09" w14:textId="77777777" w:rsidTr="00436CD0">
        <w:trPr>
          <w:trHeight w:val="290"/>
        </w:trPr>
        <w:tc>
          <w:tcPr>
            <w:tcW w:w="915" w:type="pct"/>
            <w:tcBorders>
              <w:top w:val="nil"/>
              <w:left w:val="nil"/>
              <w:bottom w:val="nil"/>
              <w:right w:val="nil"/>
            </w:tcBorders>
            <w:shd w:val="clear" w:color="auto" w:fill="auto"/>
            <w:noWrap/>
            <w:hideMark/>
          </w:tcPr>
          <w:p w14:paraId="1C6E3A3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Mbar_A1149</w:t>
            </w:r>
          </w:p>
        </w:tc>
        <w:tc>
          <w:tcPr>
            <w:tcW w:w="3194" w:type="pct"/>
            <w:tcBorders>
              <w:top w:val="nil"/>
              <w:left w:val="nil"/>
              <w:bottom w:val="nil"/>
              <w:right w:val="nil"/>
            </w:tcBorders>
            <w:shd w:val="clear" w:color="auto" w:fill="auto"/>
            <w:noWrap/>
            <w:hideMark/>
          </w:tcPr>
          <w:p w14:paraId="4BBAF1D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S17e</w:t>
            </w:r>
          </w:p>
        </w:tc>
        <w:tc>
          <w:tcPr>
            <w:tcW w:w="891" w:type="pct"/>
            <w:tcBorders>
              <w:top w:val="nil"/>
              <w:left w:val="nil"/>
              <w:bottom w:val="nil"/>
              <w:right w:val="nil"/>
            </w:tcBorders>
            <w:shd w:val="clear" w:color="auto" w:fill="auto"/>
            <w:noWrap/>
            <w:hideMark/>
          </w:tcPr>
          <w:p w14:paraId="5DDBC97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1.99</w:t>
            </w:r>
          </w:p>
        </w:tc>
      </w:tr>
      <w:tr w:rsidR="00436CD0" w:rsidRPr="00C44D8C" w14:paraId="07C51A78" w14:textId="77777777" w:rsidTr="00436CD0">
        <w:trPr>
          <w:trHeight w:val="290"/>
        </w:trPr>
        <w:tc>
          <w:tcPr>
            <w:tcW w:w="915" w:type="pct"/>
            <w:tcBorders>
              <w:top w:val="nil"/>
              <w:left w:val="nil"/>
              <w:bottom w:val="nil"/>
              <w:right w:val="nil"/>
            </w:tcBorders>
            <w:shd w:val="clear" w:color="auto" w:fill="auto"/>
            <w:noWrap/>
            <w:hideMark/>
          </w:tcPr>
          <w:p w14:paraId="7C53906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Mbar_A0458</w:t>
            </w:r>
          </w:p>
        </w:tc>
        <w:tc>
          <w:tcPr>
            <w:tcW w:w="3194" w:type="pct"/>
            <w:tcBorders>
              <w:top w:val="nil"/>
              <w:left w:val="nil"/>
              <w:bottom w:val="nil"/>
              <w:right w:val="nil"/>
            </w:tcBorders>
            <w:shd w:val="clear" w:color="auto" w:fill="auto"/>
            <w:noWrap/>
            <w:hideMark/>
          </w:tcPr>
          <w:p w14:paraId="2CD6D4A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L31e</w:t>
            </w:r>
          </w:p>
        </w:tc>
        <w:tc>
          <w:tcPr>
            <w:tcW w:w="891" w:type="pct"/>
            <w:tcBorders>
              <w:top w:val="nil"/>
              <w:left w:val="nil"/>
              <w:bottom w:val="nil"/>
              <w:right w:val="nil"/>
            </w:tcBorders>
            <w:shd w:val="clear" w:color="auto" w:fill="auto"/>
            <w:noWrap/>
            <w:hideMark/>
          </w:tcPr>
          <w:p w14:paraId="48A89E1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24654D4E" w14:textId="77777777" w:rsidTr="00436CD0">
        <w:trPr>
          <w:trHeight w:val="290"/>
        </w:trPr>
        <w:tc>
          <w:tcPr>
            <w:tcW w:w="915" w:type="pct"/>
            <w:tcBorders>
              <w:top w:val="nil"/>
              <w:left w:val="nil"/>
              <w:bottom w:val="nil"/>
              <w:right w:val="nil"/>
            </w:tcBorders>
            <w:shd w:val="clear" w:color="auto" w:fill="auto"/>
            <w:noWrap/>
            <w:hideMark/>
          </w:tcPr>
          <w:p w14:paraId="2F951FB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Mbar_A1427</w:t>
            </w:r>
          </w:p>
        </w:tc>
        <w:tc>
          <w:tcPr>
            <w:tcW w:w="3194" w:type="pct"/>
            <w:tcBorders>
              <w:top w:val="nil"/>
              <w:left w:val="nil"/>
              <w:bottom w:val="nil"/>
              <w:right w:val="nil"/>
            </w:tcBorders>
            <w:shd w:val="clear" w:color="auto" w:fill="auto"/>
            <w:noWrap/>
            <w:hideMark/>
          </w:tcPr>
          <w:p w14:paraId="06EEC38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L13</w:t>
            </w:r>
          </w:p>
        </w:tc>
        <w:tc>
          <w:tcPr>
            <w:tcW w:w="891" w:type="pct"/>
            <w:tcBorders>
              <w:top w:val="nil"/>
              <w:left w:val="nil"/>
              <w:bottom w:val="nil"/>
              <w:right w:val="nil"/>
            </w:tcBorders>
            <w:shd w:val="clear" w:color="auto" w:fill="auto"/>
            <w:noWrap/>
            <w:hideMark/>
          </w:tcPr>
          <w:p w14:paraId="10D05BF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6A464944" w14:textId="77777777" w:rsidTr="00436CD0">
        <w:trPr>
          <w:trHeight w:val="290"/>
        </w:trPr>
        <w:tc>
          <w:tcPr>
            <w:tcW w:w="915" w:type="pct"/>
            <w:tcBorders>
              <w:top w:val="nil"/>
              <w:left w:val="nil"/>
              <w:bottom w:val="nil"/>
              <w:right w:val="nil"/>
            </w:tcBorders>
            <w:shd w:val="clear" w:color="auto" w:fill="auto"/>
            <w:noWrap/>
            <w:hideMark/>
          </w:tcPr>
          <w:p w14:paraId="5D5367C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Mbar_A3686</w:t>
            </w:r>
          </w:p>
        </w:tc>
        <w:tc>
          <w:tcPr>
            <w:tcW w:w="3194" w:type="pct"/>
            <w:tcBorders>
              <w:top w:val="nil"/>
              <w:left w:val="nil"/>
              <w:bottom w:val="nil"/>
              <w:right w:val="nil"/>
            </w:tcBorders>
            <w:shd w:val="clear" w:color="auto" w:fill="auto"/>
            <w:noWrap/>
            <w:hideMark/>
          </w:tcPr>
          <w:p w14:paraId="63C0165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Elongation factor 2 </w:t>
            </w:r>
          </w:p>
        </w:tc>
        <w:tc>
          <w:tcPr>
            <w:tcW w:w="891" w:type="pct"/>
            <w:tcBorders>
              <w:top w:val="nil"/>
              <w:left w:val="nil"/>
              <w:bottom w:val="nil"/>
              <w:right w:val="nil"/>
            </w:tcBorders>
            <w:shd w:val="clear" w:color="auto" w:fill="auto"/>
            <w:noWrap/>
            <w:hideMark/>
          </w:tcPr>
          <w:p w14:paraId="5B26603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1.97</w:t>
            </w:r>
          </w:p>
        </w:tc>
      </w:tr>
      <w:tr w:rsidR="00436CD0" w:rsidRPr="00C44D8C" w14:paraId="425B993E" w14:textId="77777777" w:rsidTr="00436CD0">
        <w:trPr>
          <w:trHeight w:val="290"/>
        </w:trPr>
        <w:tc>
          <w:tcPr>
            <w:tcW w:w="915" w:type="pct"/>
            <w:tcBorders>
              <w:top w:val="nil"/>
              <w:left w:val="nil"/>
              <w:bottom w:val="nil"/>
              <w:right w:val="nil"/>
            </w:tcBorders>
            <w:shd w:val="clear" w:color="auto" w:fill="auto"/>
            <w:noWrap/>
            <w:hideMark/>
          </w:tcPr>
          <w:p w14:paraId="2575986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Mbar_A1569</w:t>
            </w:r>
          </w:p>
        </w:tc>
        <w:tc>
          <w:tcPr>
            <w:tcW w:w="3194" w:type="pct"/>
            <w:tcBorders>
              <w:top w:val="nil"/>
              <w:left w:val="nil"/>
              <w:bottom w:val="nil"/>
              <w:right w:val="nil"/>
            </w:tcBorders>
            <w:shd w:val="clear" w:color="auto" w:fill="auto"/>
            <w:noWrap/>
            <w:hideMark/>
          </w:tcPr>
          <w:p w14:paraId="2B63C9E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L44e</w:t>
            </w:r>
          </w:p>
        </w:tc>
        <w:tc>
          <w:tcPr>
            <w:tcW w:w="891" w:type="pct"/>
            <w:tcBorders>
              <w:top w:val="nil"/>
              <w:left w:val="nil"/>
              <w:bottom w:val="nil"/>
              <w:right w:val="nil"/>
            </w:tcBorders>
            <w:shd w:val="clear" w:color="auto" w:fill="auto"/>
            <w:noWrap/>
            <w:hideMark/>
          </w:tcPr>
          <w:p w14:paraId="2E45AF1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1.97</w:t>
            </w:r>
          </w:p>
        </w:tc>
      </w:tr>
      <w:tr w:rsidR="00436CD0" w:rsidRPr="00C44D8C" w14:paraId="559A8DBC" w14:textId="77777777" w:rsidTr="00436CD0">
        <w:trPr>
          <w:trHeight w:val="290"/>
        </w:trPr>
        <w:tc>
          <w:tcPr>
            <w:tcW w:w="915" w:type="pct"/>
            <w:tcBorders>
              <w:top w:val="nil"/>
              <w:left w:val="nil"/>
              <w:bottom w:val="nil"/>
              <w:right w:val="nil"/>
            </w:tcBorders>
            <w:shd w:val="clear" w:color="auto" w:fill="auto"/>
            <w:noWrap/>
            <w:hideMark/>
          </w:tcPr>
          <w:p w14:paraId="4F12B1B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Mbar_A3173</w:t>
            </w:r>
          </w:p>
        </w:tc>
        <w:tc>
          <w:tcPr>
            <w:tcW w:w="3194" w:type="pct"/>
            <w:tcBorders>
              <w:top w:val="nil"/>
              <w:left w:val="nil"/>
              <w:bottom w:val="nil"/>
              <w:right w:val="nil"/>
            </w:tcBorders>
            <w:shd w:val="clear" w:color="auto" w:fill="auto"/>
            <w:noWrap/>
            <w:hideMark/>
          </w:tcPr>
          <w:p w14:paraId="1B38C3A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Aspartate--tRNA(Asp/Asn) ligase </w:t>
            </w:r>
          </w:p>
        </w:tc>
        <w:tc>
          <w:tcPr>
            <w:tcW w:w="891" w:type="pct"/>
            <w:tcBorders>
              <w:top w:val="nil"/>
              <w:left w:val="nil"/>
              <w:bottom w:val="nil"/>
              <w:right w:val="nil"/>
            </w:tcBorders>
            <w:shd w:val="clear" w:color="auto" w:fill="auto"/>
            <w:noWrap/>
            <w:hideMark/>
          </w:tcPr>
          <w:p w14:paraId="6BB68F0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1.95</w:t>
            </w:r>
          </w:p>
        </w:tc>
      </w:tr>
      <w:tr w:rsidR="00436CD0" w:rsidRPr="00C44D8C" w14:paraId="4F86CF48" w14:textId="77777777" w:rsidTr="00436CD0">
        <w:trPr>
          <w:trHeight w:val="290"/>
        </w:trPr>
        <w:tc>
          <w:tcPr>
            <w:tcW w:w="915" w:type="pct"/>
            <w:tcBorders>
              <w:top w:val="nil"/>
              <w:left w:val="nil"/>
              <w:bottom w:val="nil"/>
              <w:right w:val="nil"/>
            </w:tcBorders>
            <w:shd w:val="clear" w:color="auto" w:fill="auto"/>
            <w:noWrap/>
            <w:hideMark/>
          </w:tcPr>
          <w:p w14:paraId="253C3F2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Mbar_A3688</w:t>
            </w:r>
          </w:p>
        </w:tc>
        <w:tc>
          <w:tcPr>
            <w:tcW w:w="3194" w:type="pct"/>
            <w:tcBorders>
              <w:top w:val="nil"/>
              <w:left w:val="nil"/>
              <w:bottom w:val="nil"/>
              <w:right w:val="nil"/>
            </w:tcBorders>
            <w:shd w:val="clear" w:color="auto" w:fill="auto"/>
            <w:noWrap/>
            <w:hideMark/>
          </w:tcPr>
          <w:p w14:paraId="134EF36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S12</w:t>
            </w:r>
          </w:p>
        </w:tc>
        <w:tc>
          <w:tcPr>
            <w:tcW w:w="891" w:type="pct"/>
            <w:tcBorders>
              <w:top w:val="nil"/>
              <w:left w:val="nil"/>
              <w:bottom w:val="nil"/>
              <w:right w:val="nil"/>
            </w:tcBorders>
            <w:shd w:val="clear" w:color="auto" w:fill="auto"/>
            <w:noWrap/>
            <w:hideMark/>
          </w:tcPr>
          <w:p w14:paraId="56DBF65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1.94</w:t>
            </w:r>
          </w:p>
        </w:tc>
      </w:tr>
      <w:tr w:rsidR="00436CD0" w:rsidRPr="00C44D8C" w14:paraId="2BDD3F48" w14:textId="77777777" w:rsidTr="00436CD0">
        <w:trPr>
          <w:trHeight w:val="290"/>
        </w:trPr>
        <w:tc>
          <w:tcPr>
            <w:tcW w:w="915" w:type="pct"/>
            <w:tcBorders>
              <w:top w:val="nil"/>
              <w:left w:val="nil"/>
              <w:bottom w:val="nil"/>
              <w:right w:val="nil"/>
            </w:tcBorders>
            <w:shd w:val="clear" w:color="auto" w:fill="auto"/>
            <w:noWrap/>
            <w:hideMark/>
          </w:tcPr>
          <w:p w14:paraId="01CAEF4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Mbar_A0615</w:t>
            </w:r>
          </w:p>
        </w:tc>
        <w:tc>
          <w:tcPr>
            <w:tcW w:w="3194" w:type="pct"/>
            <w:tcBorders>
              <w:top w:val="nil"/>
              <w:left w:val="nil"/>
              <w:bottom w:val="nil"/>
              <w:right w:val="nil"/>
            </w:tcBorders>
            <w:shd w:val="clear" w:color="auto" w:fill="auto"/>
            <w:noWrap/>
            <w:hideMark/>
          </w:tcPr>
          <w:p w14:paraId="614A1C6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L11</w:t>
            </w:r>
          </w:p>
        </w:tc>
        <w:tc>
          <w:tcPr>
            <w:tcW w:w="891" w:type="pct"/>
            <w:tcBorders>
              <w:top w:val="nil"/>
              <w:left w:val="nil"/>
              <w:bottom w:val="nil"/>
              <w:right w:val="nil"/>
            </w:tcBorders>
            <w:shd w:val="clear" w:color="auto" w:fill="auto"/>
            <w:noWrap/>
            <w:hideMark/>
          </w:tcPr>
          <w:p w14:paraId="7330A2A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1.92</w:t>
            </w:r>
          </w:p>
        </w:tc>
      </w:tr>
      <w:tr w:rsidR="00436CD0" w:rsidRPr="00C44D8C" w14:paraId="6471F2E4" w14:textId="77777777" w:rsidTr="00436CD0">
        <w:trPr>
          <w:trHeight w:val="290"/>
        </w:trPr>
        <w:tc>
          <w:tcPr>
            <w:tcW w:w="915" w:type="pct"/>
            <w:tcBorders>
              <w:top w:val="nil"/>
              <w:left w:val="nil"/>
              <w:bottom w:val="nil"/>
              <w:right w:val="nil"/>
            </w:tcBorders>
            <w:shd w:val="clear" w:color="auto" w:fill="auto"/>
            <w:noWrap/>
            <w:hideMark/>
          </w:tcPr>
          <w:p w14:paraId="61D179C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Mbar_A0105</w:t>
            </w:r>
          </w:p>
        </w:tc>
        <w:tc>
          <w:tcPr>
            <w:tcW w:w="3194" w:type="pct"/>
            <w:tcBorders>
              <w:top w:val="nil"/>
              <w:left w:val="nil"/>
              <w:bottom w:val="nil"/>
              <w:right w:val="nil"/>
            </w:tcBorders>
            <w:shd w:val="clear" w:color="auto" w:fill="auto"/>
            <w:noWrap/>
            <w:hideMark/>
          </w:tcPr>
          <w:p w14:paraId="3C3ACD1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L22</w:t>
            </w:r>
          </w:p>
        </w:tc>
        <w:tc>
          <w:tcPr>
            <w:tcW w:w="891" w:type="pct"/>
            <w:tcBorders>
              <w:top w:val="nil"/>
              <w:left w:val="nil"/>
              <w:bottom w:val="nil"/>
              <w:right w:val="nil"/>
            </w:tcBorders>
            <w:shd w:val="clear" w:color="auto" w:fill="auto"/>
            <w:noWrap/>
            <w:hideMark/>
          </w:tcPr>
          <w:p w14:paraId="36DA015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1.92</w:t>
            </w:r>
          </w:p>
        </w:tc>
      </w:tr>
      <w:tr w:rsidR="00436CD0" w:rsidRPr="00C44D8C" w14:paraId="448225DA" w14:textId="77777777" w:rsidTr="00436CD0">
        <w:trPr>
          <w:trHeight w:val="290"/>
        </w:trPr>
        <w:tc>
          <w:tcPr>
            <w:tcW w:w="915" w:type="pct"/>
            <w:tcBorders>
              <w:top w:val="nil"/>
              <w:left w:val="nil"/>
              <w:bottom w:val="nil"/>
              <w:right w:val="nil"/>
            </w:tcBorders>
            <w:shd w:val="clear" w:color="auto" w:fill="auto"/>
            <w:noWrap/>
            <w:hideMark/>
          </w:tcPr>
          <w:p w14:paraId="02800CF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Mbar_A0108</w:t>
            </w:r>
          </w:p>
        </w:tc>
        <w:tc>
          <w:tcPr>
            <w:tcW w:w="3194" w:type="pct"/>
            <w:tcBorders>
              <w:top w:val="nil"/>
              <w:left w:val="nil"/>
              <w:bottom w:val="nil"/>
              <w:right w:val="nil"/>
            </w:tcBorders>
            <w:shd w:val="clear" w:color="auto" w:fill="auto"/>
            <w:noWrap/>
            <w:hideMark/>
          </w:tcPr>
          <w:p w14:paraId="057D338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L23P</w:t>
            </w:r>
          </w:p>
        </w:tc>
        <w:tc>
          <w:tcPr>
            <w:tcW w:w="891" w:type="pct"/>
            <w:tcBorders>
              <w:top w:val="nil"/>
              <w:left w:val="nil"/>
              <w:bottom w:val="nil"/>
              <w:right w:val="nil"/>
            </w:tcBorders>
            <w:shd w:val="clear" w:color="auto" w:fill="auto"/>
            <w:noWrap/>
            <w:hideMark/>
          </w:tcPr>
          <w:p w14:paraId="2F2F4BF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1.91</w:t>
            </w:r>
          </w:p>
        </w:tc>
      </w:tr>
      <w:tr w:rsidR="00436CD0" w:rsidRPr="00C44D8C" w14:paraId="4FED55B3" w14:textId="77777777" w:rsidTr="00436CD0">
        <w:trPr>
          <w:trHeight w:val="290"/>
        </w:trPr>
        <w:tc>
          <w:tcPr>
            <w:tcW w:w="915" w:type="pct"/>
            <w:tcBorders>
              <w:top w:val="nil"/>
              <w:left w:val="nil"/>
              <w:bottom w:val="nil"/>
              <w:right w:val="nil"/>
            </w:tcBorders>
            <w:shd w:val="clear" w:color="auto" w:fill="auto"/>
            <w:noWrap/>
            <w:hideMark/>
          </w:tcPr>
          <w:p w14:paraId="4FF2F2B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Mbar_A3684</w:t>
            </w:r>
          </w:p>
        </w:tc>
        <w:tc>
          <w:tcPr>
            <w:tcW w:w="3194" w:type="pct"/>
            <w:tcBorders>
              <w:top w:val="nil"/>
              <w:left w:val="nil"/>
              <w:bottom w:val="nil"/>
              <w:right w:val="nil"/>
            </w:tcBorders>
            <w:shd w:val="clear" w:color="auto" w:fill="auto"/>
            <w:noWrap/>
            <w:hideMark/>
          </w:tcPr>
          <w:p w14:paraId="36559EB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S10</w:t>
            </w:r>
          </w:p>
        </w:tc>
        <w:tc>
          <w:tcPr>
            <w:tcW w:w="891" w:type="pct"/>
            <w:tcBorders>
              <w:top w:val="nil"/>
              <w:left w:val="nil"/>
              <w:bottom w:val="nil"/>
              <w:right w:val="nil"/>
            </w:tcBorders>
            <w:shd w:val="clear" w:color="auto" w:fill="auto"/>
            <w:noWrap/>
            <w:hideMark/>
          </w:tcPr>
          <w:p w14:paraId="0DB766B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1.89</w:t>
            </w:r>
          </w:p>
        </w:tc>
      </w:tr>
      <w:tr w:rsidR="00436CD0" w:rsidRPr="00C44D8C" w14:paraId="499BF425" w14:textId="77777777" w:rsidTr="00436CD0">
        <w:trPr>
          <w:trHeight w:val="290"/>
        </w:trPr>
        <w:tc>
          <w:tcPr>
            <w:tcW w:w="915" w:type="pct"/>
            <w:tcBorders>
              <w:top w:val="nil"/>
              <w:left w:val="nil"/>
              <w:bottom w:val="nil"/>
              <w:right w:val="nil"/>
            </w:tcBorders>
            <w:shd w:val="clear" w:color="auto" w:fill="auto"/>
            <w:noWrap/>
            <w:hideMark/>
          </w:tcPr>
          <w:p w14:paraId="5EFD833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Mbar_A0279</w:t>
            </w:r>
          </w:p>
        </w:tc>
        <w:tc>
          <w:tcPr>
            <w:tcW w:w="3194" w:type="pct"/>
            <w:tcBorders>
              <w:top w:val="nil"/>
              <w:left w:val="nil"/>
              <w:bottom w:val="nil"/>
              <w:right w:val="nil"/>
            </w:tcBorders>
            <w:shd w:val="clear" w:color="auto" w:fill="auto"/>
            <w:noWrap/>
            <w:hideMark/>
          </w:tcPr>
          <w:p w14:paraId="3EA021A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Probable bifunctional tRNA threonylcarbamoyladenosine biosynthesis protein </w:t>
            </w:r>
          </w:p>
        </w:tc>
        <w:tc>
          <w:tcPr>
            <w:tcW w:w="891" w:type="pct"/>
            <w:tcBorders>
              <w:top w:val="nil"/>
              <w:left w:val="nil"/>
              <w:bottom w:val="nil"/>
              <w:right w:val="nil"/>
            </w:tcBorders>
            <w:shd w:val="clear" w:color="auto" w:fill="auto"/>
            <w:noWrap/>
            <w:hideMark/>
          </w:tcPr>
          <w:p w14:paraId="203919B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3DD26789" w14:textId="77777777" w:rsidTr="00436CD0">
        <w:trPr>
          <w:trHeight w:val="290"/>
        </w:trPr>
        <w:tc>
          <w:tcPr>
            <w:tcW w:w="915" w:type="pct"/>
            <w:tcBorders>
              <w:top w:val="nil"/>
              <w:left w:val="nil"/>
              <w:bottom w:val="nil"/>
              <w:right w:val="nil"/>
            </w:tcBorders>
            <w:shd w:val="clear" w:color="auto" w:fill="auto"/>
            <w:noWrap/>
            <w:hideMark/>
          </w:tcPr>
          <w:p w14:paraId="7EF1FC8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Mbar_A2508</w:t>
            </w:r>
          </w:p>
        </w:tc>
        <w:tc>
          <w:tcPr>
            <w:tcW w:w="3194" w:type="pct"/>
            <w:tcBorders>
              <w:top w:val="nil"/>
              <w:left w:val="nil"/>
              <w:bottom w:val="nil"/>
              <w:right w:val="nil"/>
            </w:tcBorders>
            <w:shd w:val="clear" w:color="auto" w:fill="auto"/>
            <w:noWrap/>
            <w:hideMark/>
          </w:tcPr>
          <w:p w14:paraId="247236D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50S ribosomal protein L37Ae </w:t>
            </w:r>
          </w:p>
        </w:tc>
        <w:tc>
          <w:tcPr>
            <w:tcW w:w="891" w:type="pct"/>
            <w:tcBorders>
              <w:top w:val="nil"/>
              <w:left w:val="nil"/>
              <w:bottom w:val="nil"/>
              <w:right w:val="nil"/>
            </w:tcBorders>
            <w:shd w:val="clear" w:color="auto" w:fill="auto"/>
            <w:noWrap/>
            <w:hideMark/>
          </w:tcPr>
          <w:p w14:paraId="4CADACF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483F5362" w14:textId="77777777" w:rsidTr="00436CD0">
        <w:trPr>
          <w:trHeight w:val="290"/>
        </w:trPr>
        <w:tc>
          <w:tcPr>
            <w:tcW w:w="915" w:type="pct"/>
            <w:tcBorders>
              <w:top w:val="nil"/>
              <w:left w:val="nil"/>
              <w:bottom w:val="nil"/>
              <w:right w:val="nil"/>
            </w:tcBorders>
            <w:shd w:val="clear" w:color="auto" w:fill="auto"/>
            <w:noWrap/>
            <w:hideMark/>
          </w:tcPr>
          <w:p w14:paraId="4BDAD5C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Mbar_A1470</w:t>
            </w:r>
          </w:p>
        </w:tc>
        <w:tc>
          <w:tcPr>
            <w:tcW w:w="3194" w:type="pct"/>
            <w:tcBorders>
              <w:top w:val="nil"/>
              <w:left w:val="nil"/>
              <w:bottom w:val="nil"/>
              <w:right w:val="nil"/>
            </w:tcBorders>
            <w:shd w:val="clear" w:color="auto" w:fill="auto"/>
            <w:noWrap/>
            <w:hideMark/>
          </w:tcPr>
          <w:p w14:paraId="2546FE9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Glutamate--tRNA ligase </w:t>
            </w:r>
          </w:p>
        </w:tc>
        <w:tc>
          <w:tcPr>
            <w:tcW w:w="891" w:type="pct"/>
            <w:tcBorders>
              <w:top w:val="nil"/>
              <w:left w:val="nil"/>
              <w:bottom w:val="nil"/>
              <w:right w:val="nil"/>
            </w:tcBorders>
            <w:shd w:val="clear" w:color="auto" w:fill="auto"/>
            <w:noWrap/>
            <w:hideMark/>
          </w:tcPr>
          <w:p w14:paraId="2FA0D60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1.87</w:t>
            </w:r>
          </w:p>
        </w:tc>
      </w:tr>
      <w:tr w:rsidR="00436CD0" w:rsidRPr="00C44D8C" w14:paraId="277F82E6" w14:textId="77777777" w:rsidTr="00436CD0">
        <w:trPr>
          <w:trHeight w:val="290"/>
        </w:trPr>
        <w:tc>
          <w:tcPr>
            <w:tcW w:w="915" w:type="pct"/>
            <w:tcBorders>
              <w:top w:val="nil"/>
              <w:left w:val="nil"/>
              <w:bottom w:val="nil"/>
              <w:right w:val="nil"/>
            </w:tcBorders>
            <w:shd w:val="clear" w:color="auto" w:fill="auto"/>
            <w:noWrap/>
            <w:hideMark/>
          </w:tcPr>
          <w:p w14:paraId="406EC11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Mbar_A0100</w:t>
            </w:r>
          </w:p>
        </w:tc>
        <w:tc>
          <w:tcPr>
            <w:tcW w:w="3194" w:type="pct"/>
            <w:tcBorders>
              <w:top w:val="nil"/>
              <w:left w:val="nil"/>
              <w:bottom w:val="nil"/>
              <w:right w:val="nil"/>
            </w:tcBorders>
            <w:shd w:val="clear" w:color="auto" w:fill="auto"/>
            <w:noWrap/>
            <w:hideMark/>
          </w:tcPr>
          <w:p w14:paraId="73F1D40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L14</w:t>
            </w:r>
          </w:p>
        </w:tc>
        <w:tc>
          <w:tcPr>
            <w:tcW w:w="891" w:type="pct"/>
            <w:tcBorders>
              <w:top w:val="nil"/>
              <w:left w:val="nil"/>
              <w:bottom w:val="nil"/>
              <w:right w:val="nil"/>
            </w:tcBorders>
            <w:shd w:val="clear" w:color="auto" w:fill="auto"/>
            <w:noWrap/>
            <w:hideMark/>
          </w:tcPr>
          <w:p w14:paraId="1F5F565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1.87</w:t>
            </w:r>
          </w:p>
        </w:tc>
      </w:tr>
      <w:tr w:rsidR="00436CD0" w:rsidRPr="00C44D8C" w14:paraId="3B3051F9" w14:textId="77777777" w:rsidTr="00436CD0">
        <w:trPr>
          <w:trHeight w:val="290"/>
        </w:trPr>
        <w:tc>
          <w:tcPr>
            <w:tcW w:w="915" w:type="pct"/>
            <w:tcBorders>
              <w:top w:val="nil"/>
              <w:left w:val="nil"/>
              <w:bottom w:val="nil"/>
              <w:right w:val="nil"/>
            </w:tcBorders>
            <w:shd w:val="clear" w:color="auto" w:fill="auto"/>
            <w:noWrap/>
            <w:hideMark/>
          </w:tcPr>
          <w:p w14:paraId="61CD75B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Mbar_A0109</w:t>
            </w:r>
          </w:p>
        </w:tc>
        <w:tc>
          <w:tcPr>
            <w:tcW w:w="3194" w:type="pct"/>
            <w:tcBorders>
              <w:top w:val="nil"/>
              <w:left w:val="nil"/>
              <w:bottom w:val="nil"/>
              <w:right w:val="nil"/>
            </w:tcBorders>
            <w:shd w:val="clear" w:color="auto" w:fill="auto"/>
            <w:noWrap/>
            <w:hideMark/>
          </w:tcPr>
          <w:p w14:paraId="222AB8B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L4</w:t>
            </w:r>
          </w:p>
        </w:tc>
        <w:tc>
          <w:tcPr>
            <w:tcW w:w="891" w:type="pct"/>
            <w:tcBorders>
              <w:top w:val="nil"/>
              <w:left w:val="nil"/>
              <w:bottom w:val="nil"/>
              <w:right w:val="nil"/>
            </w:tcBorders>
            <w:shd w:val="clear" w:color="auto" w:fill="auto"/>
            <w:noWrap/>
            <w:hideMark/>
          </w:tcPr>
          <w:p w14:paraId="5BFE05C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709E90EA" w14:textId="77777777" w:rsidTr="00436CD0">
        <w:trPr>
          <w:trHeight w:val="290"/>
        </w:trPr>
        <w:tc>
          <w:tcPr>
            <w:tcW w:w="915" w:type="pct"/>
            <w:tcBorders>
              <w:top w:val="nil"/>
              <w:left w:val="nil"/>
              <w:bottom w:val="nil"/>
              <w:right w:val="nil"/>
            </w:tcBorders>
            <w:shd w:val="clear" w:color="auto" w:fill="auto"/>
            <w:noWrap/>
            <w:hideMark/>
          </w:tcPr>
          <w:p w14:paraId="47C59D8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Mbar_A0613</w:t>
            </w:r>
          </w:p>
        </w:tc>
        <w:tc>
          <w:tcPr>
            <w:tcW w:w="3194" w:type="pct"/>
            <w:tcBorders>
              <w:top w:val="nil"/>
              <w:left w:val="nil"/>
              <w:bottom w:val="nil"/>
              <w:right w:val="nil"/>
            </w:tcBorders>
            <w:shd w:val="clear" w:color="auto" w:fill="auto"/>
            <w:noWrap/>
            <w:hideMark/>
          </w:tcPr>
          <w:p w14:paraId="0338A58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50S ribosomal protein L10 </w:t>
            </w:r>
          </w:p>
        </w:tc>
        <w:tc>
          <w:tcPr>
            <w:tcW w:w="891" w:type="pct"/>
            <w:tcBorders>
              <w:top w:val="nil"/>
              <w:left w:val="nil"/>
              <w:bottom w:val="nil"/>
              <w:right w:val="nil"/>
            </w:tcBorders>
            <w:shd w:val="clear" w:color="auto" w:fill="auto"/>
            <w:noWrap/>
            <w:hideMark/>
          </w:tcPr>
          <w:p w14:paraId="2F33C87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41B5B366" w14:textId="77777777" w:rsidTr="00436CD0">
        <w:trPr>
          <w:trHeight w:val="290"/>
        </w:trPr>
        <w:tc>
          <w:tcPr>
            <w:tcW w:w="915" w:type="pct"/>
            <w:tcBorders>
              <w:top w:val="nil"/>
              <w:left w:val="nil"/>
              <w:bottom w:val="nil"/>
              <w:right w:val="nil"/>
            </w:tcBorders>
            <w:shd w:val="clear" w:color="auto" w:fill="auto"/>
            <w:noWrap/>
            <w:hideMark/>
          </w:tcPr>
          <w:p w14:paraId="0E2A526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Mbar_A0971</w:t>
            </w:r>
          </w:p>
        </w:tc>
        <w:tc>
          <w:tcPr>
            <w:tcW w:w="3194" w:type="pct"/>
            <w:tcBorders>
              <w:top w:val="nil"/>
              <w:left w:val="nil"/>
              <w:bottom w:val="nil"/>
              <w:right w:val="nil"/>
            </w:tcBorders>
            <w:shd w:val="clear" w:color="auto" w:fill="auto"/>
            <w:noWrap/>
            <w:hideMark/>
          </w:tcPr>
          <w:p w14:paraId="08A6FFF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Translation elongation factor</w:t>
            </w:r>
          </w:p>
        </w:tc>
        <w:tc>
          <w:tcPr>
            <w:tcW w:w="891" w:type="pct"/>
            <w:tcBorders>
              <w:top w:val="nil"/>
              <w:left w:val="nil"/>
              <w:bottom w:val="nil"/>
              <w:right w:val="nil"/>
            </w:tcBorders>
            <w:shd w:val="clear" w:color="auto" w:fill="auto"/>
            <w:noWrap/>
            <w:hideMark/>
          </w:tcPr>
          <w:p w14:paraId="09B6B7C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4561B216" w14:textId="77777777" w:rsidTr="00436CD0">
        <w:trPr>
          <w:trHeight w:val="290"/>
        </w:trPr>
        <w:tc>
          <w:tcPr>
            <w:tcW w:w="915" w:type="pct"/>
            <w:tcBorders>
              <w:top w:val="nil"/>
              <w:left w:val="nil"/>
              <w:bottom w:val="nil"/>
              <w:right w:val="nil"/>
            </w:tcBorders>
            <w:shd w:val="clear" w:color="auto" w:fill="auto"/>
            <w:noWrap/>
            <w:hideMark/>
          </w:tcPr>
          <w:p w14:paraId="72B022E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Mbar_A2092</w:t>
            </w:r>
          </w:p>
        </w:tc>
        <w:tc>
          <w:tcPr>
            <w:tcW w:w="3194" w:type="pct"/>
            <w:tcBorders>
              <w:top w:val="nil"/>
              <w:left w:val="nil"/>
              <w:bottom w:val="nil"/>
              <w:right w:val="nil"/>
            </w:tcBorders>
            <w:shd w:val="clear" w:color="auto" w:fill="auto"/>
            <w:noWrap/>
            <w:hideMark/>
          </w:tcPr>
          <w:p w14:paraId="6A38B3E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Alanyl-tRNA editing protein AlaX-M </w:t>
            </w:r>
          </w:p>
        </w:tc>
        <w:tc>
          <w:tcPr>
            <w:tcW w:w="891" w:type="pct"/>
            <w:tcBorders>
              <w:top w:val="nil"/>
              <w:left w:val="nil"/>
              <w:bottom w:val="nil"/>
              <w:right w:val="nil"/>
            </w:tcBorders>
            <w:shd w:val="clear" w:color="auto" w:fill="auto"/>
            <w:noWrap/>
            <w:hideMark/>
          </w:tcPr>
          <w:p w14:paraId="1C5A0AE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1.83</w:t>
            </w:r>
          </w:p>
        </w:tc>
      </w:tr>
      <w:tr w:rsidR="00436CD0" w:rsidRPr="00C44D8C" w14:paraId="4285B940" w14:textId="77777777" w:rsidTr="00436CD0">
        <w:trPr>
          <w:trHeight w:val="290"/>
        </w:trPr>
        <w:tc>
          <w:tcPr>
            <w:tcW w:w="915" w:type="pct"/>
            <w:tcBorders>
              <w:top w:val="nil"/>
              <w:left w:val="nil"/>
              <w:bottom w:val="nil"/>
              <w:right w:val="nil"/>
            </w:tcBorders>
            <w:shd w:val="clear" w:color="auto" w:fill="auto"/>
            <w:noWrap/>
            <w:hideMark/>
          </w:tcPr>
          <w:p w14:paraId="4FF9D23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Mbar_A2048</w:t>
            </w:r>
          </w:p>
        </w:tc>
        <w:tc>
          <w:tcPr>
            <w:tcW w:w="3194" w:type="pct"/>
            <w:tcBorders>
              <w:top w:val="nil"/>
              <w:left w:val="nil"/>
              <w:bottom w:val="nil"/>
              <w:right w:val="nil"/>
            </w:tcBorders>
            <w:shd w:val="clear" w:color="auto" w:fill="auto"/>
            <w:noWrap/>
            <w:hideMark/>
          </w:tcPr>
          <w:p w14:paraId="3E02EBE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Leucine--tRNA ligase </w:t>
            </w:r>
          </w:p>
        </w:tc>
        <w:tc>
          <w:tcPr>
            <w:tcW w:w="891" w:type="pct"/>
            <w:tcBorders>
              <w:top w:val="nil"/>
              <w:left w:val="nil"/>
              <w:bottom w:val="nil"/>
              <w:right w:val="nil"/>
            </w:tcBorders>
            <w:shd w:val="clear" w:color="auto" w:fill="auto"/>
            <w:noWrap/>
            <w:hideMark/>
          </w:tcPr>
          <w:p w14:paraId="1121389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1.83</w:t>
            </w:r>
          </w:p>
        </w:tc>
      </w:tr>
      <w:tr w:rsidR="00436CD0" w:rsidRPr="00C44D8C" w14:paraId="6A06926A" w14:textId="77777777" w:rsidTr="00436CD0">
        <w:trPr>
          <w:trHeight w:val="290"/>
        </w:trPr>
        <w:tc>
          <w:tcPr>
            <w:tcW w:w="915" w:type="pct"/>
            <w:tcBorders>
              <w:top w:val="nil"/>
              <w:left w:val="nil"/>
              <w:bottom w:val="nil"/>
              <w:right w:val="nil"/>
            </w:tcBorders>
            <w:shd w:val="clear" w:color="auto" w:fill="auto"/>
            <w:noWrap/>
            <w:hideMark/>
          </w:tcPr>
          <w:p w14:paraId="1F209A6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Mbar_A3388</w:t>
            </w:r>
          </w:p>
        </w:tc>
        <w:tc>
          <w:tcPr>
            <w:tcW w:w="3194" w:type="pct"/>
            <w:tcBorders>
              <w:top w:val="nil"/>
              <w:left w:val="nil"/>
              <w:bottom w:val="nil"/>
              <w:right w:val="nil"/>
            </w:tcBorders>
            <w:shd w:val="clear" w:color="auto" w:fill="auto"/>
            <w:noWrap/>
            <w:hideMark/>
          </w:tcPr>
          <w:p w14:paraId="40D0263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L7Ae</w:t>
            </w:r>
          </w:p>
        </w:tc>
        <w:tc>
          <w:tcPr>
            <w:tcW w:w="891" w:type="pct"/>
            <w:tcBorders>
              <w:top w:val="nil"/>
              <w:left w:val="nil"/>
              <w:bottom w:val="nil"/>
              <w:right w:val="nil"/>
            </w:tcBorders>
            <w:shd w:val="clear" w:color="auto" w:fill="auto"/>
            <w:noWrap/>
            <w:hideMark/>
          </w:tcPr>
          <w:p w14:paraId="0C5668F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1.82</w:t>
            </w:r>
          </w:p>
        </w:tc>
      </w:tr>
      <w:tr w:rsidR="00436CD0" w:rsidRPr="00C44D8C" w14:paraId="77D18649" w14:textId="77777777" w:rsidTr="00436CD0">
        <w:trPr>
          <w:trHeight w:val="290"/>
        </w:trPr>
        <w:tc>
          <w:tcPr>
            <w:tcW w:w="915" w:type="pct"/>
            <w:tcBorders>
              <w:top w:val="nil"/>
              <w:left w:val="nil"/>
              <w:bottom w:val="nil"/>
              <w:right w:val="nil"/>
            </w:tcBorders>
            <w:shd w:val="clear" w:color="auto" w:fill="auto"/>
            <w:noWrap/>
            <w:hideMark/>
          </w:tcPr>
          <w:p w14:paraId="192BEAE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Mbar_A1507</w:t>
            </w:r>
          </w:p>
        </w:tc>
        <w:tc>
          <w:tcPr>
            <w:tcW w:w="3194" w:type="pct"/>
            <w:tcBorders>
              <w:top w:val="nil"/>
              <w:left w:val="nil"/>
              <w:bottom w:val="nil"/>
              <w:right w:val="nil"/>
            </w:tcBorders>
            <w:shd w:val="clear" w:color="auto" w:fill="auto"/>
            <w:noWrap/>
            <w:hideMark/>
          </w:tcPr>
          <w:p w14:paraId="44DFD6E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Lysine--tRNA ligase </w:t>
            </w:r>
          </w:p>
        </w:tc>
        <w:tc>
          <w:tcPr>
            <w:tcW w:w="891" w:type="pct"/>
            <w:tcBorders>
              <w:top w:val="nil"/>
              <w:left w:val="nil"/>
              <w:bottom w:val="nil"/>
              <w:right w:val="nil"/>
            </w:tcBorders>
            <w:shd w:val="clear" w:color="auto" w:fill="auto"/>
            <w:noWrap/>
            <w:hideMark/>
          </w:tcPr>
          <w:p w14:paraId="5A43D86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1.82</w:t>
            </w:r>
          </w:p>
        </w:tc>
      </w:tr>
      <w:tr w:rsidR="00436CD0" w:rsidRPr="00C44D8C" w14:paraId="5E64F612" w14:textId="77777777" w:rsidTr="00436CD0">
        <w:trPr>
          <w:trHeight w:val="290"/>
        </w:trPr>
        <w:tc>
          <w:tcPr>
            <w:tcW w:w="915" w:type="pct"/>
            <w:tcBorders>
              <w:top w:val="nil"/>
              <w:left w:val="nil"/>
              <w:bottom w:val="nil"/>
              <w:right w:val="nil"/>
            </w:tcBorders>
            <w:shd w:val="clear" w:color="auto" w:fill="auto"/>
            <w:noWrap/>
            <w:hideMark/>
          </w:tcPr>
          <w:p w14:paraId="3C19986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Mbar_A0460</w:t>
            </w:r>
          </w:p>
        </w:tc>
        <w:tc>
          <w:tcPr>
            <w:tcW w:w="3194" w:type="pct"/>
            <w:tcBorders>
              <w:top w:val="nil"/>
              <w:left w:val="nil"/>
              <w:bottom w:val="nil"/>
              <w:right w:val="nil"/>
            </w:tcBorders>
            <w:shd w:val="clear" w:color="auto" w:fill="auto"/>
            <w:noWrap/>
            <w:hideMark/>
          </w:tcPr>
          <w:p w14:paraId="3CF97BD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50S ribosomal protein L18Ae </w:t>
            </w:r>
          </w:p>
        </w:tc>
        <w:tc>
          <w:tcPr>
            <w:tcW w:w="891" w:type="pct"/>
            <w:tcBorders>
              <w:top w:val="nil"/>
              <w:left w:val="nil"/>
              <w:bottom w:val="nil"/>
              <w:right w:val="nil"/>
            </w:tcBorders>
            <w:shd w:val="clear" w:color="auto" w:fill="auto"/>
            <w:noWrap/>
            <w:hideMark/>
          </w:tcPr>
          <w:p w14:paraId="4A0FE22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1.81</w:t>
            </w:r>
          </w:p>
        </w:tc>
      </w:tr>
      <w:tr w:rsidR="00436CD0" w:rsidRPr="00C44D8C" w14:paraId="07754C59" w14:textId="77777777" w:rsidTr="00436CD0">
        <w:trPr>
          <w:trHeight w:val="290"/>
        </w:trPr>
        <w:tc>
          <w:tcPr>
            <w:tcW w:w="915" w:type="pct"/>
            <w:tcBorders>
              <w:top w:val="nil"/>
              <w:left w:val="nil"/>
              <w:bottom w:val="nil"/>
              <w:right w:val="nil"/>
            </w:tcBorders>
            <w:shd w:val="clear" w:color="auto" w:fill="auto"/>
            <w:noWrap/>
            <w:hideMark/>
          </w:tcPr>
          <w:p w14:paraId="6240F7F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Mbar_A1976</w:t>
            </w:r>
          </w:p>
        </w:tc>
        <w:tc>
          <w:tcPr>
            <w:tcW w:w="3194" w:type="pct"/>
            <w:tcBorders>
              <w:top w:val="nil"/>
              <w:left w:val="nil"/>
              <w:bottom w:val="nil"/>
              <w:right w:val="nil"/>
            </w:tcBorders>
            <w:shd w:val="clear" w:color="auto" w:fill="auto"/>
            <w:noWrap/>
            <w:hideMark/>
          </w:tcPr>
          <w:p w14:paraId="7174A58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Valine--tRNA ligase </w:t>
            </w:r>
          </w:p>
        </w:tc>
        <w:tc>
          <w:tcPr>
            <w:tcW w:w="891" w:type="pct"/>
            <w:tcBorders>
              <w:top w:val="nil"/>
              <w:left w:val="nil"/>
              <w:bottom w:val="nil"/>
              <w:right w:val="nil"/>
            </w:tcBorders>
            <w:shd w:val="clear" w:color="auto" w:fill="auto"/>
            <w:noWrap/>
            <w:hideMark/>
          </w:tcPr>
          <w:p w14:paraId="22FE0E3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1.80</w:t>
            </w:r>
          </w:p>
        </w:tc>
      </w:tr>
      <w:tr w:rsidR="00436CD0" w:rsidRPr="00C44D8C" w14:paraId="4A6E482F" w14:textId="77777777" w:rsidTr="00436CD0">
        <w:trPr>
          <w:trHeight w:val="290"/>
        </w:trPr>
        <w:tc>
          <w:tcPr>
            <w:tcW w:w="915" w:type="pct"/>
            <w:tcBorders>
              <w:top w:val="nil"/>
              <w:left w:val="nil"/>
              <w:bottom w:val="nil"/>
              <w:right w:val="nil"/>
            </w:tcBorders>
            <w:shd w:val="clear" w:color="auto" w:fill="auto"/>
            <w:noWrap/>
            <w:hideMark/>
          </w:tcPr>
          <w:p w14:paraId="39FEB46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Mbar_A0107</w:t>
            </w:r>
          </w:p>
        </w:tc>
        <w:tc>
          <w:tcPr>
            <w:tcW w:w="3194" w:type="pct"/>
            <w:tcBorders>
              <w:top w:val="nil"/>
              <w:left w:val="nil"/>
              <w:bottom w:val="nil"/>
              <w:right w:val="nil"/>
            </w:tcBorders>
            <w:shd w:val="clear" w:color="auto" w:fill="auto"/>
            <w:noWrap/>
            <w:hideMark/>
          </w:tcPr>
          <w:p w14:paraId="7B5C4EA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L2</w:t>
            </w:r>
          </w:p>
        </w:tc>
        <w:tc>
          <w:tcPr>
            <w:tcW w:w="891" w:type="pct"/>
            <w:tcBorders>
              <w:top w:val="nil"/>
              <w:left w:val="nil"/>
              <w:bottom w:val="nil"/>
              <w:right w:val="nil"/>
            </w:tcBorders>
            <w:shd w:val="clear" w:color="auto" w:fill="auto"/>
            <w:noWrap/>
            <w:hideMark/>
          </w:tcPr>
          <w:p w14:paraId="1F42381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1.80</w:t>
            </w:r>
          </w:p>
        </w:tc>
      </w:tr>
      <w:tr w:rsidR="00436CD0" w:rsidRPr="00C44D8C" w14:paraId="6C6F6064" w14:textId="77777777" w:rsidTr="00436CD0">
        <w:trPr>
          <w:trHeight w:val="290"/>
        </w:trPr>
        <w:tc>
          <w:tcPr>
            <w:tcW w:w="915" w:type="pct"/>
            <w:tcBorders>
              <w:top w:val="nil"/>
              <w:left w:val="nil"/>
              <w:bottom w:val="nil"/>
              <w:right w:val="nil"/>
            </w:tcBorders>
            <w:shd w:val="clear" w:color="auto" w:fill="auto"/>
            <w:noWrap/>
            <w:hideMark/>
          </w:tcPr>
          <w:p w14:paraId="03D402A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Mbar_A3465</w:t>
            </w:r>
          </w:p>
        </w:tc>
        <w:tc>
          <w:tcPr>
            <w:tcW w:w="3194" w:type="pct"/>
            <w:tcBorders>
              <w:top w:val="nil"/>
              <w:left w:val="nil"/>
              <w:bottom w:val="nil"/>
              <w:right w:val="nil"/>
            </w:tcBorders>
            <w:shd w:val="clear" w:color="auto" w:fill="auto"/>
            <w:noWrap/>
            <w:hideMark/>
          </w:tcPr>
          <w:p w14:paraId="7776706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S8e</w:t>
            </w:r>
          </w:p>
        </w:tc>
        <w:tc>
          <w:tcPr>
            <w:tcW w:w="891" w:type="pct"/>
            <w:tcBorders>
              <w:top w:val="nil"/>
              <w:left w:val="nil"/>
              <w:bottom w:val="nil"/>
              <w:right w:val="nil"/>
            </w:tcBorders>
            <w:shd w:val="clear" w:color="auto" w:fill="auto"/>
            <w:noWrap/>
            <w:hideMark/>
          </w:tcPr>
          <w:p w14:paraId="15C2C79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3A7ABBEB" w14:textId="77777777" w:rsidTr="00436CD0">
        <w:trPr>
          <w:trHeight w:val="290"/>
        </w:trPr>
        <w:tc>
          <w:tcPr>
            <w:tcW w:w="915" w:type="pct"/>
            <w:tcBorders>
              <w:top w:val="nil"/>
              <w:left w:val="nil"/>
              <w:bottom w:val="nil"/>
              <w:right w:val="nil"/>
            </w:tcBorders>
            <w:shd w:val="clear" w:color="auto" w:fill="auto"/>
            <w:noWrap/>
            <w:hideMark/>
          </w:tcPr>
          <w:p w14:paraId="07D1BE3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Mbar_A1745</w:t>
            </w:r>
          </w:p>
        </w:tc>
        <w:tc>
          <w:tcPr>
            <w:tcW w:w="3194" w:type="pct"/>
            <w:tcBorders>
              <w:top w:val="nil"/>
              <w:left w:val="nil"/>
              <w:bottom w:val="nil"/>
              <w:right w:val="nil"/>
            </w:tcBorders>
            <w:shd w:val="clear" w:color="auto" w:fill="auto"/>
            <w:noWrap/>
            <w:hideMark/>
          </w:tcPr>
          <w:p w14:paraId="1479F39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Tyrosine--tRNA ligase </w:t>
            </w:r>
          </w:p>
        </w:tc>
        <w:tc>
          <w:tcPr>
            <w:tcW w:w="891" w:type="pct"/>
            <w:tcBorders>
              <w:top w:val="nil"/>
              <w:left w:val="nil"/>
              <w:bottom w:val="nil"/>
              <w:right w:val="nil"/>
            </w:tcBorders>
            <w:shd w:val="clear" w:color="auto" w:fill="auto"/>
            <w:noWrap/>
            <w:hideMark/>
          </w:tcPr>
          <w:p w14:paraId="258355A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03922B05" w14:textId="77777777" w:rsidTr="00436CD0">
        <w:trPr>
          <w:trHeight w:val="290"/>
        </w:trPr>
        <w:tc>
          <w:tcPr>
            <w:tcW w:w="915" w:type="pct"/>
            <w:tcBorders>
              <w:top w:val="nil"/>
              <w:left w:val="nil"/>
              <w:bottom w:val="nil"/>
              <w:right w:val="nil"/>
            </w:tcBorders>
            <w:shd w:val="clear" w:color="auto" w:fill="auto"/>
            <w:noWrap/>
            <w:hideMark/>
          </w:tcPr>
          <w:p w14:paraId="1187F9B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Mbar_A3230</w:t>
            </w:r>
          </w:p>
        </w:tc>
        <w:tc>
          <w:tcPr>
            <w:tcW w:w="3194" w:type="pct"/>
            <w:tcBorders>
              <w:top w:val="nil"/>
              <w:left w:val="nil"/>
              <w:bottom w:val="nil"/>
              <w:right w:val="nil"/>
            </w:tcBorders>
            <w:shd w:val="clear" w:color="auto" w:fill="auto"/>
            <w:noWrap/>
            <w:hideMark/>
          </w:tcPr>
          <w:p w14:paraId="2882D48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tRNA pseudouridine synthase Pus10 </w:t>
            </w:r>
          </w:p>
        </w:tc>
        <w:tc>
          <w:tcPr>
            <w:tcW w:w="891" w:type="pct"/>
            <w:tcBorders>
              <w:top w:val="nil"/>
              <w:left w:val="nil"/>
              <w:bottom w:val="nil"/>
              <w:right w:val="nil"/>
            </w:tcBorders>
            <w:shd w:val="clear" w:color="auto" w:fill="auto"/>
            <w:noWrap/>
            <w:hideMark/>
          </w:tcPr>
          <w:p w14:paraId="3E2098C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1.78</w:t>
            </w:r>
          </w:p>
        </w:tc>
      </w:tr>
      <w:tr w:rsidR="00436CD0" w:rsidRPr="00C44D8C" w14:paraId="00D51788" w14:textId="77777777" w:rsidTr="00436CD0">
        <w:trPr>
          <w:trHeight w:val="290"/>
        </w:trPr>
        <w:tc>
          <w:tcPr>
            <w:tcW w:w="915" w:type="pct"/>
            <w:tcBorders>
              <w:top w:val="nil"/>
              <w:left w:val="nil"/>
              <w:bottom w:val="nil"/>
              <w:right w:val="nil"/>
            </w:tcBorders>
            <w:shd w:val="clear" w:color="auto" w:fill="auto"/>
            <w:noWrap/>
            <w:hideMark/>
          </w:tcPr>
          <w:p w14:paraId="198903A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Mbar_A3260</w:t>
            </w:r>
          </w:p>
        </w:tc>
        <w:tc>
          <w:tcPr>
            <w:tcW w:w="3194" w:type="pct"/>
            <w:tcBorders>
              <w:top w:val="nil"/>
              <w:left w:val="nil"/>
              <w:bottom w:val="nil"/>
              <w:right w:val="nil"/>
            </w:tcBorders>
            <w:shd w:val="clear" w:color="auto" w:fill="auto"/>
            <w:noWrap/>
            <w:hideMark/>
          </w:tcPr>
          <w:p w14:paraId="385F1223" w14:textId="77777777" w:rsidR="00436CD0" w:rsidRPr="00C44D8C" w:rsidRDefault="00436CD0" w:rsidP="00436CD0">
            <w:pPr>
              <w:rPr>
                <w:rFonts w:asciiTheme="minorHAnsi" w:hAnsiTheme="minorHAnsi"/>
                <w:color w:val="000000"/>
                <w:sz w:val="22"/>
                <w:szCs w:val="22"/>
                <w:lang w:val="pt-PT" w:eastAsia="en-GB"/>
              </w:rPr>
            </w:pPr>
            <w:r w:rsidRPr="00C44D8C">
              <w:rPr>
                <w:rFonts w:asciiTheme="minorHAnsi" w:hAnsiTheme="minorHAnsi"/>
                <w:color w:val="000000"/>
                <w:sz w:val="22"/>
                <w:szCs w:val="22"/>
                <w:lang w:val="pt-PT" w:eastAsia="en-GB"/>
              </w:rPr>
              <w:t xml:space="preserve">Ribosomal RNA large subunit methyltransferase E </w:t>
            </w:r>
          </w:p>
        </w:tc>
        <w:tc>
          <w:tcPr>
            <w:tcW w:w="891" w:type="pct"/>
            <w:tcBorders>
              <w:top w:val="nil"/>
              <w:left w:val="nil"/>
              <w:bottom w:val="nil"/>
              <w:right w:val="nil"/>
            </w:tcBorders>
            <w:shd w:val="clear" w:color="auto" w:fill="auto"/>
            <w:noWrap/>
            <w:hideMark/>
          </w:tcPr>
          <w:p w14:paraId="3247A01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1.77</w:t>
            </w:r>
          </w:p>
        </w:tc>
      </w:tr>
      <w:tr w:rsidR="00436CD0" w:rsidRPr="00C44D8C" w14:paraId="3C1C56BD" w14:textId="77777777" w:rsidTr="00436CD0">
        <w:trPr>
          <w:trHeight w:val="290"/>
        </w:trPr>
        <w:tc>
          <w:tcPr>
            <w:tcW w:w="915" w:type="pct"/>
            <w:tcBorders>
              <w:top w:val="nil"/>
              <w:left w:val="nil"/>
              <w:bottom w:val="nil"/>
              <w:right w:val="nil"/>
            </w:tcBorders>
            <w:shd w:val="clear" w:color="auto" w:fill="auto"/>
            <w:noWrap/>
            <w:hideMark/>
          </w:tcPr>
          <w:p w14:paraId="09F45DF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Mbar_A3387</w:t>
            </w:r>
          </w:p>
        </w:tc>
        <w:tc>
          <w:tcPr>
            <w:tcW w:w="3194" w:type="pct"/>
            <w:tcBorders>
              <w:top w:val="nil"/>
              <w:left w:val="nil"/>
              <w:bottom w:val="nil"/>
              <w:right w:val="nil"/>
            </w:tcBorders>
            <w:shd w:val="clear" w:color="auto" w:fill="auto"/>
            <w:noWrap/>
            <w:hideMark/>
          </w:tcPr>
          <w:p w14:paraId="7EC601A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S28e</w:t>
            </w:r>
          </w:p>
        </w:tc>
        <w:tc>
          <w:tcPr>
            <w:tcW w:w="891" w:type="pct"/>
            <w:tcBorders>
              <w:top w:val="nil"/>
              <w:left w:val="nil"/>
              <w:bottom w:val="nil"/>
              <w:right w:val="nil"/>
            </w:tcBorders>
            <w:shd w:val="clear" w:color="auto" w:fill="auto"/>
            <w:noWrap/>
            <w:hideMark/>
          </w:tcPr>
          <w:p w14:paraId="0D3B6EF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1.77</w:t>
            </w:r>
          </w:p>
        </w:tc>
      </w:tr>
      <w:tr w:rsidR="00436CD0" w:rsidRPr="00C44D8C" w14:paraId="15833226" w14:textId="77777777" w:rsidTr="00436CD0">
        <w:trPr>
          <w:trHeight w:val="290"/>
        </w:trPr>
        <w:tc>
          <w:tcPr>
            <w:tcW w:w="915" w:type="pct"/>
            <w:tcBorders>
              <w:top w:val="nil"/>
              <w:left w:val="nil"/>
              <w:bottom w:val="nil"/>
              <w:right w:val="nil"/>
            </w:tcBorders>
            <w:shd w:val="clear" w:color="auto" w:fill="auto"/>
            <w:noWrap/>
            <w:hideMark/>
          </w:tcPr>
          <w:p w14:paraId="2638712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Mbar_A3384</w:t>
            </w:r>
          </w:p>
        </w:tc>
        <w:tc>
          <w:tcPr>
            <w:tcW w:w="3194" w:type="pct"/>
            <w:tcBorders>
              <w:top w:val="nil"/>
              <w:left w:val="nil"/>
              <w:bottom w:val="nil"/>
              <w:right w:val="nil"/>
            </w:tcBorders>
            <w:shd w:val="clear" w:color="auto" w:fill="auto"/>
            <w:noWrap/>
            <w:hideMark/>
          </w:tcPr>
          <w:p w14:paraId="5E5A56A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Probable translation initiation factor IF-2</w:t>
            </w:r>
          </w:p>
        </w:tc>
        <w:tc>
          <w:tcPr>
            <w:tcW w:w="891" w:type="pct"/>
            <w:tcBorders>
              <w:top w:val="nil"/>
              <w:left w:val="nil"/>
              <w:bottom w:val="nil"/>
              <w:right w:val="nil"/>
            </w:tcBorders>
            <w:shd w:val="clear" w:color="auto" w:fill="auto"/>
            <w:noWrap/>
            <w:hideMark/>
          </w:tcPr>
          <w:p w14:paraId="4ABB7BA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1.77</w:t>
            </w:r>
          </w:p>
        </w:tc>
      </w:tr>
      <w:tr w:rsidR="00436CD0" w:rsidRPr="00C44D8C" w14:paraId="3DE18810" w14:textId="77777777" w:rsidTr="00436CD0">
        <w:trPr>
          <w:trHeight w:val="290"/>
        </w:trPr>
        <w:tc>
          <w:tcPr>
            <w:tcW w:w="915" w:type="pct"/>
            <w:tcBorders>
              <w:top w:val="nil"/>
              <w:left w:val="nil"/>
              <w:bottom w:val="nil"/>
              <w:right w:val="nil"/>
            </w:tcBorders>
            <w:shd w:val="clear" w:color="auto" w:fill="auto"/>
            <w:noWrap/>
            <w:hideMark/>
          </w:tcPr>
          <w:p w14:paraId="6527A10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Mbar_A0090</w:t>
            </w:r>
          </w:p>
        </w:tc>
        <w:tc>
          <w:tcPr>
            <w:tcW w:w="3194" w:type="pct"/>
            <w:tcBorders>
              <w:top w:val="nil"/>
              <w:left w:val="nil"/>
              <w:bottom w:val="nil"/>
              <w:right w:val="nil"/>
            </w:tcBorders>
            <w:shd w:val="clear" w:color="auto" w:fill="auto"/>
            <w:noWrap/>
            <w:hideMark/>
          </w:tcPr>
          <w:p w14:paraId="3C59D02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S5</w:t>
            </w:r>
          </w:p>
        </w:tc>
        <w:tc>
          <w:tcPr>
            <w:tcW w:w="891" w:type="pct"/>
            <w:tcBorders>
              <w:top w:val="nil"/>
              <w:left w:val="nil"/>
              <w:bottom w:val="nil"/>
              <w:right w:val="nil"/>
            </w:tcBorders>
            <w:shd w:val="clear" w:color="auto" w:fill="auto"/>
            <w:noWrap/>
            <w:hideMark/>
          </w:tcPr>
          <w:p w14:paraId="5C943C7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04E93D17" w14:textId="77777777" w:rsidTr="00436CD0">
        <w:trPr>
          <w:trHeight w:val="290"/>
        </w:trPr>
        <w:tc>
          <w:tcPr>
            <w:tcW w:w="915" w:type="pct"/>
            <w:tcBorders>
              <w:top w:val="nil"/>
              <w:left w:val="nil"/>
              <w:bottom w:val="nil"/>
              <w:right w:val="nil"/>
            </w:tcBorders>
            <w:shd w:val="clear" w:color="auto" w:fill="auto"/>
            <w:noWrap/>
            <w:hideMark/>
          </w:tcPr>
          <w:p w14:paraId="102DA2E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Mbar_A3229</w:t>
            </w:r>
          </w:p>
        </w:tc>
        <w:tc>
          <w:tcPr>
            <w:tcW w:w="3194" w:type="pct"/>
            <w:tcBorders>
              <w:top w:val="nil"/>
              <w:left w:val="nil"/>
              <w:bottom w:val="nil"/>
              <w:right w:val="nil"/>
            </w:tcBorders>
            <w:shd w:val="clear" w:color="auto" w:fill="auto"/>
            <w:noWrap/>
            <w:hideMark/>
          </w:tcPr>
          <w:p w14:paraId="41D06B7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tRNA (pseudouridine(54)-N(1))-methyltransferase </w:t>
            </w:r>
          </w:p>
        </w:tc>
        <w:tc>
          <w:tcPr>
            <w:tcW w:w="891" w:type="pct"/>
            <w:tcBorders>
              <w:top w:val="nil"/>
              <w:left w:val="nil"/>
              <w:bottom w:val="nil"/>
              <w:right w:val="nil"/>
            </w:tcBorders>
            <w:shd w:val="clear" w:color="auto" w:fill="auto"/>
            <w:noWrap/>
            <w:hideMark/>
          </w:tcPr>
          <w:p w14:paraId="73B86AE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615C5027" w14:textId="77777777" w:rsidTr="00436CD0">
        <w:trPr>
          <w:trHeight w:val="290"/>
        </w:trPr>
        <w:tc>
          <w:tcPr>
            <w:tcW w:w="915" w:type="pct"/>
            <w:tcBorders>
              <w:top w:val="nil"/>
              <w:left w:val="nil"/>
              <w:bottom w:val="nil"/>
              <w:right w:val="nil"/>
            </w:tcBorders>
            <w:shd w:val="clear" w:color="auto" w:fill="auto"/>
            <w:noWrap/>
            <w:hideMark/>
          </w:tcPr>
          <w:p w14:paraId="02D95ED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Mbar_A1007</w:t>
            </w:r>
          </w:p>
        </w:tc>
        <w:tc>
          <w:tcPr>
            <w:tcW w:w="3194" w:type="pct"/>
            <w:tcBorders>
              <w:top w:val="nil"/>
              <w:left w:val="nil"/>
              <w:bottom w:val="nil"/>
              <w:right w:val="nil"/>
            </w:tcBorders>
            <w:shd w:val="clear" w:color="auto" w:fill="auto"/>
            <w:noWrap/>
            <w:hideMark/>
          </w:tcPr>
          <w:p w14:paraId="6819375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Peptide chain release factor subunit 1 </w:t>
            </w:r>
          </w:p>
        </w:tc>
        <w:tc>
          <w:tcPr>
            <w:tcW w:w="891" w:type="pct"/>
            <w:tcBorders>
              <w:top w:val="nil"/>
              <w:left w:val="nil"/>
              <w:bottom w:val="nil"/>
              <w:right w:val="nil"/>
            </w:tcBorders>
            <w:shd w:val="clear" w:color="auto" w:fill="auto"/>
            <w:noWrap/>
            <w:hideMark/>
          </w:tcPr>
          <w:p w14:paraId="2A6E37B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5E9433B4" w14:textId="77777777" w:rsidTr="00436CD0">
        <w:trPr>
          <w:trHeight w:val="290"/>
        </w:trPr>
        <w:tc>
          <w:tcPr>
            <w:tcW w:w="915" w:type="pct"/>
            <w:tcBorders>
              <w:top w:val="nil"/>
              <w:left w:val="nil"/>
              <w:bottom w:val="nil"/>
              <w:right w:val="nil"/>
            </w:tcBorders>
            <w:shd w:val="clear" w:color="auto" w:fill="auto"/>
            <w:noWrap/>
            <w:hideMark/>
          </w:tcPr>
          <w:p w14:paraId="2D7BDED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Mbar_A2752</w:t>
            </w:r>
          </w:p>
        </w:tc>
        <w:tc>
          <w:tcPr>
            <w:tcW w:w="3194" w:type="pct"/>
            <w:tcBorders>
              <w:top w:val="nil"/>
              <w:left w:val="nil"/>
              <w:bottom w:val="nil"/>
              <w:right w:val="nil"/>
            </w:tcBorders>
            <w:shd w:val="clear" w:color="auto" w:fill="auto"/>
            <w:noWrap/>
            <w:hideMark/>
          </w:tcPr>
          <w:p w14:paraId="0421469D" w14:textId="77777777" w:rsidR="00436CD0" w:rsidRPr="00C44D8C" w:rsidRDefault="00436CD0" w:rsidP="00436CD0">
            <w:pPr>
              <w:rPr>
                <w:rFonts w:asciiTheme="minorHAnsi" w:hAnsiTheme="minorHAnsi"/>
                <w:color w:val="000000"/>
                <w:sz w:val="22"/>
                <w:szCs w:val="22"/>
                <w:lang w:val="sv-SE" w:eastAsia="en-GB"/>
              </w:rPr>
            </w:pPr>
            <w:r w:rsidRPr="00C44D8C">
              <w:rPr>
                <w:rFonts w:asciiTheme="minorHAnsi" w:hAnsiTheme="minorHAnsi"/>
                <w:color w:val="000000"/>
                <w:sz w:val="22"/>
                <w:szCs w:val="22"/>
                <w:lang w:val="sv-SE" w:eastAsia="en-GB"/>
              </w:rPr>
              <w:t xml:space="preserve">Phenylalanine--tRNA ligase beta subunit </w:t>
            </w:r>
          </w:p>
        </w:tc>
        <w:tc>
          <w:tcPr>
            <w:tcW w:w="891" w:type="pct"/>
            <w:tcBorders>
              <w:top w:val="nil"/>
              <w:left w:val="nil"/>
              <w:bottom w:val="nil"/>
              <w:right w:val="nil"/>
            </w:tcBorders>
            <w:shd w:val="clear" w:color="auto" w:fill="auto"/>
            <w:noWrap/>
            <w:hideMark/>
          </w:tcPr>
          <w:p w14:paraId="0B9E9A5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1.74</w:t>
            </w:r>
          </w:p>
        </w:tc>
      </w:tr>
      <w:tr w:rsidR="00436CD0" w:rsidRPr="00C44D8C" w14:paraId="7B8BA4D5" w14:textId="77777777" w:rsidTr="00436CD0">
        <w:trPr>
          <w:trHeight w:val="290"/>
        </w:trPr>
        <w:tc>
          <w:tcPr>
            <w:tcW w:w="915" w:type="pct"/>
            <w:tcBorders>
              <w:top w:val="nil"/>
              <w:left w:val="nil"/>
              <w:bottom w:val="nil"/>
              <w:right w:val="nil"/>
            </w:tcBorders>
            <w:shd w:val="clear" w:color="auto" w:fill="auto"/>
            <w:noWrap/>
            <w:hideMark/>
          </w:tcPr>
          <w:p w14:paraId="7690656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Mbar_A1372</w:t>
            </w:r>
          </w:p>
        </w:tc>
        <w:tc>
          <w:tcPr>
            <w:tcW w:w="3194" w:type="pct"/>
            <w:tcBorders>
              <w:top w:val="nil"/>
              <w:left w:val="nil"/>
              <w:bottom w:val="nil"/>
              <w:right w:val="nil"/>
            </w:tcBorders>
            <w:shd w:val="clear" w:color="auto" w:fill="auto"/>
            <w:noWrap/>
            <w:hideMark/>
          </w:tcPr>
          <w:p w14:paraId="1C8EA7D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Translation initiation factor 2 subunit beta </w:t>
            </w:r>
          </w:p>
        </w:tc>
        <w:tc>
          <w:tcPr>
            <w:tcW w:w="891" w:type="pct"/>
            <w:tcBorders>
              <w:top w:val="nil"/>
              <w:left w:val="nil"/>
              <w:bottom w:val="nil"/>
              <w:right w:val="nil"/>
            </w:tcBorders>
            <w:shd w:val="clear" w:color="auto" w:fill="auto"/>
            <w:noWrap/>
            <w:hideMark/>
          </w:tcPr>
          <w:p w14:paraId="27C995F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1.73</w:t>
            </w:r>
          </w:p>
        </w:tc>
      </w:tr>
      <w:tr w:rsidR="00436CD0" w:rsidRPr="00C44D8C" w14:paraId="16EC1B97" w14:textId="77777777" w:rsidTr="00436CD0">
        <w:trPr>
          <w:trHeight w:val="290"/>
        </w:trPr>
        <w:tc>
          <w:tcPr>
            <w:tcW w:w="915" w:type="pct"/>
            <w:tcBorders>
              <w:top w:val="nil"/>
              <w:left w:val="nil"/>
              <w:bottom w:val="nil"/>
              <w:right w:val="nil"/>
            </w:tcBorders>
            <w:shd w:val="clear" w:color="auto" w:fill="auto"/>
            <w:noWrap/>
            <w:hideMark/>
          </w:tcPr>
          <w:p w14:paraId="373F79B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Mbar_A1371</w:t>
            </w:r>
          </w:p>
        </w:tc>
        <w:tc>
          <w:tcPr>
            <w:tcW w:w="3194" w:type="pct"/>
            <w:tcBorders>
              <w:top w:val="nil"/>
              <w:left w:val="nil"/>
              <w:bottom w:val="nil"/>
              <w:right w:val="nil"/>
            </w:tcBorders>
            <w:shd w:val="clear" w:color="auto" w:fill="auto"/>
            <w:noWrap/>
            <w:hideMark/>
          </w:tcPr>
          <w:p w14:paraId="192E12F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L10e</w:t>
            </w:r>
          </w:p>
        </w:tc>
        <w:tc>
          <w:tcPr>
            <w:tcW w:w="891" w:type="pct"/>
            <w:tcBorders>
              <w:top w:val="nil"/>
              <w:left w:val="nil"/>
              <w:bottom w:val="nil"/>
              <w:right w:val="nil"/>
            </w:tcBorders>
            <w:shd w:val="clear" w:color="auto" w:fill="auto"/>
            <w:noWrap/>
            <w:hideMark/>
          </w:tcPr>
          <w:p w14:paraId="179A564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1.72</w:t>
            </w:r>
          </w:p>
        </w:tc>
      </w:tr>
      <w:tr w:rsidR="00436CD0" w:rsidRPr="00C44D8C" w14:paraId="3E558FA7" w14:textId="77777777" w:rsidTr="00436CD0">
        <w:trPr>
          <w:trHeight w:val="290"/>
        </w:trPr>
        <w:tc>
          <w:tcPr>
            <w:tcW w:w="915" w:type="pct"/>
            <w:tcBorders>
              <w:top w:val="nil"/>
              <w:left w:val="nil"/>
              <w:bottom w:val="nil"/>
              <w:right w:val="nil"/>
            </w:tcBorders>
            <w:shd w:val="clear" w:color="auto" w:fill="auto"/>
            <w:noWrap/>
            <w:hideMark/>
          </w:tcPr>
          <w:p w14:paraId="7AEB1BC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Mbar_A0104</w:t>
            </w:r>
          </w:p>
        </w:tc>
        <w:tc>
          <w:tcPr>
            <w:tcW w:w="3194" w:type="pct"/>
            <w:tcBorders>
              <w:top w:val="nil"/>
              <w:left w:val="nil"/>
              <w:bottom w:val="nil"/>
              <w:right w:val="nil"/>
            </w:tcBorders>
            <w:shd w:val="clear" w:color="auto" w:fill="auto"/>
            <w:noWrap/>
            <w:hideMark/>
          </w:tcPr>
          <w:p w14:paraId="2894F29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S3</w:t>
            </w:r>
          </w:p>
        </w:tc>
        <w:tc>
          <w:tcPr>
            <w:tcW w:w="891" w:type="pct"/>
            <w:tcBorders>
              <w:top w:val="nil"/>
              <w:left w:val="nil"/>
              <w:bottom w:val="nil"/>
              <w:right w:val="nil"/>
            </w:tcBorders>
            <w:shd w:val="clear" w:color="auto" w:fill="auto"/>
            <w:noWrap/>
            <w:hideMark/>
          </w:tcPr>
          <w:p w14:paraId="752C44B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1.72</w:t>
            </w:r>
          </w:p>
        </w:tc>
      </w:tr>
      <w:tr w:rsidR="00436CD0" w:rsidRPr="00C44D8C" w14:paraId="71DE17CA" w14:textId="77777777" w:rsidTr="00436CD0">
        <w:trPr>
          <w:trHeight w:val="290"/>
        </w:trPr>
        <w:tc>
          <w:tcPr>
            <w:tcW w:w="915" w:type="pct"/>
            <w:tcBorders>
              <w:top w:val="nil"/>
              <w:left w:val="nil"/>
              <w:bottom w:val="nil"/>
              <w:right w:val="nil"/>
            </w:tcBorders>
            <w:shd w:val="clear" w:color="auto" w:fill="auto"/>
            <w:noWrap/>
            <w:hideMark/>
          </w:tcPr>
          <w:p w14:paraId="7374CBB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Mbar_A0076</w:t>
            </w:r>
          </w:p>
        </w:tc>
        <w:tc>
          <w:tcPr>
            <w:tcW w:w="3194" w:type="pct"/>
            <w:tcBorders>
              <w:top w:val="nil"/>
              <w:left w:val="nil"/>
              <w:bottom w:val="nil"/>
              <w:right w:val="nil"/>
            </w:tcBorders>
            <w:shd w:val="clear" w:color="auto" w:fill="auto"/>
            <w:noWrap/>
            <w:hideMark/>
          </w:tcPr>
          <w:p w14:paraId="62B8015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S11</w:t>
            </w:r>
          </w:p>
        </w:tc>
        <w:tc>
          <w:tcPr>
            <w:tcW w:w="891" w:type="pct"/>
            <w:tcBorders>
              <w:top w:val="nil"/>
              <w:left w:val="nil"/>
              <w:bottom w:val="nil"/>
              <w:right w:val="nil"/>
            </w:tcBorders>
            <w:shd w:val="clear" w:color="auto" w:fill="auto"/>
            <w:noWrap/>
            <w:hideMark/>
          </w:tcPr>
          <w:p w14:paraId="4818937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738234B7" w14:textId="77777777" w:rsidTr="00436CD0">
        <w:trPr>
          <w:trHeight w:val="290"/>
        </w:trPr>
        <w:tc>
          <w:tcPr>
            <w:tcW w:w="915" w:type="pct"/>
            <w:tcBorders>
              <w:top w:val="nil"/>
              <w:left w:val="nil"/>
              <w:bottom w:val="nil"/>
              <w:right w:val="nil"/>
            </w:tcBorders>
            <w:shd w:val="clear" w:color="auto" w:fill="auto"/>
            <w:noWrap/>
            <w:hideMark/>
          </w:tcPr>
          <w:p w14:paraId="70439F3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Mbar_A1204</w:t>
            </w:r>
          </w:p>
        </w:tc>
        <w:tc>
          <w:tcPr>
            <w:tcW w:w="3194" w:type="pct"/>
            <w:tcBorders>
              <w:top w:val="nil"/>
              <w:left w:val="nil"/>
              <w:bottom w:val="nil"/>
              <w:right w:val="nil"/>
            </w:tcBorders>
            <w:shd w:val="clear" w:color="auto" w:fill="auto"/>
            <w:noWrap/>
            <w:hideMark/>
          </w:tcPr>
          <w:p w14:paraId="6D40AE9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O-phosphoserine--tRNA(Cys) ligase</w:t>
            </w:r>
          </w:p>
        </w:tc>
        <w:tc>
          <w:tcPr>
            <w:tcW w:w="891" w:type="pct"/>
            <w:tcBorders>
              <w:top w:val="nil"/>
              <w:left w:val="nil"/>
              <w:bottom w:val="nil"/>
              <w:right w:val="nil"/>
            </w:tcBorders>
            <w:shd w:val="clear" w:color="auto" w:fill="auto"/>
            <w:noWrap/>
            <w:hideMark/>
          </w:tcPr>
          <w:p w14:paraId="6575CE8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420C5586" w14:textId="77777777" w:rsidTr="00436CD0">
        <w:trPr>
          <w:trHeight w:val="290"/>
        </w:trPr>
        <w:tc>
          <w:tcPr>
            <w:tcW w:w="915" w:type="pct"/>
            <w:tcBorders>
              <w:top w:val="nil"/>
              <w:left w:val="nil"/>
              <w:bottom w:val="nil"/>
              <w:right w:val="nil"/>
            </w:tcBorders>
            <w:shd w:val="clear" w:color="auto" w:fill="auto"/>
            <w:noWrap/>
            <w:hideMark/>
          </w:tcPr>
          <w:p w14:paraId="652D387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Mbar_A0106</w:t>
            </w:r>
          </w:p>
        </w:tc>
        <w:tc>
          <w:tcPr>
            <w:tcW w:w="3194" w:type="pct"/>
            <w:tcBorders>
              <w:top w:val="nil"/>
              <w:left w:val="nil"/>
              <w:bottom w:val="nil"/>
              <w:right w:val="nil"/>
            </w:tcBorders>
            <w:shd w:val="clear" w:color="auto" w:fill="auto"/>
            <w:noWrap/>
            <w:hideMark/>
          </w:tcPr>
          <w:p w14:paraId="12DCA50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S19</w:t>
            </w:r>
          </w:p>
        </w:tc>
        <w:tc>
          <w:tcPr>
            <w:tcW w:w="891" w:type="pct"/>
            <w:tcBorders>
              <w:top w:val="nil"/>
              <w:left w:val="nil"/>
              <w:bottom w:val="nil"/>
              <w:right w:val="nil"/>
            </w:tcBorders>
            <w:shd w:val="clear" w:color="auto" w:fill="auto"/>
            <w:noWrap/>
            <w:hideMark/>
          </w:tcPr>
          <w:p w14:paraId="35B37E9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4C497E78" w14:textId="77777777" w:rsidTr="00436CD0">
        <w:trPr>
          <w:trHeight w:val="290"/>
        </w:trPr>
        <w:tc>
          <w:tcPr>
            <w:tcW w:w="915" w:type="pct"/>
            <w:tcBorders>
              <w:top w:val="nil"/>
              <w:left w:val="nil"/>
              <w:bottom w:val="nil"/>
              <w:right w:val="nil"/>
            </w:tcBorders>
            <w:shd w:val="clear" w:color="auto" w:fill="auto"/>
            <w:noWrap/>
            <w:hideMark/>
          </w:tcPr>
          <w:p w14:paraId="6E39DA6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Mbar_A1375</w:t>
            </w:r>
          </w:p>
        </w:tc>
        <w:tc>
          <w:tcPr>
            <w:tcW w:w="3194" w:type="pct"/>
            <w:tcBorders>
              <w:top w:val="nil"/>
              <w:left w:val="nil"/>
              <w:bottom w:val="nil"/>
              <w:right w:val="nil"/>
            </w:tcBorders>
            <w:shd w:val="clear" w:color="auto" w:fill="auto"/>
            <w:noWrap/>
            <w:hideMark/>
          </w:tcPr>
          <w:p w14:paraId="3C7BC03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Phenylalanine--tRNA ligase alpha subunit </w:t>
            </w:r>
          </w:p>
        </w:tc>
        <w:tc>
          <w:tcPr>
            <w:tcW w:w="891" w:type="pct"/>
            <w:tcBorders>
              <w:top w:val="nil"/>
              <w:left w:val="nil"/>
              <w:bottom w:val="nil"/>
              <w:right w:val="nil"/>
            </w:tcBorders>
            <w:shd w:val="clear" w:color="auto" w:fill="auto"/>
            <w:noWrap/>
            <w:hideMark/>
          </w:tcPr>
          <w:p w14:paraId="728AA78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1E18137B" w14:textId="77777777" w:rsidTr="00436CD0">
        <w:trPr>
          <w:trHeight w:val="290"/>
        </w:trPr>
        <w:tc>
          <w:tcPr>
            <w:tcW w:w="915" w:type="pct"/>
            <w:tcBorders>
              <w:top w:val="nil"/>
              <w:left w:val="nil"/>
              <w:bottom w:val="nil"/>
              <w:right w:val="nil"/>
            </w:tcBorders>
            <w:shd w:val="clear" w:color="auto" w:fill="auto"/>
            <w:noWrap/>
            <w:hideMark/>
          </w:tcPr>
          <w:p w14:paraId="3A85A3D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Mbar_A0541</w:t>
            </w:r>
          </w:p>
        </w:tc>
        <w:tc>
          <w:tcPr>
            <w:tcW w:w="3194" w:type="pct"/>
            <w:tcBorders>
              <w:top w:val="nil"/>
              <w:left w:val="nil"/>
              <w:bottom w:val="nil"/>
              <w:right w:val="nil"/>
            </w:tcBorders>
            <w:shd w:val="clear" w:color="auto" w:fill="auto"/>
            <w:noWrap/>
            <w:hideMark/>
          </w:tcPr>
          <w:p w14:paraId="33EAB48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Serine--tRNA ligase </w:t>
            </w:r>
          </w:p>
        </w:tc>
        <w:tc>
          <w:tcPr>
            <w:tcW w:w="891" w:type="pct"/>
            <w:tcBorders>
              <w:top w:val="nil"/>
              <w:left w:val="nil"/>
              <w:bottom w:val="nil"/>
              <w:right w:val="nil"/>
            </w:tcBorders>
            <w:shd w:val="clear" w:color="auto" w:fill="auto"/>
            <w:noWrap/>
            <w:hideMark/>
          </w:tcPr>
          <w:p w14:paraId="4E1BDDC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1.67</w:t>
            </w:r>
          </w:p>
        </w:tc>
      </w:tr>
      <w:tr w:rsidR="00436CD0" w:rsidRPr="00C44D8C" w14:paraId="3738D5E6" w14:textId="77777777" w:rsidTr="00436CD0">
        <w:trPr>
          <w:trHeight w:val="290"/>
        </w:trPr>
        <w:tc>
          <w:tcPr>
            <w:tcW w:w="915" w:type="pct"/>
            <w:tcBorders>
              <w:top w:val="nil"/>
              <w:left w:val="nil"/>
              <w:bottom w:val="nil"/>
              <w:right w:val="nil"/>
            </w:tcBorders>
            <w:shd w:val="clear" w:color="auto" w:fill="auto"/>
            <w:noWrap/>
            <w:hideMark/>
          </w:tcPr>
          <w:p w14:paraId="1CB016A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Mbar_A3685</w:t>
            </w:r>
          </w:p>
        </w:tc>
        <w:tc>
          <w:tcPr>
            <w:tcW w:w="3194" w:type="pct"/>
            <w:tcBorders>
              <w:top w:val="nil"/>
              <w:left w:val="nil"/>
              <w:bottom w:val="nil"/>
              <w:right w:val="nil"/>
            </w:tcBorders>
            <w:shd w:val="clear" w:color="auto" w:fill="auto"/>
            <w:noWrap/>
            <w:hideMark/>
          </w:tcPr>
          <w:p w14:paraId="2A61A44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Elongation factor 1-alpha </w:t>
            </w:r>
          </w:p>
        </w:tc>
        <w:tc>
          <w:tcPr>
            <w:tcW w:w="891" w:type="pct"/>
            <w:tcBorders>
              <w:top w:val="nil"/>
              <w:left w:val="nil"/>
              <w:bottom w:val="nil"/>
              <w:right w:val="nil"/>
            </w:tcBorders>
            <w:shd w:val="clear" w:color="auto" w:fill="auto"/>
            <w:noWrap/>
            <w:hideMark/>
          </w:tcPr>
          <w:p w14:paraId="7EE8776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1.67</w:t>
            </w:r>
          </w:p>
        </w:tc>
      </w:tr>
      <w:tr w:rsidR="00436CD0" w:rsidRPr="00C44D8C" w14:paraId="73BA2AED" w14:textId="77777777" w:rsidTr="00436CD0">
        <w:trPr>
          <w:trHeight w:val="290"/>
        </w:trPr>
        <w:tc>
          <w:tcPr>
            <w:tcW w:w="915" w:type="pct"/>
            <w:tcBorders>
              <w:top w:val="nil"/>
              <w:left w:val="nil"/>
              <w:bottom w:val="nil"/>
              <w:right w:val="nil"/>
            </w:tcBorders>
            <w:shd w:val="clear" w:color="auto" w:fill="auto"/>
            <w:noWrap/>
            <w:hideMark/>
          </w:tcPr>
          <w:p w14:paraId="1A72B69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Mbar_A1567</w:t>
            </w:r>
          </w:p>
        </w:tc>
        <w:tc>
          <w:tcPr>
            <w:tcW w:w="3194" w:type="pct"/>
            <w:tcBorders>
              <w:top w:val="nil"/>
              <w:left w:val="nil"/>
              <w:bottom w:val="nil"/>
              <w:right w:val="nil"/>
            </w:tcBorders>
            <w:shd w:val="clear" w:color="auto" w:fill="auto"/>
            <w:noWrap/>
            <w:hideMark/>
          </w:tcPr>
          <w:p w14:paraId="3DD3971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Translation initiation factor 2 subunit alpha </w:t>
            </w:r>
          </w:p>
        </w:tc>
        <w:tc>
          <w:tcPr>
            <w:tcW w:w="891" w:type="pct"/>
            <w:tcBorders>
              <w:top w:val="nil"/>
              <w:left w:val="nil"/>
              <w:bottom w:val="nil"/>
              <w:right w:val="nil"/>
            </w:tcBorders>
            <w:shd w:val="clear" w:color="auto" w:fill="auto"/>
            <w:noWrap/>
            <w:hideMark/>
          </w:tcPr>
          <w:p w14:paraId="7959590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1.63</w:t>
            </w:r>
          </w:p>
        </w:tc>
      </w:tr>
      <w:tr w:rsidR="00436CD0" w:rsidRPr="00C44D8C" w14:paraId="239A3847" w14:textId="77777777" w:rsidTr="00436CD0">
        <w:trPr>
          <w:trHeight w:val="290"/>
        </w:trPr>
        <w:tc>
          <w:tcPr>
            <w:tcW w:w="915" w:type="pct"/>
            <w:tcBorders>
              <w:top w:val="nil"/>
              <w:left w:val="nil"/>
              <w:bottom w:val="nil"/>
              <w:right w:val="nil"/>
            </w:tcBorders>
            <w:shd w:val="clear" w:color="auto" w:fill="auto"/>
            <w:noWrap/>
            <w:hideMark/>
          </w:tcPr>
          <w:p w14:paraId="480DB2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Mbar_A1361</w:t>
            </w:r>
          </w:p>
        </w:tc>
        <w:tc>
          <w:tcPr>
            <w:tcW w:w="3194" w:type="pct"/>
            <w:tcBorders>
              <w:top w:val="nil"/>
              <w:left w:val="nil"/>
              <w:bottom w:val="nil"/>
              <w:right w:val="nil"/>
            </w:tcBorders>
            <w:shd w:val="clear" w:color="auto" w:fill="auto"/>
            <w:noWrap/>
            <w:hideMark/>
          </w:tcPr>
          <w:p w14:paraId="5091EB5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Alanine--tRNA ligase </w:t>
            </w:r>
          </w:p>
        </w:tc>
        <w:tc>
          <w:tcPr>
            <w:tcW w:w="891" w:type="pct"/>
            <w:tcBorders>
              <w:top w:val="nil"/>
              <w:left w:val="nil"/>
              <w:bottom w:val="nil"/>
              <w:right w:val="nil"/>
            </w:tcBorders>
            <w:shd w:val="clear" w:color="auto" w:fill="auto"/>
            <w:noWrap/>
            <w:hideMark/>
          </w:tcPr>
          <w:p w14:paraId="08FE6CA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1.63</w:t>
            </w:r>
          </w:p>
        </w:tc>
      </w:tr>
      <w:tr w:rsidR="00436CD0" w:rsidRPr="00C44D8C" w14:paraId="3DEF34BE" w14:textId="77777777" w:rsidTr="00436CD0">
        <w:trPr>
          <w:trHeight w:val="290"/>
        </w:trPr>
        <w:tc>
          <w:tcPr>
            <w:tcW w:w="915" w:type="pct"/>
            <w:tcBorders>
              <w:top w:val="nil"/>
              <w:left w:val="nil"/>
              <w:bottom w:val="nil"/>
              <w:right w:val="nil"/>
            </w:tcBorders>
            <w:shd w:val="clear" w:color="auto" w:fill="auto"/>
            <w:noWrap/>
            <w:hideMark/>
          </w:tcPr>
          <w:p w14:paraId="6E6DC2D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Mbar_A1426</w:t>
            </w:r>
          </w:p>
        </w:tc>
        <w:tc>
          <w:tcPr>
            <w:tcW w:w="3194" w:type="pct"/>
            <w:tcBorders>
              <w:top w:val="nil"/>
              <w:left w:val="nil"/>
              <w:bottom w:val="nil"/>
              <w:right w:val="nil"/>
            </w:tcBorders>
            <w:shd w:val="clear" w:color="auto" w:fill="auto"/>
            <w:noWrap/>
            <w:hideMark/>
          </w:tcPr>
          <w:p w14:paraId="03D7F9F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S9</w:t>
            </w:r>
          </w:p>
        </w:tc>
        <w:tc>
          <w:tcPr>
            <w:tcW w:w="891" w:type="pct"/>
            <w:tcBorders>
              <w:top w:val="nil"/>
              <w:left w:val="nil"/>
              <w:bottom w:val="nil"/>
              <w:right w:val="nil"/>
            </w:tcBorders>
            <w:shd w:val="clear" w:color="auto" w:fill="auto"/>
            <w:noWrap/>
            <w:hideMark/>
          </w:tcPr>
          <w:p w14:paraId="0F9E109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1.62</w:t>
            </w:r>
          </w:p>
        </w:tc>
      </w:tr>
      <w:tr w:rsidR="00436CD0" w:rsidRPr="00C44D8C" w14:paraId="40E768E7" w14:textId="77777777" w:rsidTr="00436CD0">
        <w:trPr>
          <w:trHeight w:val="290"/>
        </w:trPr>
        <w:tc>
          <w:tcPr>
            <w:tcW w:w="915" w:type="pct"/>
            <w:tcBorders>
              <w:top w:val="nil"/>
              <w:left w:val="nil"/>
              <w:bottom w:val="nil"/>
              <w:right w:val="nil"/>
            </w:tcBorders>
            <w:shd w:val="clear" w:color="auto" w:fill="auto"/>
            <w:noWrap/>
            <w:hideMark/>
          </w:tcPr>
          <w:p w14:paraId="1CC7263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Mbar_A3440</w:t>
            </w:r>
          </w:p>
        </w:tc>
        <w:tc>
          <w:tcPr>
            <w:tcW w:w="3194" w:type="pct"/>
            <w:tcBorders>
              <w:top w:val="nil"/>
              <w:left w:val="nil"/>
              <w:bottom w:val="nil"/>
              <w:right w:val="nil"/>
            </w:tcBorders>
            <w:shd w:val="clear" w:color="auto" w:fill="auto"/>
            <w:noWrap/>
            <w:hideMark/>
          </w:tcPr>
          <w:p w14:paraId="1F126AA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Elongation factor 1-beta </w:t>
            </w:r>
          </w:p>
        </w:tc>
        <w:tc>
          <w:tcPr>
            <w:tcW w:w="891" w:type="pct"/>
            <w:tcBorders>
              <w:top w:val="nil"/>
              <w:left w:val="nil"/>
              <w:bottom w:val="nil"/>
              <w:right w:val="nil"/>
            </w:tcBorders>
            <w:shd w:val="clear" w:color="auto" w:fill="auto"/>
            <w:noWrap/>
            <w:hideMark/>
          </w:tcPr>
          <w:p w14:paraId="2092F5A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1.58</w:t>
            </w:r>
          </w:p>
        </w:tc>
      </w:tr>
      <w:tr w:rsidR="00436CD0" w:rsidRPr="00C44D8C" w14:paraId="6C1DEBAE" w14:textId="77777777" w:rsidTr="00436CD0">
        <w:trPr>
          <w:trHeight w:val="290"/>
        </w:trPr>
        <w:tc>
          <w:tcPr>
            <w:tcW w:w="915" w:type="pct"/>
            <w:tcBorders>
              <w:top w:val="nil"/>
              <w:left w:val="nil"/>
              <w:bottom w:val="nil"/>
              <w:right w:val="nil"/>
            </w:tcBorders>
            <w:shd w:val="clear" w:color="auto" w:fill="auto"/>
            <w:noWrap/>
            <w:hideMark/>
          </w:tcPr>
          <w:p w14:paraId="08B0403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Mbar_A0956</w:t>
            </w:r>
          </w:p>
        </w:tc>
        <w:tc>
          <w:tcPr>
            <w:tcW w:w="3194" w:type="pct"/>
            <w:tcBorders>
              <w:top w:val="nil"/>
              <w:left w:val="nil"/>
              <w:bottom w:val="nil"/>
              <w:right w:val="nil"/>
            </w:tcBorders>
            <w:shd w:val="clear" w:color="auto" w:fill="auto"/>
            <w:noWrap/>
            <w:hideMark/>
          </w:tcPr>
          <w:p w14:paraId="6C9C065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tRNA-archaeosine synthase</w:t>
            </w:r>
          </w:p>
        </w:tc>
        <w:tc>
          <w:tcPr>
            <w:tcW w:w="891" w:type="pct"/>
            <w:tcBorders>
              <w:top w:val="nil"/>
              <w:left w:val="nil"/>
              <w:bottom w:val="nil"/>
              <w:right w:val="nil"/>
            </w:tcBorders>
            <w:shd w:val="clear" w:color="auto" w:fill="auto"/>
            <w:noWrap/>
            <w:hideMark/>
          </w:tcPr>
          <w:p w14:paraId="38AD518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1.56</w:t>
            </w:r>
          </w:p>
        </w:tc>
      </w:tr>
      <w:tr w:rsidR="00436CD0" w:rsidRPr="00C44D8C" w14:paraId="0C9DFF03" w14:textId="77777777" w:rsidTr="00436CD0">
        <w:trPr>
          <w:trHeight w:val="290"/>
        </w:trPr>
        <w:tc>
          <w:tcPr>
            <w:tcW w:w="915" w:type="pct"/>
            <w:tcBorders>
              <w:top w:val="nil"/>
              <w:left w:val="nil"/>
              <w:bottom w:val="nil"/>
              <w:right w:val="nil"/>
            </w:tcBorders>
            <w:shd w:val="clear" w:color="auto" w:fill="auto"/>
            <w:noWrap/>
            <w:hideMark/>
          </w:tcPr>
          <w:p w14:paraId="52E7562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Mbar_A1789</w:t>
            </w:r>
          </w:p>
        </w:tc>
        <w:tc>
          <w:tcPr>
            <w:tcW w:w="3194" w:type="pct"/>
            <w:tcBorders>
              <w:top w:val="nil"/>
              <w:left w:val="nil"/>
              <w:bottom w:val="nil"/>
              <w:right w:val="nil"/>
            </w:tcBorders>
            <w:shd w:val="clear" w:color="auto" w:fill="auto"/>
            <w:noWrap/>
            <w:hideMark/>
          </w:tcPr>
          <w:p w14:paraId="0FE16F1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Ribonuclease Z </w:t>
            </w:r>
          </w:p>
        </w:tc>
        <w:tc>
          <w:tcPr>
            <w:tcW w:w="891" w:type="pct"/>
            <w:tcBorders>
              <w:top w:val="nil"/>
              <w:left w:val="nil"/>
              <w:bottom w:val="nil"/>
              <w:right w:val="nil"/>
            </w:tcBorders>
            <w:shd w:val="clear" w:color="auto" w:fill="auto"/>
            <w:noWrap/>
            <w:hideMark/>
          </w:tcPr>
          <w:p w14:paraId="566F731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1.55</w:t>
            </w:r>
          </w:p>
        </w:tc>
      </w:tr>
      <w:tr w:rsidR="00436CD0" w:rsidRPr="00C44D8C" w14:paraId="2E4F1E67" w14:textId="77777777" w:rsidTr="00436CD0">
        <w:trPr>
          <w:trHeight w:val="290"/>
        </w:trPr>
        <w:tc>
          <w:tcPr>
            <w:tcW w:w="915" w:type="pct"/>
            <w:tcBorders>
              <w:top w:val="nil"/>
              <w:left w:val="nil"/>
              <w:bottom w:val="nil"/>
              <w:right w:val="nil"/>
            </w:tcBorders>
            <w:shd w:val="clear" w:color="auto" w:fill="auto"/>
            <w:noWrap/>
            <w:hideMark/>
          </w:tcPr>
          <w:p w14:paraId="244CD38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Mbar_A0287</w:t>
            </w:r>
          </w:p>
        </w:tc>
        <w:tc>
          <w:tcPr>
            <w:tcW w:w="3194" w:type="pct"/>
            <w:tcBorders>
              <w:top w:val="nil"/>
              <w:left w:val="nil"/>
              <w:bottom w:val="nil"/>
              <w:right w:val="nil"/>
            </w:tcBorders>
            <w:shd w:val="clear" w:color="auto" w:fill="auto"/>
            <w:noWrap/>
            <w:hideMark/>
          </w:tcPr>
          <w:p w14:paraId="325BE02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Translation initiation factor 2 subunit gamma </w:t>
            </w:r>
          </w:p>
        </w:tc>
        <w:tc>
          <w:tcPr>
            <w:tcW w:w="891" w:type="pct"/>
            <w:tcBorders>
              <w:top w:val="nil"/>
              <w:left w:val="nil"/>
              <w:bottom w:val="nil"/>
              <w:right w:val="nil"/>
            </w:tcBorders>
            <w:shd w:val="clear" w:color="auto" w:fill="auto"/>
            <w:noWrap/>
            <w:hideMark/>
          </w:tcPr>
          <w:p w14:paraId="09B2E02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1.53</w:t>
            </w:r>
          </w:p>
        </w:tc>
      </w:tr>
      <w:tr w:rsidR="00436CD0" w:rsidRPr="00C44D8C" w14:paraId="07154C14" w14:textId="77777777" w:rsidTr="00436CD0">
        <w:trPr>
          <w:trHeight w:val="290"/>
        </w:trPr>
        <w:tc>
          <w:tcPr>
            <w:tcW w:w="915" w:type="pct"/>
            <w:tcBorders>
              <w:top w:val="nil"/>
              <w:left w:val="nil"/>
              <w:bottom w:val="nil"/>
              <w:right w:val="nil"/>
            </w:tcBorders>
            <w:shd w:val="clear" w:color="auto" w:fill="auto"/>
            <w:noWrap/>
            <w:hideMark/>
          </w:tcPr>
          <w:p w14:paraId="2C4E192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Mbar_A1088</w:t>
            </w:r>
          </w:p>
        </w:tc>
        <w:tc>
          <w:tcPr>
            <w:tcW w:w="3194" w:type="pct"/>
            <w:tcBorders>
              <w:top w:val="nil"/>
              <w:left w:val="nil"/>
              <w:bottom w:val="nil"/>
              <w:right w:val="nil"/>
            </w:tcBorders>
            <w:shd w:val="clear" w:color="auto" w:fill="auto"/>
            <w:noWrap/>
            <w:hideMark/>
          </w:tcPr>
          <w:p w14:paraId="4B27CEC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tRNA-guanine(15) transglycosylase</w:t>
            </w:r>
          </w:p>
        </w:tc>
        <w:tc>
          <w:tcPr>
            <w:tcW w:w="891" w:type="pct"/>
            <w:tcBorders>
              <w:top w:val="nil"/>
              <w:left w:val="nil"/>
              <w:bottom w:val="nil"/>
              <w:right w:val="nil"/>
            </w:tcBorders>
            <w:shd w:val="clear" w:color="auto" w:fill="auto"/>
            <w:noWrap/>
            <w:hideMark/>
          </w:tcPr>
          <w:p w14:paraId="51355BF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1.51</w:t>
            </w:r>
          </w:p>
        </w:tc>
      </w:tr>
      <w:tr w:rsidR="00436CD0" w:rsidRPr="00C44D8C" w14:paraId="50DF2781" w14:textId="77777777" w:rsidTr="00436CD0">
        <w:trPr>
          <w:trHeight w:val="290"/>
        </w:trPr>
        <w:tc>
          <w:tcPr>
            <w:tcW w:w="915" w:type="pct"/>
            <w:tcBorders>
              <w:top w:val="nil"/>
              <w:left w:val="nil"/>
              <w:bottom w:val="nil"/>
              <w:right w:val="nil"/>
            </w:tcBorders>
            <w:shd w:val="clear" w:color="auto" w:fill="auto"/>
            <w:noWrap/>
            <w:hideMark/>
          </w:tcPr>
          <w:p w14:paraId="571443B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Mbar_A1423</w:t>
            </w:r>
          </w:p>
        </w:tc>
        <w:tc>
          <w:tcPr>
            <w:tcW w:w="3194" w:type="pct"/>
            <w:tcBorders>
              <w:top w:val="nil"/>
              <w:left w:val="nil"/>
              <w:bottom w:val="nil"/>
              <w:right w:val="nil"/>
            </w:tcBorders>
            <w:shd w:val="clear" w:color="auto" w:fill="auto"/>
            <w:noWrap/>
            <w:hideMark/>
          </w:tcPr>
          <w:p w14:paraId="3F7713B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30S ribosomal protein S2</w:t>
            </w:r>
          </w:p>
        </w:tc>
        <w:tc>
          <w:tcPr>
            <w:tcW w:w="891" w:type="pct"/>
            <w:tcBorders>
              <w:top w:val="nil"/>
              <w:left w:val="nil"/>
              <w:bottom w:val="nil"/>
              <w:right w:val="nil"/>
            </w:tcBorders>
            <w:shd w:val="clear" w:color="auto" w:fill="auto"/>
            <w:noWrap/>
            <w:hideMark/>
          </w:tcPr>
          <w:p w14:paraId="563BD82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1.50</w:t>
            </w:r>
          </w:p>
        </w:tc>
      </w:tr>
      <w:tr w:rsidR="00436CD0" w:rsidRPr="00C44D8C" w14:paraId="75E6F94B" w14:textId="77777777" w:rsidTr="00436CD0">
        <w:trPr>
          <w:trHeight w:val="290"/>
        </w:trPr>
        <w:tc>
          <w:tcPr>
            <w:tcW w:w="915" w:type="pct"/>
            <w:tcBorders>
              <w:top w:val="nil"/>
              <w:left w:val="nil"/>
              <w:bottom w:val="nil"/>
              <w:right w:val="nil"/>
            </w:tcBorders>
            <w:shd w:val="clear" w:color="auto" w:fill="auto"/>
            <w:noWrap/>
            <w:hideMark/>
          </w:tcPr>
          <w:p w14:paraId="1BFB5E9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Mbar_A3187</w:t>
            </w:r>
          </w:p>
        </w:tc>
        <w:tc>
          <w:tcPr>
            <w:tcW w:w="3194" w:type="pct"/>
            <w:tcBorders>
              <w:top w:val="nil"/>
              <w:left w:val="nil"/>
              <w:bottom w:val="nil"/>
              <w:right w:val="nil"/>
            </w:tcBorders>
            <w:shd w:val="clear" w:color="auto" w:fill="auto"/>
            <w:noWrap/>
            <w:hideMark/>
          </w:tcPr>
          <w:p w14:paraId="1567F7A9" w14:textId="77777777" w:rsidR="00436CD0" w:rsidRPr="00C44D8C" w:rsidRDefault="00436CD0" w:rsidP="00436CD0">
            <w:pPr>
              <w:rPr>
                <w:rFonts w:asciiTheme="minorHAnsi" w:hAnsiTheme="minorHAnsi"/>
                <w:color w:val="000000"/>
                <w:sz w:val="22"/>
                <w:szCs w:val="22"/>
                <w:lang w:val="pt-PT" w:eastAsia="en-GB"/>
              </w:rPr>
            </w:pPr>
            <w:r w:rsidRPr="00C44D8C">
              <w:rPr>
                <w:rFonts w:asciiTheme="minorHAnsi" w:hAnsiTheme="minorHAnsi"/>
                <w:color w:val="000000"/>
                <w:sz w:val="22"/>
                <w:szCs w:val="22"/>
                <w:lang w:val="pt-PT" w:eastAsia="en-GB"/>
              </w:rPr>
              <w:t xml:space="preserve">tRNA (cytidine(56)-2'-O)-methyltransferase </w:t>
            </w:r>
          </w:p>
        </w:tc>
        <w:tc>
          <w:tcPr>
            <w:tcW w:w="891" w:type="pct"/>
            <w:tcBorders>
              <w:top w:val="nil"/>
              <w:left w:val="nil"/>
              <w:bottom w:val="nil"/>
              <w:right w:val="nil"/>
            </w:tcBorders>
            <w:shd w:val="clear" w:color="auto" w:fill="auto"/>
            <w:noWrap/>
            <w:hideMark/>
          </w:tcPr>
          <w:p w14:paraId="5094C21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1.47</w:t>
            </w:r>
          </w:p>
        </w:tc>
      </w:tr>
      <w:tr w:rsidR="00436CD0" w:rsidRPr="00C44D8C" w14:paraId="7337FD2C" w14:textId="77777777" w:rsidTr="00436CD0">
        <w:trPr>
          <w:trHeight w:val="290"/>
        </w:trPr>
        <w:tc>
          <w:tcPr>
            <w:tcW w:w="915" w:type="pct"/>
            <w:tcBorders>
              <w:top w:val="nil"/>
              <w:left w:val="nil"/>
              <w:bottom w:val="nil"/>
              <w:right w:val="nil"/>
            </w:tcBorders>
            <w:shd w:val="clear" w:color="auto" w:fill="auto"/>
            <w:noWrap/>
            <w:hideMark/>
          </w:tcPr>
          <w:p w14:paraId="38F6A5A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Mbar_A2945</w:t>
            </w:r>
          </w:p>
        </w:tc>
        <w:tc>
          <w:tcPr>
            <w:tcW w:w="3194" w:type="pct"/>
            <w:tcBorders>
              <w:top w:val="nil"/>
              <w:left w:val="nil"/>
              <w:bottom w:val="nil"/>
              <w:right w:val="nil"/>
            </w:tcBorders>
            <w:shd w:val="clear" w:color="auto" w:fill="auto"/>
            <w:noWrap/>
            <w:hideMark/>
          </w:tcPr>
          <w:p w14:paraId="693D2D9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Threonine--tRNA ligase</w:t>
            </w:r>
          </w:p>
        </w:tc>
        <w:tc>
          <w:tcPr>
            <w:tcW w:w="891" w:type="pct"/>
            <w:tcBorders>
              <w:top w:val="nil"/>
              <w:left w:val="nil"/>
              <w:bottom w:val="nil"/>
              <w:right w:val="nil"/>
            </w:tcBorders>
            <w:shd w:val="clear" w:color="auto" w:fill="auto"/>
            <w:noWrap/>
            <w:hideMark/>
          </w:tcPr>
          <w:p w14:paraId="6B09D4D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1.47</w:t>
            </w:r>
          </w:p>
        </w:tc>
      </w:tr>
      <w:tr w:rsidR="00436CD0" w:rsidRPr="00C44D8C" w14:paraId="19D88616" w14:textId="77777777" w:rsidTr="00436CD0">
        <w:trPr>
          <w:trHeight w:val="290"/>
        </w:trPr>
        <w:tc>
          <w:tcPr>
            <w:tcW w:w="915" w:type="pct"/>
            <w:tcBorders>
              <w:top w:val="nil"/>
              <w:left w:val="nil"/>
              <w:bottom w:val="nil"/>
              <w:right w:val="nil"/>
            </w:tcBorders>
            <w:shd w:val="clear" w:color="auto" w:fill="auto"/>
            <w:noWrap/>
            <w:hideMark/>
          </w:tcPr>
          <w:p w14:paraId="45F8679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Mbar_A1667</w:t>
            </w:r>
          </w:p>
        </w:tc>
        <w:tc>
          <w:tcPr>
            <w:tcW w:w="3194" w:type="pct"/>
            <w:tcBorders>
              <w:top w:val="nil"/>
              <w:left w:val="nil"/>
              <w:bottom w:val="nil"/>
              <w:right w:val="nil"/>
            </w:tcBorders>
            <w:shd w:val="clear" w:color="auto" w:fill="auto"/>
            <w:noWrap/>
            <w:hideMark/>
          </w:tcPr>
          <w:p w14:paraId="65A9CC6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Lysine--tRNA ligase</w:t>
            </w:r>
          </w:p>
        </w:tc>
        <w:tc>
          <w:tcPr>
            <w:tcW w:w="891" w:type="pct"/>
            <w:tcBorders>
              <w:top w:val="nil"/>
              <w:left w:val="nil"/>
              <w:bottom w:val="nil"/>
              <w:right w:val="nil"/>
            </w:tcBorders>
            <w:shd w:val="clear" w:color="auto" w:fill="auto"/>
            <w:noWrap/>
            <w:hideMark/>
          </w:tcPr>
          <w:p w14:paraId="3E13D4D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1.44</w:t>
            </w:r>
          </w:p>
        </w:tc>
      </w:tr>
      <w:tr w:rsidR="00436CD0" w:rsidRPr="00C44D8C" w14:paraId="435452CC" w14:textId="77777777" w:rsidTr="00436CD0">
        <w:trPr>
          <w:trHeight w:val="290"/>
        </w:trPr>
        <w:tc>
          <w:tcPr>
            <w:tcW w:w="915" w:type="pct"/>
            <w:tcBorders>
              <w:top w:val="nil"/>
              <w:left w:val="nil"/>
              <w:bottom w:val="nil"/>
              <w:right w:val="nil"/>
            </w:tcBorders>
            <w:shd w:val="clear" w:color="auto" w:fill="auto"/>
            <w:noWrap/>
            <w:hideMark/>
          </w:tcPr>
          <w:p w14:paraId="229CAEE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Mbar_A0099</w:t>
            </w:r>
          </w:p>
        </w:tc>
        <w:tc>
          <w:tcPr>
            <w:tcW w:w="3194" w:type="pct"/>
            <w:tcBorders>
              <w:top w:val="nil"/>
              <w:left w:val="nil"/>
              <w:bottom w:val="nil"/>
              <w:right w:val="nil"/>
            </w:tcBorders>
            <w:shd w:val="clear" w:color="auto" w:fill="auto"/>
            <w:noWrap/>
            <w:hideMark/>
          </w:tcPr>
          <w:p w14:paraId="6FEE43C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50S ribosomal protein L24P</w:t>
            </w:r>
          </w:p>
        </w:tc>
        <w:tc>
          <w:tcPr>
            <w:tcW w:w="891" w:type="pct"/>
            <w:tcBorders>
              <w:top w:val="nil"/>
              <w:left w:val="nil"/>
              <w:bottom w:val="nil"/>
              <w:right w:val="nil"/>
            </w:tcBorders>
            <w:shd w:val="clear" w:color="auto" w:fill="auto"/>
            <w:noWrap/>
            <w:hideMark/>
          </w:tcPr>
          <w:p w14:paraId="22AC340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1.34</w:t>
            </w:r>
          </w:p>
        </w:tc>
      </w:tr>
      <w:tr w:rsidR="00436CD0" w:rsidRPr="00C44D8C" w14:paraId="107C45CB" w14:textId="77777777" w:rsidTr="00436CD0">
        <w:trPr>
          <w:trHeight w:val="290"/>
        </w:trPr>
        <w:tc>
          <w:tcPr>
            <w:tcW w:w="915" w:type="pct"/>
            <w:tcBorders>
              <w:top w:val="nil"/>
              <w:left w:val="nil"/>
              <w:bottom w:val="nil"/>
              <w:right w:val="nil"/>
            </w:tcBorders>
            <w:shd w:val="clear" w:color="auto" w:fill="auto"/>
            <w:noWrap/>
            <w:hideMark/>
          </w:tcPr>
          <w:p w14:paraId="14F931A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Mbar_A0543</w:t>
            </w:r>
          </w:p>
        </w:tc>
        <w:tc>
          <w:tcPr>
            <w:tcW w:w="3194" w:type="pct"/>
            <w:tcBorders>
              <w:top w:val="nil"/>
              <w:left w:val="nil"/>
              <w:bottom w:val="nil"/>
              <w:right w:val="nil"/>
            </w:tcBorders>
            <w:shd w:val="clear" w:color="auto" w:fill="auto"/>
            <w:noWrap/>
            <w:hideMark/>
          </w:tcPr>
          <w:p w14:paraId="36F3A45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Methionine--tRNA ligase</w:t>
            </w:r>
          </w:p>
        </w:tc>
        <w:tc>
          <w:tcPr>
            <w:tcW w:w="891" w:type="pct"/>
            <w:tcBorders>
              <w:top w:val="nil"/>
              <w:left w:val="nil"/>
              <w:bottom w:val="nil"/>
              <w:right w:val="nil"/>
            </w:tcBorders>
            <w:shd w:val="clear" w:color="auto" w:fill="auto"/>
            <w:noWrap/>
            <w:hideMark/>
          </w:tcPr>
          <w:p w14:paraId="3BF3BBE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280A16B9" w14:textId="77777777" w:rsidTr="00436CD0">
        <w:trPr>
          <w:trHeight w:val="290"/>
        </w:trPr>
        <w:tc>
          <w:tcPr>
            <w:tcW w:w="915" w:type="pct"/>
            <w:tcBorders>
              <w:top w:val="nil"/>
              <w:left w:val="nil"/>
              <w:bottom w:val="nil"/>
              <w:right w:val="nil"/>
            </w:tcBorders>
            <w:shd w:val="clear" w:color="auto" w:fill="auto"/>
            <w:noWrap/>
            <w:hideMark/>
          </w:tcPr>
          <w:p w14:paraId="0A8E2B0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Mbar_A3613</w:t>
            </w:r>
          </w:p>
        </w:tc>
        <w:tc>
          <w:tcPr>
            <w:tcW w:w="3194" w:type="pct"/>
            <w:tcBorders>
              <w:top w:val="nil"/>
              <w:left w:val="nil"/>
              <w:bottom w:val="nil"/>
              <w:right w:val="nil"/>
            </w:tcBorders>
            <w:shd w:val="clear" w:color="auto" w:fill="auto"/>
            <w:noWrap/>
            <w:hideMark/>
          </w:tcPr>
          <w:p w14:paraId="0B16754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Isoleucine--tRNA ligase </w:t>
            </w:r>
          </w:p>
        </w:tc>
        <w:tc>
          <w:tcPr>
            <w:tcW w:w="891" w:type="pct"/>
            <w:tcBorders>
              <w:top w:val="nil"/>
              <w:left w:val="nil"/>
              <w:bottom w:val="nil"/>
              <w:right w:val="nil"/>
            </w:tcBorders>
            <w:shd w:val="clear" w:color="auto" w:fill="auto"/>
            <w:noWrap/>
            <w:hideMark/>
          </w:tcPr>
          <w:p w14:paraId="779EF42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1.95</w:t>
            </w:r>
          </w:p>
        </w:tc>
      </w:tr>
      <w:tr w:rsidR="00436CD0" w:rsidRPr="00C44D8C" w14:paraId="1E0E6D98" w14:textId="77777777" w:rsidTr="002B29E5">
        <w:trPr>
          <w:trHeight w:val="290"/>
        </w:trPr>
        <w:tc>
          <w:tcPr>
            <w:tcW w:w="915" w:type="pct"/>
            <w:tcBorders>
              <w:top w:val="nil"/>
              <w:left w:val="nil"/>
              <w:bottom w:val="single" w:sz="4" w:space="0" w:color="auto"/>
              <w:right w:val="nil"/>
            </w:tcBorders>
            <w:shd w:val="clear" w:color="auto" w:fill="auto"/>
            <w:noWrap/>
            <w:hideMark/>
          </w:tcPr>
          <w:p w14:paraId="26168FD9" w14:textId="77777777" w:rsidR="00436CD0" w:rsidRPr="00C44D8C" w:rsidRDefault="00436CD0" w:rsidP="00436CD0">
            <w:pPr>
              <w:rPr>
                <w:rFonts w:asciiTheme="minorHAnsi" w:hAnsiTheme="minorHAnsi"/>
                <w:color w:val="000000"/>
                <w:sz w:val="22"/>
                <w:szCs w:val="22"/>
                <w:lang w:eastAsia="en-GB"/>
              </w:rPr>
            </w:pPr>
          </w:p>
        </w:tc>
        <w:tc>
          <w:tcPr>
            <w:tcW w:w="3194" w:type="pct"/>
            <w:tcBorders>
              <w:top w:val="nil"/>
              <w:left w:val="nil"/>
              <w:bottom w:val="single" w:sz="4" w:space="0" w:color="auto"/>
              <w:right w:val="nil"/>
            </w:tcBorders>
            <w:shd w:val="clear" w:color="auto" w:fill="auto"/>
            <w:noWrap/>
            <w:hideMark/>
          </w:tcPr>
          <w:p w14:paraId="4A994D1A" w14:textId="77777777" w:rsidR="00436CD0" w:rsidRPr="00C44D8C" w:rsidRDefault="00436CD0" w:rsidP="00436CD0">
            <w:pPr>
              <w:rPr>
                <w:rFonts w:asciiTheme="minorHAnsi" w:hAnsiTheme="minorHAnsi"/>
                <w:sz w:val="22"/>
                <w:szCs w:val="22"/>
                <w:lang w:eastAsia="en-GB"/>
              </w:rPr>
            </w:pPr>
          </w:p>
        </w:tc>
        <w:tc>
          <w:tcPr>
            <w:tcW w:w="891" w:type="pct"/>
            <w:tcBorders>
              <w:top w:val="nil"/>
              <w:left w:val="nil"/>
              <w:bottom w:val="single" w:sz="4" w:space="0" w:color="auto"/>
              <w:right w:val="nil"/>
            </w:tcBorders>
            <w:shd w:val="clear" w:color="auto" w:fill="auto"/>
            <w:noWrap/>
            <w:hideMark/>
          </w:tcPr>
          <w:p w14:paraId="762FAD0B" w14:textId="77777777" w:rsidR="00436CD0" w:rsidRPr="00C44D8C" w:rsidRDefault="00436CD0" w:rsidP="00436CD0">
            <w:pPr>
              <w:jc w:val="center"/>
              <w:rPr>
                <w:rFonts w:asciiTheme="minorHAnsi" w:hAnsiTheme="minorHAnsi"/>
                <w:sz w:val="22"/>
                <w:szCs w:val="22"/>
                <w:lang w:eastAsia="en-GB"/>
              </w:rPr>
            </w:pPr>
          </w:p>
        </w:tc>
      </w:tr>
      <w:tr w:rsidR="00436CD0" w:rsidRPr="00C44D8C" w14:paraId="4E88DE9C" w14:textId="77777777" w:rsidTr="002B29E5">
        <w:trPr>
          <w:trHeight w:val="310"/>
        </w:trPr>
        <w:tc>
          <w:tcPr>
            <w:tcW w:w="5000" w:type="pct"/>
            <w:gridSpan w:val="3"/>
            <w:tcBorders>
              <w:top w:val="single" w:sz="4" w:space="0" w:color="auto"/>
              <w:bottom w:val="nil"/>
              <w:right w:val="nil"/>
            </w:tcBorders>
            <w:shd w:val="clear" w:color="auto" w:fill="auto"/>
            <w:noWrap/>
            <w:hideMark/>
          </w:tcPr>
          <w:p w14:paraId="2A8F1798"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Transcription</w:t>
            </w:r>
          </w:p>
        </w:tc>
      </w:tr>
      <w:tr w:rsidR="00436CD0" w:rsidRPr="00C44D8C" w14:paraId="20097FEE" w14:textId="77777777" w:rsidTr="00436CD0">
        <w:trPr>
          <w:trHeight w:val="290"/>
        </w:trPr>
        <w:tc>
          <w:tcPr>
            <w:tcW w:w="915" w:type="pct"/>
            <w:tcBorders>
              <w:top w:val="nil"/>
              <w:left w:val="nil"/>
              <w:bottom w:val="nil"/>
              <w:right w:val="nil"/>
            </w:tcBorders>
            <w:shd w:val="clear" w:color="auto" w:fill="auto"/>
            <w:noWrap/>
            <w:hideMark/>
          </w:tcPr>
          <w:p w14:paraId="73D0EFF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Mbar_A3597</w:t>
            </w:r>
          </w:p>
        </w:tc>
        <w:tc>
          <w:tcPr>
            <w:tcW w:w="3194" w:type="pct"/>
            <w:tcBorders>
              <w:top w:val="nil"/>
              <w:left w:val="nil"/>
              <w:bottom w:val="nil"/>
              <w:right w:val="nil"/>
            </w:tcBorders>
            <w:shd w:val="clear" w:color="auto" w:fill="auto"/>
            <w:noWrap/>
            <w:hideMark/>
          </w:tcPr>
          <w:p w14:paraId="3191F89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Small nuclear ribonucleoprotein, LSM family</w:t>
            </w:r>
          </w:p>
        </w:tc>
        <w:tc>
          <w:tcPr>
            <w:tcW w:w="891" w:type="pct"/>
            <w:tcBorders>
              <w:top w:val="nil"/>
              <w:left w:val="nil"/>
              <w:bottom w:val="nil"/>
              <w:right w:val="nil"/>
            </w:tcBorders>
            <w:shd w:val="clear" w:color="auto" w:fill="auto"/>
            <w:noWrap/>
            <w:hideMark/>
          </w:tcPr>
          <w:p w14:paraId="47FBC03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2.48</w:t>
            </w:r>
          </w:p>
        </w:tc>
      </w:tr>
      <w:tr w:rsidR="00436CD0" w:rsidRPr="00C44D8C" w14:paraId="72782B4F" w14:textId="77777777" w:rsidTr="00436CD0">
        <w:trPr>
          <w:trHeight w:val="290"/>
        </w:trPr>
        <w:tc>
          <w:tcPr>
            <w:tcW w:w="915" w:type="pct"/>
            <w:tcBorders>
              <w:top w:val="nil"/>
              <w:left w:val="nil"/>
              <w:bottom w:val="nil"/>
              <w:right w:val="nil"/>
            </w:tcBorders>
            <w:shd w:val="clear" w:color="auto" w:fill="auto"/>
            <w:noWrap/>
          </w:tcPr>
          <w:p w14:paraId="277D9CA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Mbar_A2807</w:t>
            </w:r>
          </w:p>
        </w:tc>
        <w:tc>
          <w:tcPr>
            <w:tcW w:w="3194" w:type="pct"/>
            <w:tcBorders>
              <w:top w:val="nil"/>
              <w:left w:val="nil"/>
              <w:bottom w:val="nil"/>
              <w:right w:val="nil"/>
            </w:tcBorders>
            <w:shd w:val="clear" w:color="auto" w:fill="auto"/>
            <w:noWrap/>
          </w:tcPr>
          <w:p w14:paraId="18EFD90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Type 2 DNA topoisomerase 6 subunit B </w:t>
            </w:r>
          </w:p>
        </w:tc>
        <w:tc>
          <w:tcPr>
            <w:tcW w:w="891" w:type="pct"/>
            <w:tcBorders>
              <w:top w:val="nil"/>
              <w:left w:val="nil"/>
              <w:bottom w:val="nil"/>
              <w:right w:val="nil"/>
            </w:tcBorders>
            <w:shd w:val="clear" w:color="auto" w:fill="auto"/>
            <w:noWrap/>
          </w:tcPr>
          <w:p w14:paraId="446504D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2.47</w:t>
            </w:r>
          </w:p>
        </w:tc>
      </w:tr>
      <w:tr w:rsidR="00436CD0" w:rsidRPr="00C44D8C" w14:paraId="24F42889" w14:textId="77777777" w:rsidTr="00436CD0">
        <w:trPr>
          <w:trHeight w:val="290"/>
        </w:trPr>
        <w:tc>
          <w:tcPr>
            <w:tcW w:w="915" w:type="pct"/>
            <w:tcBorders>
              <w:top w:val="nil"/>
              <w:left w:val="nil"/>
              <w:bottom w:val="nil"/>
              <w:right w:val="nil"/>
            </w:tcBorders>
            <w:shd w:val="clear" w:color="auto" w:fill="auto"/>
            <w:noWrap/>
            <w:hideMark/>
          </w:tcPr>
          <w:p w14:paraId="0722692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Mbar_A1333</w:t>
            </w:r>
          </w:p>
        </w:tc>
        <w:tc>
          <w:tcPr>
            <w:tcW w:w="3194" w:type="pct"/>
            <w:tcBorders>
              <w:top w:val="nil"/>
              <w:left w:val="nil"/>
              <w:bottom w:val="nil"/>
              <w:right w:val="nil"/>
            </w:tcBorders>
            <w:shd w:val="clear" w:color="auto" w:fill="auto"/>
            <w:noWrap/>
            <w:hideMark/>
          </w:tcPr>
          <w:p w14:paraId="4E2946A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ArsR family</w:t>
            </w:r>
          </w:p>
        </w:tc>
        <w:tc>
          <w:tcPr>
            <w:tcW w:w="891" w:type="pct"/>
            <w:tcBorders>
              <w:top w:val="nil"/>
              <w:left w:val="nil"/>
              <w:bottom w:val="nil"/>
              <w:right w:val="nil"/>
            </w:tcBorders>
            <w:shd w:val="clear" w:color="auto" w:fill="auto"/>
            <w:noWrap/>
            <w:hideMark/>
          </w:tcPr>
          <w:p w14:paraId="208838B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2.38</w:t>
            </w:r>
          </w:p>
        </w:tc>
      </w:tr>
      <w:tr w:rsidR="00436CD0" w:rsidRPr="00C44D8C" w14:paraId="27520D95" w14:textId="77777777" w:rsidTr="00436CD0">
        <w:trPr>
          <w:trHeight w:val="290"/>
        </w:trPr>
        <w:tc>
          <w:tcPr>
            <w:tcW w:w="915" w:type="pct"/>
            <w:tcBorders>
              <w:top w:val="nil"/>
              <w:left w:val="nil"/>
              <w:bottom w:val="nil"/>
              <w:right w:val="nil"/>
            </w:tcBorders>
            <w:shd w:val="clear" w:color="auto" w:fill="auto"/>
            <w:noWrap/>
            <w:hideMark/>
          </w:tcPr>
          <w:p w14:paraId="45C3CCC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Mbar_A3695</w:t>
            </w:r>
          </w:p>
        </w:tc>
        <w:tc>
          <w:tcPr>
            <w:tcW w:w="3194" w:type="pct"/>
            <w:tcBorders>
              <w:top w:val="nil"/>
              <w:left w:val="nil"/>
              <w:bottom w:val="nil"/>
              <w:right w:val="nil"/>
            </w:tcBorders>
            <w:shd w:val="clear" w:color="auto" w:fill="auto"/>
            <w:noWrap/>
            <w:hideMark/>
          </w:tcPr>
          <w:p w14:paraId="0393292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DNA-directed RNA polymerase subunit H</w:t>
            </w:r>
          </w:p>
        </w:tc>
        <w:tc>
          <w:tcPr>
            <w:tcW w:w="891" w:type="pct"/>
            <w:tcBorders>
              <w:top w:val="nil"/>
              <w:left w:val="nil"/>
              <w:bottom w:val="nil"/>
              <w:right w:val="nil"/>
            </w:tcBorders>
            <w:shd w:val="clear" w:color="auto" w:fill="auto"/>
            <w:noWrap/>
            <w:hideMark/>
          </w:tcPr>
          <w:p w14:paraId="3F9DE47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2.22</w:t>
            </w:r>
          </w:p>
        </w:tc>
      </w:tr>
      <w:tr w:rsidR="00436CD0" w:rsidRPr="00C44D8C" w14:paraId="6F866BCE" w14:textId="77777777" w:rsidTr="00436CD0">
        <w:trPr>
          <w:trHeight w:val="290"/>
        </w:trPr>
        <w:tc>
          <w:tcPr>
            <w:tcW w:w="915" w:type="pct"/>
            <w:tcBorders>
              <w:top w:val="nil"/>
              <w:left w:val="nil"/>
              <w:bottom w:val="nil"/>
              <w:right w:val="nil"/>
            </w:tcBorders>
            <w:shd w:val="clear" w:color="auto" w:fill="auto"/>
            <w:noWrap/>
            <w:hideMark/>
          </w:tcPr>
          <w:p w14:paraId="11DFE5F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Mbar_A1459</w:t>
            </w:r>
          </w:p>
        </w:tc>
        <w:tc>
          <w:tcPr>
            <w:tcW w:w="3194" w:type="pct"/>
            <w:tcBorders>
              <w:top w:val="nil"/>
              <w:left w:val="nil"/>
              <w:bottom w:val="nil"/>
              <w:right w:val="nil"/>
            </w:tcBorders>
            <w:shd w:val="clear" w:color="auto" w:fill="auto"/>
            <w:noWrap/>
            <w:hideMark/>
          </w:tcPr>
          <w:p w14:paraId="55872B7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AsnC family</w:t>
            </w:r>
          </w:p>
        </w:tc>
        <w:tc>
          <w:tcPr>
            <w:tcW w:w="891" w:type="pct"/>
            <w:tcBorders>
              <w:top w:val="nil"/>
              <w:left w:val="nil"/>
              <w:bottom w:val="nil"/>
              <w:right w:val="nil"/>
            </w:tcBorders>
            <w:shd w:val="clear" w:color="auto" w:fill="auto"/>
            <w:noWrap/>
            <w:hideMark/>
          </w:tcPr>
          <w:p w14:paraId="3D9A9D0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2.14</w:t>
            </w:r>
          </w:p>
        </w:tc>
      </w:tr>
      <w:tr w:rsidR="00436CD0" w:rsidRPr="00C44D8C" w14:paraId="2A55B388" w14:textId="77777777" w:rsidTr="00436CD0">
        <w:trPr>
          <w:trHeight w:val="290"/>
        </w:trPr>
        <w:tc>
          <w:tcPr>
            <w:tcW w:w="915" w:type="pct"/>
            <w:tcBorders>
              <w:top w:val="nil"/>
              <w:left w:val="nil"/>
              <w:bottom w:val="nil"/>
              <w:right w:val="nil"/>
            </w:tcBorders>
            <w:shd w:val="clear" w:color="auto" w:fill="auto"/>
            <w:noWrap/>
            <w:hideMark/>
          </w:tcPr>
          <w:p w14:paraId="12E2B75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Mbar_A2808</w:t>
            </w:r>
          </w:p>
        </w:tc>
        <w:tc>
          <w:tcPr>
            <w:tcW w:w="3194" w:type="pct"/>
            <w:tcBorders>
              <w:top w:val="nil"/>
              <w:left w:val="nil"/>
              <w:bottom w:val="nil"/>
              <w:right w:val="nil"/>
            </w:tcBorders>
            <w:shd w:val="clear" w:color="auto" w:fill="auto"/>
            <w:noWrap/>
            <w:hideMark/>
          </w:tcPr>
          <w:p w14:paraId="1EA182F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AsnC family</w:t>
            </w:r>
          </w:p>
        </w:tc>
        <w:tc>
          <w:tcPr>
            <w:tcW w:w="891" w:type="pct"/>
            <w:tcBorders>
              <w:top w:val="nil"/>
              <w:left w:val="nil"/>
              <w:bottom w:val="nil"/>
              <w:right w:val="nil"/>
            </w:tcBorders>
            <w:shd w:val="clear" w:color="auto" w:fill="auto"/>
            <w:noWrap/>
            <w:hideMark/>
          </w:tcPr>
          <w:p w14:paraId="352A143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2.05</w:t>
            </w:r>
          </w:p>
        </w:tc>
      </w:tr>
      <w:tr w:rsidR="00436CD0" w:rsidRPr="00C44D8C" w14:paraId="5BE53C87" w14:textId="77777777" w:rsidTr="00436CD0">
        <w:trPr>
          <w:trHeight w:val="290"/>
        </w:trPr>
        <w:tc>
          <w:tcPr>
            <w:tcW w:w="915" w:type="pct"/>
            <w:tcBorders>
              <w:top w:val="nil"/>
              <w:left w:val="nil"/>
              <w:bottom w:val="nil"/>
              <w:right w:val="nil"/>
            </w:tcBorders>
            <w:shd w:val="clear" w:color="auto" w:fill="auto"/>
            <w:noWrap/>
            <w:hideMark/>
          </w:tcPr>
          <w:p w14:paraId="34D53B6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Mbar_A0196</w:t>
            </w:r>
          </w:p>
        </w:tc>
        <w:tc>
          <w:tcPr>
            <w:tcW w:w="3194" w:type="pct"/>
            <w:tcBorders>
              <w:top w:val="nil"/>
              <w:left w:val="nil"/>
              <w:bottom w:val="nil"/>
              <w:right w:val="nil"/>
            </w:tcBorders>
            <w:shd w:val="clear" w:color="auto" w:fill="auto"/>
            <w:noWrap/>
            <w:hideMark/>
          </w:tcPr>
          <w:p w14:paraId="7355A85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Transcription factor E </w:t>
            </w:r>
          </w:p>
        </w:tc>
        <w:tc>
          <w:tcPr>
            <w:tcW w:w="891" w:type="pct"/>
            <w:tcBorders>
              <w:top w:val="nil"/>
              <w:left w:val="nil"/>
              <w:bottom w:val="nil"/>
              <w:right w:val="nil"/>
            </w:tcBorders>
            <w:shd w:val="clear" w:color="auto" w:fill="auto"/>
            <w:noWrap/>
            <w:hideMark/>
          </w:tcPr>
          <w:p w14:paraId="38276F4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140F4450" w14:textId="77777777" w:rsidTr="00436CD0">
        <w:trPr>
          <w:trHeight w:val="290"/>
        </w:trPr>
        <w:tc>
          <w:tcPr>
            <w:tcW w:w="915" w:type="pct"/>
            <w:tcBorders>
              <w:top w:val="nil"/>
              <w:left w:val="nil"/>
              <w:bottom w:val="nil"/>
              <w:right w:val="nil"/>
            </w:tcBorders>
            <w:shd w:val="clear" w:color="auto" w:fill="auto"/>
            <w:noWrap/>
            <w:hideMark/>
          </w:tcPr>
          <w:p w14:paraId="044FEE4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Mbar_A1637</w:t>
            </w:r>
          </w:p>
        </w:tc>
        <w:tc>
          <w:tcPr>
            <w:tcW w:w="3194" w:type="pct"/>
            <w:tcBorders>
              <w:top w:val="nil"/>
              <w:left w:val="nil"/>
              <w:bottom w:val="nil"/>
              <w:right w:val="nil"/>
            </w:tcBorders>
            <w:shd w:val="clear" w:color="auto" w:fill="auto"/>
            <w:noWrap/>
            <w:hideMark/>
          </w:tcPr>
          <w:p w14:paraId="097598A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DNA-directed RNA polymerase subunit L </w:t>
            </w:r>
          </w:p>
        </w:tc>
        <w:tc>
          <w:tcPr>
            <w:tcW w:w="891" w:type="pct"/>
            <w:tcBorders>
              <w:top w:val="nil"/>
              <w:left w:val="nil"/>
              <w:bottom w:val="nil"/>
              <w:right w:val="nil"/>
            </w:tcBorders>
            <w:shd w:val="clear" w:color="auto" w:fill="auto"/>
            <w:noWrap/>
            <w:hideMark/>
          </w:tcPr>
          <w:p w14:paraId="7F6D02B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7D259761" w14:textId="77777777" w:rsidTr="00436CD0">
        <w:trPr>
          <w:trHeight w:val="290"/>
        </w:trPr>
        <w:tc>
          <w:tcPr>
            <w:tcW w:w="915" w:type="pct"/>
            <w:tcBorders>
              <w:top w:val="nil"/>
              <w:left w:val="nil"/>
              <w:bottom w:val="nil"/>
              <w:right w:val="nil"/>
            </w:tcBorders>
            <w:shd w:val="clear" w:color="auto" w:fill="auto"/>
            <w:noWrap/>
            <w:hideMark/>
          </w:tcPr>
          <w:p w14:paraId="28BC6C5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Mbar_A2509</w:t>
            </w:r>
          </w:p>
        </w:tc>
        <w:tc>
          <w:tcPr>
            <w:tcW w:w="3194" w:type="pct"/>
            <w:tcBorders>
              <w:top w:val="nil"/>
              <w:left w:val="nil"/>
              <w:bottom w:val="nil"/>
              <w:right w:val="nil"/>
            </w:tcBorders>
            <w:shd w:val="clear" w:color="auto" w:fill="auto"/>
            <w:noWrap/>
            <w:hideMark/>
          </w:tcPr>
          <w:p w14:paraId="5F94C65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DNA-directed RNA polymerase subunit P</w:t>
            </w:r>
          </w:p>
        </w:tc>
        <w:tc>
          <w:tcPr>
            <w:tcW w:w="891" w:type="pct"/>
            <w:tcBorders>
              <w:top w:val="nil"/>
              <w:left w:val="nil"/>
              <w:bottom w:val="nil"/>
              <w:right w:val="nil"/>
            </w:tcBorders>
            <w:shd w:val="clear" w:color="auto" w:fill="auto"/>
            <w:noWrap/>
            <w:hideMark/>
          </w:tcPr>
          <w:p w14:paraId="698A63D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1.97</w:t>
            </w:r>
          </w:p>
        </w:tc>
      </w:tr>
      <w:tr w:rsidR="00436CD0" w:rsidRPr="00C44D8C" w14:paraId="200FAC9F" w14:textId="77777777" w:rsidTr="00436CD0">
        <w:trPr>
          <w:trHeight w:val="290"/>
        </w:trPr>
        <w:tc>
          <w:tcPr>
            <w:tcW w:w="915" w:type="pct"/>
            <w:tcBorders>
              <w:top w:val="nil"/>
              <w:left w:val="nil"/>
              <w:bottom w:val="nil"/>
              <w:right w:val="nil"/>
            </w:tcBorders>
            <w:shd w:val="clear" w:color="auto" w:fill="auto"/>
            <w:noWrap/>
            <w:hideMark/>
          </w:tcPr>
          <w:p w14:paraId="262D67B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Mbar_A0616</w:t>
            </w:r>
          </w:p>
        </w:tc>
        <w:tc>
          <w:tcPr>
            <w:tcW w:w="3194" w:type="pct"/>
            <w:tcBorders>
              <w:top w:val="nil"/>
              <w:left w:val="nil"/>
              <w:bottom w:val="nil"/>
              <w:right w:val="nil"/>
            </w:tcBorders>
            <w:shd w:val="clear" w:color="auto" w:fill="auto"/>
            <w:noWrap/>
            <w:hideMark/>
          </w:tcPr>
          <w:p w14:paraId="36F18F1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 elongation factor Spt5</w:t>
            </w:r>
          </w:p>
        </w:tc>
        <w:tc>
          <w:tcPr>
            <w:tcW w:w="891" w:type="pct"/>
            <w:tcBorders>
              <w:top w:val="nil"/>
              <w:left w:val="nil"/>
              <w:bottom w:val="nil"/>
              <w:right w:val="nil"/>
            </w:tcBorders>
            <w:shd w:val="clear" w:color="auto" w:fill="auto"/>
            <w:noWrap/>
            <w:hideMark/>
          </w:tcPr>
          <w:p w14:paraId="6C0BE9A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1.97</w:t>
            </w:r>
          </w:p>
        </w:tc>
      </w:tr>
      <w:tr w:rsidR="00436CD0" w:rsidRPr="00C44D8C" w14:paraId="343B12BA" w14:textId="77777777" w:rsidTr="00436CD0">
        <w:trPr>
          <w:trHeight w:val="290"/>
        </w:trPr>
        <w:tc>
          <w:tcPr>
            <w:tcW w:w="915" w:type="pct"/>
            <w:tcBorders>
              <w:top w:val="nil"/>
              <w:left w:val="nil"/>
              <w:bottom w:val="nil"/>
              <w:right w:val="nil"/>
            </w:tcBorders>
            <w:shd w:val="clear" w:color="auto" w:fill="auto"/>
            <w:noWrap/>
            <w:hideMark/>
          </w:tcPr>
          <w:p w14:paraId="145E1A7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Mbar_A0284</w:t>
            </w:r>
          </w:p>
        </w:tc>
        <w:tc>
          <w:tcPr>
            <w:tcW w:w="3194" w:type="pct"/>
            <w:tcBorders>
              <w:top w:val="nil"/>
              <w:left w:val="nil"/>
              <w:bottom w:val="nil"/>
              <w:right w:val="nil"/>
            </w:tcBorders>
            <w:shd w:val="clear" w:color="auto" w:fill="auto"/>
            <w:noWrap/>
            <w:hideMark/>
          </w:tcPr>
          <w:p w14:paraId="792A24B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 elongation factor Spt4</w:t>
            </w:r>
          </w:p>
        </w:tc>
        <w:tc>
          <w:tcPr>
            <w:tcW w:w="891" w:type="pct"/>
            <w:tcBorders>
              <w:top w:val="nil"/>
              <w:left w:val="nil"/>
              <w:bottom w:val="nil"/>
              <w:right w:val="nil"/>
            </w:tcBorders>
            <w:shd w:val="clear" w:color="auto" w:fill="auto"/>
            <w:noWrap/>
            <w:hideMark/>
          </w:tcPr>
          <w:p w14:paraId="60D05AD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1.96</w:t>
            </w:r>
          </w:p>
        </w:tc>
      </w:tr>
      <w:tr w:rsidR="00436CD0" w:rsidRPr="00C44D8C" w14:paraId="57C281F1" w14:textId="77777777" w:rsidTr="00436CD0">
        <w:trPr>
          <w:trHeight w:val="290"/>
        </w:trPr>
        <w:tc>
          <w:tcPr>
            <w:tcW w:w="915" w:type="pct"/>
            <w:tcBorders>
              <w:top w:val="nil"/>
              <w:left w:val="nil"/>
              <w:bottom w:val="nil"/>
              <w:right w:val="nil"/>
            </w:tcBorders>
            <w:shd w:val="clear" w:color="auto" w:fill="auto"/>
            <w:noWrap/>
            <w:hideMark/>
          </w:tcPr>
          <w:p w14:paraId="594A2AC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Mbar_A1424</w:t>
            </w:r>
          </w:p>
        </w:tc>
        <w:tc>
          <w:tcPr>
            <w:tcW w:w="3194" w:type="pct"/>
            <w:tcBorders>
              <w:top w:val="nil"/>
              <w:left w:val="nil"/>
              <w:bottom w:val="nil"/>
              <w:right w:val="nil"/>
            </w:tcBorders>
            <w:shd w:val="clear" w:color="auto" w:fill="auto"/>
            <w:noWrap/>
            <w:hideMark/>
          </w:tcPr>
          <w:p w14:paraId="0D572F5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DNA-directed RNA polymerase subunit K </w:t>
            </w:r>
          </w:p>
        </w:tc>
        <w:tc>
          <w:tcPr>
            <w:tcW w:w="891" w:type="pct"/>
            <w:tcBorders>
              <w:top w:val="nil"/>
              <w:left w:val="nil"/>
              <w:bottom w:val="nil"/>
              <w:right w:val="nil"/>
            </w:tcBorders>
            <w:shd w:val="clear" w:color="auto" w:fill="auto"/>
            <w:noWrap/>
            <w:hideMark/>
          </w:tcPr>
          <w:p w14:paraId="64C0E94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1.96</w:t>
            </w:r>
          </w:p>
        </w:tc>
      </w:tr>
      <w:tr w:rsidR="00436CD0" w:rsidRPr="00C44D8C" w14:paraId="262FE052" w14:textId="77777777" w:rsidTr="00436CD0">
        <w:trPr>
          <w:trHeight w:val="290"/>
        </w:trPr>
        <w:tc>
          <w:tcPr>
            <w:tcW w:w="915" w:type="pct"/>
            <w:tcBorders>
              <w:top w:val="nil"/>
              <w:left w:val="nil"/>
              <w:bottom w:val="nil"/>
              <w:right w:val="nil"/>
            </w:tcBorders>
            <w:shd w:val="clear" w:color="auto" w:fill="auto"/>
            <w:noWrap/>
            <w:hideMark/>
          </w:tcPr>
          <w:p w14:paraId="5BFFCE0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Mbar_A2535</w:t>
            </w:r>
          </w:p>
        </w:tc>
        <w:tc>
          <w:tcPr>
            <w:tcW w:w="3194" w:type="pct"/>
            <w:tcBorders>
              <w:top w:val="nil"/>
              <w:left w:val="nil"/>
              <w:bottom w:val="nil"/>
              <w:right w:val="nil"/>
            </w:tcBorders>
            <w:shd w:val="clear" w:color="auto" w:fill="auto"/>
            <w:noWrap/>
            <w:hideMark/>
          </w:tcPr>
          <w:p w14:paraId="7F8F7CF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DNA-directed RNA polymerases I, II, and III</w:t>
            </w:r>
          </w:p>
        </w:tc>
        <w:tc>
          <w:tcPr>
            <w:tcW w:w="891" w:type="pct"/>
            <w:tcBorders>
              <w:top w:val="nil"/>
              <w:left w:val="nil"/>
              <w:bottom w:val="nil"/>
              <w:right w:val="nil"/>
            </w:tcBorders>
            <w:shd w:val="clear" w:color="auto" w:fill="auto"/>
            <w:noWrap/>
            <w:hideMark/>
          </w:tcPr>
          <w:p w14:paraId="3EBAFAA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1.92</w:t>
            </w:r>
          </w:p>
        </w:tc>
      </w:tr>
      <w:tr w:rsidR="00436CD0" w:rsidRPr="00C44D8C" w14:paraId="22430B26" w14:textId="77777777" w:rsidTr="00436CD0">
        <w:trPr>
          <w:trHeight w:val="290"/>
        </w:trPr>
        <w:tc>
          <w:tcPr>
            <w:tcW w:w="915" w:type="pct"/>
            <w:tcBorders>
              <w:top w:val="nil"/>
              <w:left w:val="nil"/>
              <w:bottom w:val="nil"/>
              <w:right w:val="nil"/>
            </w:tcBorders>
            <w:shd w:val="clear" w:color="auto" w:fill="auto"/>
            <w:noWrap/>
            <w:hideMark/>
          </w:tcPr>
          <w:p w14:paraId="15BD6DF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Mbar_A2865</w:t>
            </w:r>
          </w:p>
        </w:tc>
        <w:tc>
          <w:tcPr>
            <w:tcW w:w="3194" w:type="pct"/>
            <w:tcBorders>
              <w:top w:val="nil"/>
              <w:left w:val="nil"/>
              <w:bottom w:val="nil"/>
              <w:right w:val="nil"/>
            </w:tcBorders>
            <w:shd w:val="clear" w:color="auto" w:fill="auto"/>
            <w:noWrap/>
            <w:hideMark/>
          </w:tcPr>
          <w:p w14:paraId="1F30CE8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ArsR family</w:t>
            </w:r>
          </w:p>
        </w:tc>
        <w:tc>
          <w:tcPr>
            <w:tcW w:w="891" w:type="pct"/>
            <w:tcBorders>
              <w:top w:val="nil"/>
              <w:left w:val="nil"/>
              <w:bottom w:val="nil"/>
              <w:right w:val="nil"/>
            </w:tcBorders>
            <w:shd w:val="clear" w:color="auto" w:fill="auto"/>
            <w:noWrap/>
            <w:hideMark/>
          </w:tcPr>
          <w:p w14:paraId="2E7038E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7AE87D4C" w14:textId="77777777" w:rsidTr="00436CD0">
        <w:trPr>
          <w:trHeight w:val="290"/>
        </w:trPr>
        <w:tc>
          <w:tcPr>
            <w:tcW w:w="915" w:type="pct"/>
            <w:tcBorders>
              <w:top w:val="nil"/>
              <w:left w:val="nil"/>
              <w:bottom w:val="nil"/>
              <w:right w:val="nil"/>
            </w:tcBorders>
            <w:shd w:val="clear" w:color="auto" w:fill="auto"/>
            <w:noWrap/>
            <w:hideMark/>
          </w:tcPr>
          <w:p w14:paraId="010F6A8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Mbar_A1033</w:t>
            </w:r>
          </w:p>
        </w:tc>
        <w:tc>
          <w:tcPr>
            <w:tcW w:w="3194" w:type="pct"/>
            <w:tcBorders>
              <w:top w:val="nil"/>
              <w:left w:val="nil"/>
              <w:bottom w:val="nil"/>
              <w:right w:val="nil"/>
            </w:tcBorders>
            <w:shd w:val="clear" w:color="auto" w:fill="auto"/>
            <w:noWrap/>
            <w:hideMark/>
          </w:tcPr>
          <w:p w14:paraId="4775851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XRE family</w:t>
            </w:r>
          </w:p>
        </w:tc>
        <w:tc>
          <w:tcPr>
            <w:tcW w:w="891" w:type="pct"/>
            <w:tcBorders>
              <w:top w:val="nil"/>
              <w:left w:val="nil"/>
              <w:bottom w:val="nil"/>
              <w:right w:val="nil"/>
            </w:tcBorders>
            <w:shd w:val="clear" w:color="auto" w:fill="auto"/>
            <w:noWrap/>
            <w:hideMark/>
          </w:tcPr>
          <w:p w14:paraId="027FC65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66CC63D1" w14:textId="77777777" w:rsidTr="00436CD0">
        <w:trPr>
          <w:trHeight w:val="290"/>
        </w:trPr>
        <w:tc>
          <w:tcPr>
            <w:tcW w:w="915" w:type="pct"/>
            <w:tcBorders>
              <w:top w:val="nil"/>
              <w:left w:val="nil"/>
              <w:bottom w:val="nil"/>
              <w:right w:val="nil"/>
            </w:tcBorders>
            <w:shd w:val="clear" w:color="auto" w:fill="auto"/>
            <w:noWrap/>
            <w:hideMark/>
          </w:tcPr>
          <w:p w14:paraId="441BC55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Mbar_A0285</w:t>
            </w:r>
          </w:p>
        </w:tc>
        <w:tc>
          <w:tcPr>
            <w:tcW w:w="3194" w:type="pct"/>
            <w:tcBorders>
              <w:top w:val="nil"/>
              <w:left w:val="nil"/>
              <w:bottom w:val="nil"/>
              <w:right w:val="nil"/>
            </w:tcBorders>
            <w:shd w:val="clear" w:color="auto" w:fill="auto"/>
            <w:noWrap/>
            <w:hideMark/>
          </w:tcPr>
          <w:p w14:paraId="786DBD2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DNA-directed RNA polymerase, subunit E </w:t>
            </w:r>
          </w:p>
        </w:tc>
        <w:tc>
          <w:tcPr>
            <w:tcW w:w="891" w:type="pct"/>
            <w:tcBorders>
              <w:top w:val="nil"/>
              <w:left w:val="nil"/>
              <w:bottom w:val="nil"/>
              <w:right w:val="nil"/>
            </w:tcBorders>
            <w:shd w:val="clear" w:color="auto" w:fill="auto"/>
            <w:noWrap/>
            <w:hideMark/>
          </w:tcPr>
          <w:p w14:paraId="24FF076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1.87</w:t>
            </w:r>
          </w:p>
        </w:tc>
      </w:tr>
      <w:tr w:rsidR="00436CD0" w:rsidRPr="00C44D8C" w14:paraId="042F0D95" w14:textId="77777777" w:rsidTr="00436CD0">
        <w:trPr>
          <w:trHeight w:val="290"/>
        </w:trPr>
        <w:tc>
          <w:tcPr>
            <w:tcW w:w="915" w:type="pct"/>
            <w:tcBorders>
              <w:top w:val="nil"/>
              <w:left w:val="nil"/>
              <w:bottom w:val="nil"/>
              <w:right w:val="nil"/>
            </w:tcBorders>
            <w:shd w:val="clear" w:color="auto" w:fill="auto"/>
            <w:noWrap/>
            <w:hideMark/>
          </w:tcPr>
          <w:p w14:paraId="4A1E41D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Mbar_A3689</w:t>
            </w:r>
          </w:p>
        </w:tc>
        <w:tc>
          <w:tcPr>
            <w:tcW w:w="3194" w:type="pct"/>
            <w:tcBorders>
              <w:top w:val="nil"/>
              <w:left w:val="nil"/>
              <w:bottom w:val="nil"/>
              <w:right w:val="nil"/>
            </w:tcBorders>
            <w:shd w:val="clear" w:color="auto" w:fill="auto"/>
            <w:noWrap/>
            <w:hideMark/>
          </w:tcPr>
          <w:p w14:paraId="05D17535" w14:textId="77777777" w:rsidR="00436CD0" w:rsidRPr="00C44D8C" w:rsidRDefault="00436CD0" w:rsidP="00436CD0">
            <w:pPr>
              <w:rPr>
                <w:rFonts w:asciiTheme="minorHAnsi" w:hAnsiTheme="minorHAnsi"/>
                <w:color w:val="000000"/>
                <w:sz w:val="22"/>
                <w:szCs w:val="22"/>
                <w:lang w:val="fr-FR" w:eastAsia="en-GB"/>
              </w:rPr>
            </w:pPr>
            <w:r w:rsidRPr="00C44D8C">
              <w:rPr>
                <w:rFonts w:asciiTheme="minorHAnsi" w:hAnsiTheme="minorHAnsi"/>
                <w:color w:val="000000"/>
                <w:sz w:val="22"/>
                <w:szCs w:val="22"/>
                <w:lang w:val="fr-FR" w:eastAsia="en-GB"/>
              </w:rPr>
              <w:t>Probable transcription termination protein NusA</w:t>
            </w:r>
          </w:p>
        </w:tc>
        <w:tc>
          <w:tcPr>
            <w:tcW w:w="891" w:type="pct"/>
            <w:tcBorders>
              <w:top w:val="nil"/>
              <w:left w:val="nil"/>
              <w:bottom w:val="nil"/>
              <w:right w:val="nil"/>
            </w:tcBorders>
            <w:shd w:val="clear" w:color="auto" w:fill="auto"/>
            <w:noWrap/>
            <w:hideMark/>
          </w:tcPr>
          <w:p w14:paraId="4F8A356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2F8CD693" w14:textId="77777777" w:rsidTr="00436CD0">
        <w:trPr>
          <w:trHeight w:val="290"/>
        </w:trPr>
        <w:tc>
          <w:tcPr>
            <w:tcW w:w="915" w:type="pct"/>
            <w:tcBorders>
              <w:top w:val="nil"/>
              <w:left w:val="nil"/>
              <w:bottom w:val="nil"/>
              <w:right w:val="nil"/>
            </w:tcBorders>
            <w:shd w:val="clear" w:color="auto" w:fill="auto"/>
            <w:noWrap/>
            <w:hideMark/>
          </w:tcPr>
          <w:p w14:paraId="1C28AED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Mbar_A0621</w:t>
            </w:r>
          </w:p>
        </w:tc>
        <w:tc>
          <w:tcPr>
            <w:tcW w:w="3194" w:type="pct"/>
            <w:tcBorders>
              <w:top w:val="nil"/>
              <w:left w:val="nil"/>
              <w:bottom w:val="nil"/>
              <w:right w:val="nil"/>
            </w:tcBorders>
            <w:shd w:val="clear" w:color="auto" w:fill="auto"/>
            <w:noWrap/>
            <w:hideMark/>
          </w:tcPr>
          <w:p w14:paraId="5FC88AA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XRE family</w:t>
            </w:r>
          </w:p>
        </w:tc>
        <w:tc>
          <w:tcPr>
            <w:tcW w:w="891" w:type="pct"/>
            <w:tcBorders>
              <w:top w:val="nil"/>
              <w:left w:val="nil"/>
              <w:bottom w:val="nil"/>
              <w:right w:val="nil"/>
            </w:tcBorders>
            <w:shd w:val="clear" w:color="auto" w:fill="auto"/>
            <w:noWrap/>
            <w:hideMark/>
          </w:tcPr>
          <w:p w14:paraId="2B7B2D7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1.83</w:t>
            </w:r>
          </w:p>
        </w:tc>
      </w:tr>
      <w:tr w:rsidR="00436CD0" w:rsidRPr="00C44D8C" w14:paraId="5FB4B858" w14:textId="77777777" w:rsidTr="00436CD0">
        <w:trPr>
          <w:trHeight w:val="290"/>
        </w:trPr>
        <w:tc>
          <w:tcPr>
            <w:tcW w:w="915" w:type="pct"/>
            <w:tcBorders>
              <w:top w:val="nil"/>
              <w:left w:val="nil"/>
              <w:bottom w:val="nil"/>
              <w:right w:val="nil"/>
            </w:tcBorders>
            <w:shd w:val="clear" w:color="auto" w:fill="auto"/>
            <w:noWrap/>
            <w:hideMark/>
          </w:tcPr>
          <w:p w14:paraId="491087C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Mbar_A2079</w:t>
            </w:r>
          </w:p>
        </w:tc>
        <w:tc>
          <w:tcPr>
            <w:tcW w:w="3194" w:type="pct"/>
            <w:tcBorders>
              <w:top w:val="nil"/>
              <w:left w:val="nil"/>
              <w:bottom w:val="nil"/>
              <w:right w:val="nil"/>
            </w:tcBorders>
            <w:shd w:val="clear" w:color="auto" w:fill="auto"/>
            <w:noWrap/>
            <w:hideMark/>
          </w:tcPr>
          <w:p w14:paraId="1A3627A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XRE family</w:t>
            </w:r>
          </w:p>
        </w:tc>
        <w:tc>
          <w:tcPr>
            <w:tcW w:w="891" w:type="pct"/>
            <w:tcBorders>
              <w:top w:val="nil"/>
              <w:left w:val="nil"/>
              <w:bottom w:val="nil"/>
              <w:right w:val="nil"/>
            </w:tcBorders>
            <w:shd w:val="clear" w:color="auto" w:fill="auto"/>
            <w:noWrap/>
            <w:hideMark/>
          </w:tcPr>
          <w:p w14:paraId="2A9CE2C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1.82</w:t>
            </w:r>
          </w:p>
        </w:tc>
      </w:tr>
      <w:tr w:rsidR="00436CD0" w:rsidRPr="00C44D8C" w14:paraId="4046F290" w14:textId="77777777" w:rsidTr="00436CD0">
        <w:trPr>
          <w:trHeight w:val="290"/>
        </w:trPr>
        <w:tc>
          <w:tcPr>
            <w:tcW w:w="915" w:type="pct"/>
            <w:tcBorders>
              <w:top w:val="nil"/>
              <w:left w:val="nil"/>
              <w:bottom w:val="nil"/>
              <w:right w:val="nil"/>
            </w:tcBorders>
            <w:shd w:val="clear" w:color="auto" w:fill="auto"/>
            <w:noWrap/>
            <w:hideMark/>
          </w:tcPr>
          <w:p w14:paraId="3310EF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Mbar_A3448</w:t>
            </w:r>
          </w:p>
        </w:tc>
        <w:tc>
          <w:tcPr>
            <w:tcW w:w="3194" w:type="pct"/>
            <w:tcBorders>
              <w:top w:val="nil"/>
              <w:left w:val="nil"/>
              <w:bottom w:val="nil"/>
              <w:right w:val="nil"/>
            </w:tcBorders>
            <w:shd w:val="clear" w:color="auto" w:fill="auto"/>
            <w:noWrap/>
            <w:hideMark/>
          </w:tcPr>
          <w:p w14:paraId="2BCD1BB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Putative transcriptional regulator</w:t>
            </w:r>
          </w:p>
        </w:tc>
        <w:tc>
          <w:tcPr>
            <w:tcW w:w="891" w:type="pct"/>
            <w:tcBorders>
              <w:top w:val="nil"/>
              <w:left w:val="nil"/>
              <w:bottom w:val="nil"/>
              <w:right w:val="nil"/>
            </w:tcBorders>
            <w:shd w:val="clear" w:color="auto" w:fill="auto"/>
            <w:noWrap/>
            <w:hideMark/>
          </w:tcPr>
          <w:p w14:paraId="76AC04F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1.81</w:t>
            </w:r>
          </w:p>
        </w:tc>
      </w:tr>
      <w:tr w:rsidR="00436CD0" w:rsidRPr="00C44D8C" w14:paraId="2646F507" w14:textId="77777777" w:rsidTr="00436CD0">
        <w:trPr>
          <w:trHeight w:val="290"/>
        </w:trPr>
        <w:tc>
          <w:tcPr>
            <w:tcW w:w="915" w:type="pct"/>
            <w:tcBorders>
              <w:top w:val="nil"/>
              <w:left w:val="nil"/>
              <w:bottom w:val="nil"/>
              <w:right w:val="nil"/>
            </w:tcBorders>
            <w:shd w:val="clear" w:color="auto" w:fill="auto"/>
            <w:noWrap/>
            <w:hideMark/>
          </w:tcPr>
          <w:p w14:paraId="7CD443C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Mbar_A2410</w:t>
            </w:r>
          </w:p>
        </w:tc>
        <w:tc>
          <w:tcPr>
            <w:tcW w:w="3194" w:type="pct"/>
            <w:tcBorders>
              <w:top w:val="nil"/>
              <w:left w:val="nil"/>
              <w:bottom w:val="nil"/>
              <w:right w:val="nil"/>
            </w:tcBorders>
            <w:shd w:val="clear" w:color="auto" w:fill="auto"/>
            <w:noWrap/>
            <w:hideMark/>
          </w:tcPr>
          <w:p w14:paraId="7638C50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 topoisomerase 1 </w:t>
            </w:r>
          </w:p>
        </w:tc>
        <w:tc>
          <w:tcPr>
            <w:tcW w:w="891" w:type="pct"/>
            <w:tcBorders>
              <w:top w:val="nil"/>
              <w:left w:val="nil"/>
              <w:bottom w:val="nil"/>
              <w:right w:val="nil"/>
            </w:tcBorders>
            <w:shd w:val="clear" w:color="auto" w:fill="auto"/>
            <w:noWrap/>
            <w:hideMark/>
          </w:tcPr>
          <w:p w14:paraId="7AEB0C6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4B2163E8" w14:textId="77777777" w:rsidTr="00436CD0">
        <w:trPr>
          <w:trHeight w:val="290"/>
        </w:trPr>
        <w:tc>
          <w:tcPr>
            <w:tcW w:w="915" w:type="pct"/>
            <w:tcBorders>
              <w:top w:val="nil"/>
              <w:left w:val="nil"/>
              <w:bottom w:val="nil"/>
              <w:right w:val="nil"/>
            </w:tcBorders>
            <w:shd w:val="clear" w:color="auto" w:fill="auto"/>
            <w:noWrap/>
            <w:hideMark/>
          </w:tcPr>
          <w:p w14:paraId="0B32D6E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Mbar_A1729</w:t>
            </w:r>
          </w:p>
        </w:tc>
        <w:tc>
          <w:tcPr>
            <w:tcW w:w="3194" w:type="pct"/>
            <w:tcBorders>
              <w:top w:val="nil"/>
              <w:left w:val="nil"/>
              <w:bottom w:val="nil"/>
              <w:right w:val="nil"/>
            </w:tcBorders>
            <w:shd w:val="clear" w:color="auto" w:fill="auto"/>
            <w:noWrap/>
            <w:hideMark/>
          </w:tcPr>
          <w:p w14:paraId="386B08B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ArsR family</w:t>
            </w:r>
          </w:p>
        </w:tc>
        <w:tc>
          <w:tcPr>
            <w:tcW w:w="891" w:type="pct"/>
            <w:tcBorders>
              <w:top w:val="nil"/>
              <w:left w:val="nil"/>
              <w:bottom w:val="nil"/>
              <w:right w:val="nil"/>
            </w:tcBorders>
            <w:shd w:val="clear" w:color="auto" w:fill="auto"/>
            <w:noWrap/>
            <w:hideMark/>
          </w:tcPr>
          <w:p w14:paraId="7D3A92D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5C0BCB5C" w14:textId="77777777" w:rsidTr="00436CD0">
        <w:trPr>
          <w:trHeight w:val="290"/>
        </w:trPr>
        <w:tc>
          <w:tcPr>
            <w:tcW w:w="915" w:type="pct"/>
            <w:tcBorders>
              <w:top w:val="nil"/>
              <w:left w:val="nil"/>
              <w:bottom w:val="nil"/>
              <w:right w:val="nil"/>
            </w:tcBorders>
            <w:shd w:val="clear" w:color="auto" w:fill="auto"/>
            <w:noWrap/>
            <w:hideMark/>
          </w:tcPr>
          <w:p w14:paraId="5B028E8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Mbar_A0507</w:t>
            </w:r>
          </w:p>
        </w:tc>
        <w:tc>
          <w:tcPr>
            <w:tcW w:w="3194" w:type="pct"/>
            <w:tcBorders>
              <w:top w:val="nil"/>
              <w:left w:val="nil"/>
              <w:bottom w:val="nil"/>
              <w:right w:val="nil"/>
            </w:tcBorders>
            <w:shd w:val="clear" w:color="auto" w:fill="auto"/>
            <w:noWrap/>
            <w:hideMark/>
          </w:tcPr>
          <w:p w14:paraId="0C22A35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Putative nickel-responsive regulator</w:t>
            </w:r>
          </w:p>
        </w:tc>
        <w:tc>
          <w:tcPr>
            <w:tcW w:w="891" w:type="pct"/>
            <w:tcBorders>
              <w:top w:val="nil"/>
              <w:left w:val="nil"/>
              <w:bottom w:val="nil"/>
              <w:right w:val="nil"/>
            </w:tcBorders>
            <w:shd w:val="clear" w:color="auto" w:fill="auto"/>
            <w:noWrap/>
            <w:hideMark/>
          </w:tcPr>
          <w:p w14:paraId="27E01ED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1.78</w:t>
            </w:r>
          </w:p>
        </w:tc>
      </w:tr>
      <w:tr w:rsidR="00436CD0" w:rsidRPr="00C44D8C" w14:paraId="564788B7" w14:textId="77777777" w:rsidTr="00436CD0">
        <w:trPr>
          <w:trHeight w:val="290"/>
        </w:trPr>
        <w:tc>
          <w:tcPr>
            <w:tcW w:w="915" w:type="pct"/>
            <w:tcBorders>
              <w:top w:val="nil"/>
              <w:left w:val="nil"/>
              <w:bottom w:val="nil"/>
              <w:right w:val="nil"/>
            </w:tcBorders>
            <w:shd w:val="clear" w:color="auto" w:fill="auto"/>
            <w:noWrap/>
            <w:hideMark/>
          </w:tcPr>
          <w:p w14:paraId="4B857D8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Mbar_A1270</w:t>
            </w:r>
          </w:p>
        </w:tc>
        <w:tc>
          <w:tcPr>
            <w:tcW w:w="3194" w:type="pct"/>
            <w:tcBorders>
              <w:top w:val="nil"/>
              <w:left w:val="nil"/>
              <w:bottom w:val="nil"/>
              <w:right w:val="nil"/>
            </w:tcBorders>
            <w:shd w:val="clear" w:color="auto" w:fill="auto"/>
            <w:noWrap/>
            <w:hideMark/>
          </w:tcPr>
          <w:p w14:paraId="5B2DC6F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w:t>
            </w:r>
          </w:p>
        </w:tc>
        <w:tc>
          <w:tcPr>
            <w:tcW w:w="891" w:type="pct"/>
            <w:tcBorders>
              <w:top w:val="nil"/>
              <w:left w:val="nil"/>
              <w:bottom w:val="nil"/>
              <w:right w:val="nil"/>
            </w:tcBorders>
            <w:shd w:val="clear" w:color="auto" w:fill="auto"/>
            <w:noWrap/>
            <w:hideMark/>
          </w:tcPr>
          <w:p w14:paraId="0635BAA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4BFDC9FC" w14:textId="77777777" w:rsidTr="00436CD0">
        <w:trPr>
          <w:trHeight w:val="290"/>
        </w:trPr>
        <w:tc>
          <w:tcPr>
            <w:tcW w:w="915" w:type="pct"/>
            <w:tcBorders>
              <w:top w:val="nil"/>
              <w:left w:val="nil"/>
              <w:bottom w:val="nil"/>
              <w:right w:val="nil"/>
            </w:tcBorders>
            <w:shd w:val="clear" w:color="auto" w:fill="auto"/>
            <w:noWrap/>
            <w:hideMark/>
          </w:tcPr>
          <w:p w14:paraId="1154B6B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Mbar_A3694</w:t>
            </w:r>
          </w:p>
        </w:tc>
        <w:tc>
          <w:tcPr>
            <w:tcW w:w="3194" w:type="pct"/>
            <w:tcBorders>
              <w:top w:val="nil"/>
              <w:left w:val="nil"/>
              <w:bottom w:val="nil"/>
              <w:right w:val="nil"/>
            </w:tcBorders>
            <w:shd w:val="clear" w:color="auto" w:fill="auto"/>
            <w:noWrap/>
            <w:hideMark/>
          </w:tcPr>
          <w:p w14:paraId="79F242F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DNA-directed RNA polymerase, subunit B </w:t>
            </w:r>
          </w:p>
        </w:tc>
        <w:tc>
          <w:tcPr>
            <w:tcW w:w="891" w:type="pct"/>
            <w:tcBorders>
              <w:top w:val="nil"/>
              <w:left w:val="nil"/>
              <w:bottom w:val="nil"/>
              <w:right w:val="nil"/>
            </w:tcBorders>
            <w:shd w:val="clear" w:color="auto" w:fill="auto"/>
            <w:noWrap/>
            <w:hideMark/>
          </w:tcPr>
          <w:p w14:paraId="5E00490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102A46E5" w14:textId="77777777" w:rsidTr="00436CD0">
        <w:trPr>
          <w:trHeight w:val="290"/>
        </w:trPr>
        <w:tc>
          <w:tcPr>
            <w:tcW w:w="915" w:type="pct"/>
            <w:tcBorders>
              <w:top w:val="nil"/>
              <w:left w:val="nil"/>
              <w:bottom w:val="nil"/>
              <w:right w:val="nil"/>
            </w:tcBorders>
            <w:shd w:val="clear" w:color="auto" w:fill="auto"/>
            <w:noWrap/>
            <w:hideMark/>
          </w:tcPr>
          <w:p w14:paraId="623AB6D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Mbar_A3232</w:t>
            </w:r>
          </w:p>
        </w:tc>
        <w:tc>
          <w:tcPr>
            <w:tcW w:w="3194" w:type="pct"/>
            <w:tcBorders>
              <w:top w:val="nil"/>
              <w:left w:val="nil"/>
              <w:bottom w:val="nil"/>
              <w:right w:val="nil"/>
            </w:tcBorders>
            <w:shd w:val="clear" w:color="auto" w:fill="auto"/>
            <w:noWrap/>
            <w:hideMark/>
          </w:tcPr>
          <w:p w14:paraId="01853E5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DNA-directed RNA polymerase, subunit F </w:t>
            </w:r>
          </w:p>
        </w:tc>
        <w:tc>
          <w:tcPr>
            <w:tcW w:w="891" w:type="pct"/>
            <w:tcBorders>
              <w:top w:val="nil"/>
              <w:left w:val="nil"/>
              <w:bottom w:val="nil"/>
              <w:right w:val="nil"/>
            </w:tcBorders>
            <w:shd w:val="clear" w:color="auto" w:fill="auto"/>
            <w:noWrap/>
            <w:hideMark/>
          </w:tcPr>
          <w:p w14:paraId="6FB50FC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184803F7" w14:textId="77777777" w:rsidTr="00436CD0">
        <w:trPr>
          <w:trHeight w:val="290"/>
        </w:trPr>
        <w:tc>
          <w:tcPr>
            <w:tcW w:w="915" w:type="pct"/>
            <w:tcBorders>
              <w:top w:val="nil"/>
              <w:left w:val="nil"/>
              <w:bottom w:val="nil"/>
              <w:right w:val="nil"/>
            </w:tcBorders>
            <w:shd w:val="clear" w:color="auto" w:fill="auto"/>
            <w:noWrap/>
            <w:hideMark/>
          </w:tcPr>
          <w:p w14:paraId="40EE6DD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Mbar_A2965</w:t>
            </w:r>
          </w:p>
        </w:tc>
        <w:tc>
          <w:tcPr>
            <w:tcW w:w="3194" w:type="pct"/>
            <w:tcBorders>
              <w:top w:val="nil"/>
              <w:left w:val="nil"/>
              <w:bottom w:val="nil"/>
              <w:right w:val="nil"/>
            </w:tcBorders>
            <w:shd w:val="clear" w:color="auto" w:fill="auto"/>
            <w:noWrap/>
            <w:hideMark/>
          </w:tcPr>
          <w:p w14:paraId="15F9E41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ArsR family</w:t>
            </w:r>
          </w:p>
        </w:tc>
        <w:tc>
          <w:tcPr>
            <w:tcW w:w="891" w:type="pct"/>
            <w:tcBorders>
              <w:top w:val="nil"/>
              <w:left w:val="nil"/>
              <w:bottom w:val="nil"/>
              <w:right w:val="nil"/>
            </w:tcBorders>
            <w:shd w:val="clear" w:color="auto" w:fill="auto"/>
            <w:noWrap/>
            <w:hideMark/>
          </w:tcPr>
          <w:p w14:paraId="2EAF5B2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37771F5B" w14:textId="77777777" w:rsidTr="00436CD0">
        <w:trPr>
          <w:trHeight w:val="290"/>
        </w:trPr>
        <w:tc>
          <w:tcPr>
            <w:tcW w:w="915" w:type="pct"/>
            <w:tcBorders>
              <w:top w:val="nil"/>
              <w:left w:val="nil"/>
              <w:bottom w:val="nil"/>
              <w:right w:val="nil"/>
            </w:tcBorders>
            <w:shd w:val="clear" w:color="auto" w:fill="auto"/>
            <w:noWrap/>
            <w:hideMark/>
          </w:tcPr>
          <w:p w14:paraId="1DCCE1B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Mbar_A3693</w:t>
            </w:r>
          </w:p>
        </w:tc>
        <w:tc>
          <w:tcPr>
            <w:tcW w:w="3194" w:type="pct"/>
            <w:tcBorders>
              <w:top w:val="nil"/>
              <w:left w:val="nil"/>
              <w:bottom w:val="nil"/>
              <w:right w:val="nil"/>
            </w:tcBorders>
            <w:shd w:val="clear" w:color="auto" w:fill="auto"/>
            <w:noWrap/>
            <w:hideMark/>
          </w:tcPr>
          <w:p w14:paraId="57FAF74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DNA-directed RNA polymerase subunit beta</w:t>
            </w:r>
          </w:p>
        </w:tc>
        <w:tc>
          <w:tcPr>
            <w:tcW w:w="891" w:type="pct"/>
            <w:tcBorders>
              <w:top w:val="nil"/>
              <w:left w:val="nil"/>
              <w:bottom w:val="nil"/>
              <w:right w:val="nil"/>
            </w:tcBorders>
            <w:shd w:val="clear" w:color="auto" w:fill="auto"/>
            <w:noWrap/>
            <w:hideMark/>
          </w:tcPr>
          <w:p w14:paraId="51EE210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1.73</w:t>
            </w:r>
          </w:p>
        </w:tc>
      </w:tr>
      <w:tr w:rsidR="00436CD0" w:rsidRPr="00C44D8C" w14:paraId="52D0D281" w14:textId="77777777" w:rsidTr="00436CD0">
        <w:trPr>
          <w:trHeight w:val="290"/>
        </w:trPr>
        <w:tc>
          <w:tcPr>
            <w:tcW w:w="915" w:type="pct"/>
            <w:tcBorders>
              <w:top w:val="nil"/>
              <w:left w:val="nil"/>
              <w:bottom w:val="nil"/>
              <w:right w:val="nil"/>
            </w:tcBorders>
            <w:shd w:val="clear" w:color="auto" w:fill="auto"/>
            <w:noWrap/>
            <w:hideMark/>
          </w:tcPr>
          <w:p w14:paraId="6FFAB6E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Mbar_A0787</w:t>
            </w:r>
          </w:p>
        </w:tc>
        <w:tc>
          <w:tcPr>
            <w:tcW w:w="3194" w:type="pct"/>
            <w:tcBorders>
              <w:top w:val="nil"/>
              <w:left w:val="nil"/>
              <w:bottom w:val="nil"/>
              <w:right w:val="nil"/>
            </w:tcBorders>
            <w:shd w:val="clear" w:color="auto" w:fill="auto"/>
            <w:noWrap/>
            <w:hideMark/>
          </w:tcPr>
          <w:p w14:paraId="0047BBC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TetR family</w:t>
            </w:r>
          </w:p>
        </w:tc>
        <w:tc>
          <w:tcPr>
            <w:tcW w:w="891" w:type="pct"/>
            <w:tcBorders>
              <w:top w:val="nil"/>
              <w:left w:val="nil"/>
              <w:bottom w:val="nil"/>
              <w:right w:val="nil"/>
            </w:tcBorders>
            <w:shd w:val="clear" w:color="auto" w:fill="auto"/>
            <w:noWrap/>
            <w:hideMark/>
          </w:tcPr>
          <w:p w14:paraId="5AFA63B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1.73</w:t>
            </w:r>
          </w:p>
        </w:tc>
      </w:tr>
      <w:tr w:rsidR="00436CD0" w:rsidRPr="00C44D8C" w14:paraId="0E69833F" w14:textId="77777777" w:rsidTr="00436CD0">
        <w:trPr>
          <w:trHeight w:val="290"/>
        </w:trPr>
        <w:tc>
          <w:tcPr>
            <w:tcW w:w="915" w:type="pct"/>
            <w:tcBorders>
              <w:top w:val="nil"/>
              <w:left w:val="nil"/>
              <w:bottom w:val="nil"/>
              <w:right w:val="nil"/>
            </w:tcBorders>
            <w:shd w:val="clear" w:color="auto" w:fill="auto"/>
            <w:noWrap/>
            <w:hideMark/>
          </w:tcPr>
          <w:p w14:paraId="3028715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Mbar_A3691</w:t>
            </w:r>
          </w:p>
        </w:tc>
        <w:tc>
          <w:tcPr>
            <w:tcW w:w="3194" w:type="pct"/>
            <w:tcBorders>
              <w:top w:val="nil"/>
              <w:left w:val="nil"/>
              <w:bottom w:val="nil"/>
              <w:right w:val="nil"/>
            </w:tcBorders>
            <w:shd w:val="clear" w:color="auto" w:fill="auto"/>
            <w:noWrap/>
            <w:hideMark/>
          </w:tcPr>
          <w:p w14:paraId="1A91AFB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DNA-directed RNA polymerase subunit A</w:t>
            </w:r>
          </w:p>
        </w:tc>
        <w:tc>
          <w:tcPr>
            <w:tcW w:w="891" w:type="pct"/>
            <w:tcBorders>
              <w:top w:val="nil"/>
              <w:left w:val="nil"/>
              <w:bottom w:val="nil"/>
              <w:right w:val="nil"/>
            </w:tcBorders>
            <w:shd w:val="clear" w:color="auto" w:fill="auto"/>
            <w:noWrap/>
            <w:hideMark/>
          </w:tcPr>
          <w:p w14:paraId="620FACE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1.72</w:t>
            </w:r>
          </w:p>
        </w:tc>
      </w:tr>
      <w:tr w:rsidR="00436CD0" w:rsidRPr="00C44D8C" w14:paraId="3C817936" w14:textId="77777777" w:rsidTr="00436CD0">
        <w:trPr>
          <w:trHeight w:val="290"/>
        </w:trPr>
        <w:tc>
          <w:tcPr>
            <w:tcW w:w="915" w:type="pct"/>
            <w:tcBorders>
              <w:top w:val="nil"/>
              <w:left w:val="nil"/>
              <w:bottom w:val="nil"/>
              <w:right w:val="nil"/>
            </w:tcBorders>
            <w:shd w:val="clear" w:color="auto" w:fill="auto"/>
            <w:noWrap/>
            <w:hideMark/>
          </w:tcPr>
          <w:p w14:paraId="00DCD37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Mbar_A3692</w:t>
            </w:r>
          </w:p>
        </w:tc>
        <w:tc>
          <w:tcPr>
            <w:tcW w:w="3194" w:type="pct"/>
            <w:tcBorders>
              <w:top w:val="nil"/>
              <w:left w:val="nil"/>
              <w:bottom w:val="nil"/>
              <w:right w:val="nil"/>
            </w:tcBorders>
            <w:shd w:val="clear" w:color="auto" w:fill="auto"/>
            <w:noWrap/>
            <w:hideMark/>
          </w:tcPr>
          <w:p w14:paraId="32AA46D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DNA-directed RNA polymerase subunit </w:t>
            </w:r>
          </w:p>
        </w:tc>
        <w:tc>
          <w:tcPr>
            <w:tcW w:w="891" w:type="pct"/>
            <w:tcBorders>
              <w:top w:val="nil"/>
              <w:left w:val="nil"/>
              <w:bottom w:val="nil"/>
              <w:right w:val="nil"/>
            </w:tcBorders>
            <w:shd w:val="clear" w:color="auto" w:fill="auto"/>
            <w:noWrap/>
            <w:hideMark/>
          </w:tcPr>
          <w:p w14:paraId="496B82B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3EDFBB50" w14:textId="77777777" w:rsidTr="00436CD0">
        <w:trPr>
          <w:trHeight w:val="290"/>
        </w:trPr>
        <w:tc>
          <w:tcPr>
            <w:tcW w:w="915" w:type="pct"/>
            <w:tcBorders>
              <w:top w:val="nil"/>
              <w:left w:val="nil"/>
              <w:bottom w:val="nil"/>
              <w:right w:val="nil"/>
            </w:tcBorders>
            <w:shd w:val="clear" w:color="auto" w:fill="auto"/>
            <w:noWrap/>
            <w:hideMark/>
          </w:tcPr>
          <w:p w14:paraId="4E13D18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Mbar_A1394</w:t>
            </w:r>
          </w:p>
        </w:tc>
        <w:tc>
          <w:tcPr>
            <w:tcW w:w="3194" w:type="pct"/>
            <w:tcBorders>
              <w:top w:val="nil"/>
              <w:left w:val="nil"/>
              <w:bottom w:val="nil"/>
              <w:right w:val="nil"/>
            </w:tcBorders>
            <w:shd w:val="clear" w:color="auto" w:fill="auto"/>
            <w:noWrap/>
            <w:hideMark/>
          </w:tcPr>
          <w:p w14:paraId="695AEC4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Transcription initiation factor IIB </w:t>
            </w:r>
          </w:p>
        </w:tc>
        <w:tc>
          <w:tcPr>
            <w:tcW w:w="891" w:type="pct"/>
            <w:tcBorders>
              <w:top w:val="nil"/>
              <w:left w:val="nil"/>
              <w:bottom w:val="nil"/>
              <w:right w:val="nil"/>
            </w:tcBorders>
            <w:shd w:val="clear" w:color="auto" w:fill="auto"/>
            <w:noWrap/>
            <w:hideMark/>
          </w:tcPr>
          <w:p w14:paraId="6026783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1.65</w:t>
            </w:r>
          </w:p>
        </w:tc>
      </w:tr>
      <w:tr w:rsidR="00436CD0" w:rsidRPr="00C44D8C" w14:paraId="0F1ABA76" w14:textId="77777777" w:rsidTr="00436CD0">
        <w:trPr>
          <w:trHeight w:val="290"/>
        </w:trPr>
        <w:tc>
          <w:tcPr>
            <w:tcW w:w="915" w:type="pct"/>
            <w:tcBorders>
              <w:top w:val="nil"/>
              <w:left w:val="nil"/>
              <w:bottom w:val="nil"/>
              <w:right w:val="nil"/>
            </w:tcBorders>
            <w:shd w:val="clear" w:color="auto" w:fill="auto"/>
            <w:noWrap/>
            <w:hideMark/>
          </w:tcPr>
          <w:p w14:paraId="2821CF4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Mbar_A3464</w:t>
            </w:r>
          </w:p>
        </w:tc>
        <w:tc>
          <w:tcPr>
            <w:tcW w:w="3194" w:type="pct"/>
            <w:tcBorders>
              <w:top w:val="nil"/>
              <w:left w:val="nil"/>
              <w:bottom w:val="nil"/>
              <w:right w:val="nil"/>
            </w:tcBorders>
            <w:shd w:val="clear" w:color="auto" w:fill="auto"/>
            <w:noWrap/>
            <w:hideMark/>
          </w:tcPr>
          <w:p w14:paraId="3419506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AsnC family</w:t>
            </w:r>
          </w:p>
        </w:tc>
        <w:tc>
          <w:tcPr>
            <w:tcW w:w="891" w:type="pct"/>
            <w:tcBorders>
              <w:top w:val="nil"/>
              <w:left w:val="nil"/>
              <w:bottom w:val="nil"/>
              <w:right w:val="nil"/>
            </w:tcBorders>
            <w:shd w:val="clear" w:color="auto" w:fill="auto"/>
            <w:noWrap/>
            <w:hideMark/>
          </w:tcPr>
          <w:p w14:paraId="4A2F2E9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1.65</w:t>
            </w:r>
          </w:p>
        </w:tc>
      </w:tr>
      <w:tr w:rsidR="00436CD0" w:rsidRPr="00C44D8C" w14:paraId="29EF21BF" w14:textId="77777777" w:rsidTr="00436CD0">
        <w:trPr>
          <w:trHeight w:val="290"/>
        </w:trPr>
        <w:tc>
          <w:tcPr>
            <w:tcW w:w="915" w:type="pct"/>
            <w:tcBorders>
              <w:top w:val="nil"/>
              <w:left w:val="nil"/>
              <w:bottom w:val="nil"/>
              <w:right w:val="nil"/>
            </w:tcBorders>
            <w:shd w:val="clear" w:color="auto" w:fill="auto"/>
            <w:noWrap/>
            <w:hideMark/>
          </w:tcPr>
          <w:p w14:paraId="0F6FFA6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Mbar_A0193</w:t>
            </w:r>
          </w:p>
        </w:tc>
        <w:tc>
          <w:tcPr>
            <w:tcW w:w="3194" w:type="pct"/>
            <w:tcBorders>
              <w:top w:val="nil"/>
              <w:left w:val="nil"/>
              <w:bottom w:val="nil"/>
              <w:right w:val="nil"/>
            </w:tcBorders>
            <w:shd w:val="clear" w:color="auto" w:fill="auto"/>
            <w:noWrap/>
            <w:hideMark/>
          </w:tcPr>
          <w:p w14:paraId="55E67B2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Cleavage and polyadenylation specificity factor</w:t>
            </w:r>
          </w:p>
        </w:tc>
        <w:tc>
          <w:tcPr>
            <w:tcW w:w="891" w:type="pct"/>
            <w:tcBorders>
              <w:top w:val="nil"/>
              <w:left w:val="nil"/>
              <w:bottom w:val="nil"/>
              <w:right w:val="nil"/>
            </w:tcBorders>
            <w:shd w:val="clear" w:color="auto" w:fill="auto"/>
            <w:noWrap/>
            <w:hideMark/>
          </w:tcPr>
          <w:p w14:paraId="060FDF1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1.63</w:t>
            </w:r>
          </w:p>
        </w:tc>
      </w:tr>
      <w:tr w:rsidR="00436CD0" w:rsidRPr="00C44D8C" w14:paraId="2E7C1766" w14:textId="77777777" w:rsidTr="00436CD0">
        <w:trPr>
          <w:trHeight w:val="290"/>
        </w:trPr>
        <w:tc>
          <w:tcPr>
            <w:tcW w:w="915" w:type="pct"/>
            <w:tcBorders>
              <w:top w:val="nil"/>
              <w:left w:val="nil"/>
              <w:bottom w:val="nil"/>
              <w:right w:val="nil"/>
            </w:tcBorders>
            <w:shd w:val="clear" w:color="auto" w:fill="auto"/>
            <w:noWrap/>
            <w:hideMark/>
          </w:tcPr>
          <w:p w14:paraId="55EE576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Mbar_A3663</w:t>
            </w:r>
          </w:p>
        </w:tc>
        <w:tc>
          <w:tcPr>
            <w:tcW w:w="3194" w:type="pct"/>
            <w:tcBorders>
              <w:top w:val="nil"/>
              <w:left w:val="nil"/>
              <w:bottom w:val="nil"/>
              <w:right w:val="nil"/>
            </w:tcBorders>
            <w:shd w:val="clear" w:color="auto" w:fill="auto"/>
            <w:noWrap/>
            <w:hideMark/>
          </w:tcPr>
          <w:p w14:paraId="339CF5E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Transcriptional regulator, MarR family</w:t>
            </w:r>
          </w:p>
        </w:tc>
        <w:tc>
          <w:tcPr>
            <w:tcW w:w="891" w:type="pct"/>
            <w:tcBorders>
              <w:top w:val="nil"/>
              <w:left w:val="nil"/>
              <w:bottom w:val="nil"/>
              <w:right w:val="nil"/>
            </w:tcBorders>
            <w:shd w:val="clear" w:color="auto" w:fill="auto"/>
            <w:noWrap/>
            <w:hideMark/>
          </w:tcPr>
          <w:p w14:paraId="2792315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1.57</w:t>
            </w:r>
          </w:p>
        </w:tc>
      </w:tr>
      <w:tr w:rsidR="00436CD0" w:rsidRPr="00C44D8C" w14:paraId="61D126C4" w14:textId="77777777" w:rsidTr="002B29E5">
        <w:trPr>
          <w:trHeight w:val="290"/>
        </w:trPr>
        <w:tc>
          <w:tcPr>
            <w:tcW w:w="915" w:type="pct"/>
            <w:tcBorders>
              <w:top w:val="nil"/>
              <w:left w:val="nil"/>
              <w:bottom w:val="single" w:sz="4" w:space="0" w:color="auto"/>
              <w:right w:val="nil"/>
            </w:tcBorders>
            <w:shd w:val="clear" w:color="auto" w:fill="auto"/>
            <w:noWrap/>
            <w:hideMark/>
          </w:tcPr>
          <w:p w14:paraId="699A656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Mbar_A0595</w:t>
            </w:r>
          </w:p>
        </w:tc>
        <w:tc>
          <w:tcPr>
            <w:tcW w:w="3194" w:type="pct"/>
            <w:tcBorders>
              <w:top w:val="nil"/>
              <w:left w:val="nil"/>
              <w:bottom w:val="single" w:sz="4" w:space="0" w:color="auto"/>
              <w:right w:val="nil"/>
            </w:tcBorders>
            <w:shd w:val="clear" w:color="auto" w:fill="auto"/>
            <w:noWrap/>
            <w:hideMark/>
          </w:tcPr>
          <w:p w14:paraId="6330962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TATA-box-binding protein</w:t>
            </w:r>
          </w:p>
        </w:tc>
        <w:tc>
          <w:tcPr>
            <w:tcW w:w="891" w:type="pct"/>
            <w:tcBorders>
              <w:top w:val="nil"/>
              <w:left w:val="nil"/>
              <w:bottom w:val="single" w:sz="4" w:space="0" w:color="auto"/>
              <w:right w:val="nil"/>
            </w:tcBorders>
            <w:shd w:val="clear" w:color="auto" w:fill="auto"/>
            <w:noWrap/>
            <w:hideMark/>
          </w:tcPr>
          <w:p w14:paraId="59FD346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7D229608" w14:textId="77777777" w:rsidTr="002B29E5">
        <w:trPr>
          <w:trHeight w:val="310"/>
        </w:trPr>
        <w:tc>
          <w:tcPr>
            <w:tcW w:w="5000" w:type="pct"/>
            <w:gridSpan w:val="3"/>
            <w:tcBorders>
              <w:top w:val="single" w:sz="4" w:space="0" w:color="auto"/>
              <w:bottom w:val="nil"/>
              <w:right w:val="nil"/>
            </w:tcBorders>
            <w:shd w:val="clear" w:color="auto" w:fill="auto"/>
            <w:noWrap/>
            <w:hideMark/>
          </w:tcPr>
          <w:p w14:paraId="1360A18F"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Replication, recombination and repair</w:t>
            </w:r>
          </w:p>
        </w:tc>
      </w:tr>
      <w:tr w:rsidR="00436CD0" w:rsidRPr="00C44D8C" w14:paraId="69A41B23" w14:textId="77777777" w:rsidTr="00436CD0">
        <w:trPr>
          <w:trHeight w:val="290"/>
        </w:trPr>
        <w:tc>
          <w:tcPr>
            <w:tcW w:w="915" w:type="pct"/>
            <w:tcBorders>
              <w:top w:val="nil"/>
              <w:left w:val="nil"/>
              <w:bottom w:val="nil"/>
              <w:right w:val="nil"/>
            </w:tcBorders>
            <w:shd w:val="clear" w:color="auto" w:fill="auto"/>
            <w:noWrap/>
            <w:hideMark/>
          </w:tcPr>
          <w:p w14:paraId="32E29BC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Mbar_A3500</w:t>
            </w:r>
          </w:p>
        </w:tc>
        <w:tc>
          <w:tcPr>
            <w:tcW w:w="3194" w:type="pct"/>
            <w:tcBorders>
              <w:top w:val="nil"/>
              <w:left w:val="nil"/>
              <w:bottom w:val="nil"/>
              <w:right w:val="nil"/>
            </w:tcBorders>
            <w:shd w:val="clear" w:color="auto" w:fill="auto"/>
            <w:noWrap/>
            <w:hideMark/>
          </w:tcPr>
          <w:p w14:paraId="3A7E15D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Putative snRNP Sm-like protein</w:t>
            </w:r>
          </w:p>
        </w:tc>
        <w:tc>
          <w:tcPr>
            <w:tcW w:w="891" w:type="pct"/>
            <w:tcBorders>
              <w:top w:val="nil"/>
              <w:left w:val="nil"/>
              <w:bottom w:val="nil"/>
              <w:right w:val="nil"/>
            </w:tcBorders>
            <w:shd w:val="clear" w:color="auto" w:fill="auto"/>
            <w:noWrap/>
            <w:hideMark/>
          </w:tcPr>
          <w:p w14:paraId="121924C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2.16</w:t>
            </w:r>
          </w:p>
        </w:tc>
      </w:tr>
      <w:tr w:rsidR="00436CD0" w:rsidRPr="00C44D8C" w14:paraId="6AE655ED" w14:textId="77777777" w:rsidTr="00436CD0">
        <w:trPr>
          <w:trHeight w:val="290"/>
        </w:trPr>
        <w:tc>
          <w:tcPr>
            <w:tcW w:w="915" w:type="pct"/>
            <w:tcBorders>
              <w:top w:val="nil"/>
              <w:left w:val="nil"/>
              <w:bottom w:val="nil"/>
              <w:right w:val="nil"/>
            </w:tcBorders>
            <w:shd w:val="clear" w:color="auto" w:fill="auto"/>
            <w:noWrap/>
            <w:hideMark/>
          </w:tcPr>
          <w:p w14:paraId="57B206C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Mbar_A0879</w:t>
            </w:r>
          </w:p>
        </w:tc>
        <w:tc>
          <w:tcPr>
            <w:tcW w:w="3194" w:type="pct"/>
            <w:tcBorders>
              <w:top w:val="nil"/>
              <w:left w:val="nil"/>
              <w:bottom w:val="nil"/>
              <w:right w:val="nil"/>
            </w:tcBorders>
            <w:shd w:val="clear" w:color="auto" w:fill="auto"/>
            <w:noWrap/>
            <w:hideMark/>
          </w:tcPr>
          <w:p w14:paraId="63BBAE5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 polymerase sliding clamp </w:t>
            </w:r>
          </w:p>
        </w:tc>
        <w:tc>
          <w:tcPr>
            <w:tcW w:w="891" w:type="pct"/>
            <w:tcBorders>
              <w:top w:val="nil"/>
              <w:left w:val="nil"/>
              <w:bottom w:val="nil"/>
              <w:right w:val="nil"/>
            </w:tcBorders>
            <w:shd w:val="clear" w:color="auto" w:fill="auto"/>
            <w:noWrap/>
            <w:hideMark/>
          </w:tcPr>
          <w:p w14:paraId="321BADC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2.09</w:t>
            </w:r>
          </w:p>
        </w:tc>
      </w:tr>
      <w:tr w:rsidR="00436CD0" w:rsidRPr="00C44D8C" w14:paraId="3B85AAFD" w14:textId="77777777" w:rsidTr="00436CD0">
        <w:trPr>
          <w:trHeight w:val="290"/>
        </w:trPr>
        <w:tc>
          <w:tcPr>
            <w:tcW w:w="915" w:type="pct"/>
            <w:tcBorders>
              <w:top w:val="nil"/>
              <w:left w:val="nil"/>
              <w:bottom w:val="nil"/>
              <w:right w:val="nil"/>
            </w:tcBorders>
            <w:shd w:val="clear" w:color="auto" w:fill="auto"/>
            <w:noWrap/>
            <w:hideMark/>
          </w:tcPr>
          <w:p w14:paraId="217B4C8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Mbar_A0963</w:t>
            </w:r>
          </w:p>
        </w:tc>
        <w:tc>
          <w:tcPr>
            <w:tcW w:w="3194" w:type="pct"/>
            <w:tcBorders>
              <w:top w:val="nil"/>
              <w:left w:val="nil"/>
              <w:bottom w:val="nil"/>
              <w:right w:val="nil"/>
            </w:tcBorders>
            <w:shd w:val="clear" w:color="auto" w:fill="auto"/>
            <w:noWrap/>
            <w:hideMark/>
          </w:tcPr>
          <w:p w14:paraId="1232977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Replication factor-A protein</w:t>
            </w:r>
          </w:p>
        </w:tc>
        <w:tc>
          <w:tcPr>
            <w:tcW w:w="891" w:type="pct"/>
            <w:tcBorders>
              <w:top w:val="nil"/>
              <w:left w:val="nil"/>
              <w:bottom w:val="nil"/>
              <w:right w:val="nil"/>
            </w:tcBorders>
            <w:shd w:val="clear" w:color="auto" w:fill="auto"/>
            <w:noWrap/>
            <w:hideMark/>
          </w:tcPr>
          <w:p w14:paraId="39E9058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2.03</w:t>
            </w:r>
          </w:p>
        </w:tc>
      </w:tr>
      <w:tr w:rsidR="00436CD0" w:rsidRPr="00C44D8C" w14:paraId="1B8DAA2D" w14:textId="77777777" w:rsidTr="00436CD0">
        <w:trPr>
          <w:trHeight w:val="290"/>
        </w:trPr>
        <w:tc>
          <w:tcPr>
            <w:tcW w:w="915" w:type="pct"/>
            <w:tcBorders>
              <w:top w:val="nil"/>
              <w:left w:val="nil"/>
              <w:bottom w:val="nil"/>
              <w:right w:val="nil"/>
            </w:tcBorders>
            <w:shd w:val="clear" w:color="auto" w:fill="auto"/>
            <w:noWrap/>
            <w:hideMark/>
          </w:tcPr>
          <w:p w14:paraId="11FD866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Mbar_A1205</w:t>
            </w:r>
          </w:p>
        </w:tc>
        <w:tc>
          <w:tcPr>
            <w:tcW w:w="3194" w:type="pct"/>
            <w:tcBorders>
              <w:top w:val="nil"/>
              <w:left w:val="nil"/>
              <w:bottom w:val="nil"/>
              <w:right w:val="nil"/>
            </w:tcBorders>
            <w:shd w:val="clear" w:color="auto" w:fill="auto"/>
            <w:noWrap/>
            <w:hideMark/>
          </w:tcPr>
          <w:p w14:paraId="461AC74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Translin family protein</w:t>
            </w:r>
          </w:p>
        </w:tc>
        <w:tc>
          <w:tcPr>
            <w:tcW w:w="891" w:type="pct"/>
            <w:tcBorders>
              <w:top w:val="nil"/>
              <w:left w:val="nil"/>
              <w:bottom w:val="nil"/>
              <w:right w:val="nil"/>
            </w:tcBorders>
            <w:shd w:val="clear" w:color="auto" w:fill="auto"/>
            <w:noWrap/>
            <w:hideMark/>
          </w:tcPr>
          <w:p w14:paraId="0C5B09A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2.01</w:t>
            </w:r>
          </w:p>
        </w:tc>
      </w:tr>
      <w:tr w:rsidR="00436CD0" w:rsidRPr="00C44D8C" w14:paraId="538F7A77" w14:textId="77777777" w:rsidTr="00436CD0">
        <w:trPr>
          <w:trHeight w:val="290"/>
        </w:trPr>
        <w:tc>
          <w:tcPr>
            <w:tcW w:w="915" w:type="pct"/>
            <w:tcBorders>
              <w:top w:val="nil"/>
              <w:left w:val="nil"/>
              <w:bottom w:val="nil"/>
              <w:right w:val="nil"/>
            </w:tcBorders>
            <w:shd w:val="clear" w:color="auto" w:fill="auto"/>
            <w:noWrap/>
            <w:hideMark/>
          </w:tcPr>
          <w:p w14:paraId="24C652C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Mbar_A1899</w:t>
            </w:r>
          </w:p>
        </w:tc>
        <w:tc>
          <w:tcPr>
            <w:tcW w:w="3194" w:type="pct"/>
            <w:tcBorders>
              <w:top w:val="nil"/>
              <w:left w:val="nil"/>
              <w:bottom w:val="nil"/>
              <w:right w:val="nil"/>
            </w:tcBorders>
            <w:shd w:val="clear" w:color="auto" w:fill="auto"/>
            <w:noWrap/>
            <w:hideMark/>
          </w:tcPr>
          <w:p w14:paraId="676221E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 ligase 2 </w:t>
            </w:r>
          </w:p>
        </w:tc>
        <w:tc>
          <w:tcPr>
            <w:tcW w:w="891" w:type="pct"/>
            <w:tcBorders>
              <w:top w:val="nil"/>
              <w:left w:val="nil"/>
              <w:bottom w:val="nil"/>
              <w:right w:val="nil"/>
            </w:tcBorders>
            <w:shd w:val="clear" w:color="auto" w:fill="auto"/>
            <w:noWrap/>
            <w:hideMark/>
          </w:tcPr>
          <w:p w14:paraId="3ABBD96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54FA83F5" w14:textId="77777777" w:rsidTr="00436CD0">
        <w:trPr>
          <w:trHeight w:val="290"/>
        </w:trPr>
        <w:tc>
          <w:tcPr>
            <w:tcW w:w="915" w:type="pct"/>
            <w:tcBorders>
              <w:top w:val="nil"/>
              <w:left w:val="nil"/>
              <w:bottom w:val="nil"/>
              <w:right w:val="nil"/>
            </w:tcBorders>
            <w:shd w:val="clear" w:color="auto" w:fill="auto"/>
            <w:noWrap/>
            <w:hideMark/>
          </w:tcPr>
          <w:p w14:paraId="4259F65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Mbar_A2503</w:t>
            </w:r>
          </w:p>
        </w:tc>
        <w:tc>
          <w:tcPr>
            <w:tcW w:w="3194" w:type="pct"/>
            <w:tcBorders>
              <w:top w:val="nil"/>
              <w:left w:val="nil"/>
              <w:bottom w:val="nil"/>
              <w:right w:val="nil"/>
            </w:tcBorders>
            <w:shd w:val="clear" w:color="auto" w:fill="auto"/>
            <w:noWrap/>
            <w:hideMark/>
          </w:tcPr>
          <w:p w14:paraId="104CD3B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Proteasome subunit alpha </w:t>
            </w:r>
          </w:p>
        </w:tc>
        <w:tc>
          <w:tcPr>
            <w:tcW w:w="891" w:type="pct"/>
            <w:tcBorders>
              <w:top w:val="nil"/>
              <w:left w:val="nil"/>
              <w:bottom w:val="nil"/>
              <w:right w:val="nil"/>
            </w:tcBorders>
            <w:shd w:val="clear" w:color="auto" w:fill="auto"/>
            <w:noWrap/>
            <w:hideMark/>
          </w:tcPr>
          <w:p w14:paraId="6E6287A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1.91</w:t>
            </w:r>
          </w:p>
        </w:tc>
      </w:tr>
      <w:tr w:rsidR="00436CD0" w:rsidRPr="00C44D8C" w14:paraId="12318A16" w14:textId="77777777" w:rsidTr="00436CD0">
        <w:trPr>
          <w:trHeight w:val="290"/>
        </w:trPr>
        <w:tc>
          <w:tcPr>
            <w:tcW w:w="915" w:type="pct"/>
            <w:tcBorders>
              <w:top w:val="nil"/>
              <w:left w:val="nil"/>
              <w:bottom w:val="nil"/>
              <w:right w:val="nil"/>
            </w:tcBorders>
            <w:shd w:val="clear" w:color="auto" w:fill="auto"/>
            <w:noWrap/>
            <w:hideMark/>
          </w:tcPr>
          <w:p w14:paraId="29A51EB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Mbar_A3508</w:t>
            </w:r>
          </w:p>
        </w:tc>
        <w:tc>
          <w:tcPr>
            <w:tcW w:w="3194" w:type="pct"/>
            <w:tcBorders>
              <w:top w:val="nil"/>
              <w:left w:val="nil"/>
              <w:bottom w:val="nil"/>
              <w:right w:val="nil"/>
            </w:tcBorders>
            <w:shd w:val="clear" w:color="auto" w:fill="auto"/>
            <w:noWrap/>
            <w:hideMark/>
          </w:tcPr>
          <w:p w14:paraId="3E97AAEB" w14:textId="77777777" w:rsidR="00436CD0" w:rsidRPr="00C44D8C" w:rsidRDefault="00436CD0" w:rsidP="00436CD0">
            <w:pPr>
              <w:rPr>
                <w:rFonts w:asciiTheme="minorHAnsi" w:hAnsiTheme="minorHAnsi"/>
                <w:color w:val="000000"/>
                <w:sz w:val="22"/>
                <w:szCs w:val="22"/>
                <w:lang w:val="sv-SE" w:eastAsia="en-GB"/>
              </w:rPr>
            </w:pPr>
            <w:r w:rsidRPr="00C44D8C">
              <w:rPr>
                <w:rFonts w:asciiTheme="minorHAnsi" w:hAnsiTheme="minorHAnsi"/>
                <w:color w:val="000000"/>
                <w:sz w:val="22"/>
                <w:szCs w:val="22"/>
                <w:lang w:val="sv-SE" w:eastAsia="en-GB"/>
              </w:rPr>
              <w:t xml:space="preserve">ATP-dependent DNA helicase Hel308 </w:t>
            </w:r>
          </w:p>
        </w:tc>
        <w:tc>
          <w:tcPr>
            <w:tcW w:w="891" w:type="pct"/>
            <w:tcBorders>
              <w:top w:val="nil"/>
              <w:left w:val="nil"/>
              <w:bottom w:val="nil"/>
              <w:right w:val="nil"/>
            </w:tcBorders>
            <w:shd w:val="clear" w:color="auto" w:fill="auto"/>
            <w:noWrap/>
            <w:hideMark/>
          </w:tcPr>
          <w:p w14:paraId="5B84D6C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1.89</w:t>
            </w:r>
          </w:p>
        </w:tc>
      </w:tr>
      <w:tr w:rsidR="00436CD0" w:rsidRPr="00C44D8C" w14:paraId="7A4FB181" w14:textId="77777777" w:rsidTr="00436CD0">
        <w:trPr>
          <w:trHeight w:val="290"/>
        </w:trPr>
        <w:tc>
          <w:tcPr>
            <w:tcW w:w="915" w:type="pct"/>
            <w:tcBorders>
              <w:top w:val="nil"/>
              <w:left w:val="nil"/>
              <w:bottom w:val="nil"/>
              <w:right w:val="nil"/>
            </w:tcBorders>
            <w:shd w:val="clear" w:color="auto" w:fill="auto"/>
            <w:noWrap/>
            <w:hideMark/>
          </w:tcPr>
          <w:p w14:paraId="118B1B0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Mbar_A1418</w:t>
            </w:r>
          </w:p>
        </w:tc>
        <w:tc>
          <w:tcPr>
            <w:tcW w:w="3194" w:type="pct"/>
            <w:tcBorders>
              <w:top w:val="nil"/>
              <w:left w:val="nil"/>
              <w:bottom w:val="nil"/>
              <w:right w:val="nil"/>
            </w:tcBorders>
            <w:shd w:val="clear" w:color="auto" w:fill="auto"/>
            <w:noWrap/>
            <w:hideMark/>
          </w:tcPr>
          <w:p w14:paraId="2098956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Ribonuclease J </w:t>
            </w:r>
          </w:p>
        </w:tc>
        <w:tc>
          <w:tcPr>
            <w:tcW w:w="891" w:type="pct"/>
            <w:tcBorders>
              <w:top w:val="nil"/>
              <w:left w:val="nil"/>
              <w:bottom w:val="nil"/>
              <w:right w:val="nil"/>
            </w:tcBorders>
            <w:shd w:val="clear" w:color="auto" w:fill="auto"/>
            <w:noWrap/>
            <w:hideMark/>
          </w:tcPr>
          <w:p w14:paraId="18A7D98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64B046C0" w14:textId="77777777" w:rsidTr="00436CD0">
        <w:trPr>
          <w:trHeight w:val="290"/>
        </w:trPr>
        <w:tc>
          <w:tcPr>
            <w:tcW w:w="915" w:type="pct"/>
            <w:tcBorders>
              <w:top w:val="nil"/>
              <w:left w:val="nil"/>
              <w:bottom w:val="nil"/>
              <w:right w:val="nil"/>
            </w:tcBorders>
            <w:shd w:val="clear" w:color="auto" w:fill="auto"/>
            <w:noWrap/>
            <w:hideMark/>
          </w:tcPr>
          <w:p w14:paraId="5E598FE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Mbar_A2507</w:t>
            </w:r>
          </w:p>
        </w:tc>
        <w:tc>
          <w:tcPr>
            <w:tcW w:w="3194" w:type="pct"/>
            <w:tcBorders>
              <w:top w:val="nil"/>
              <w:left w:val="nil"/>
              <w:bottom w:val="nil"/>
              <w:right w:val="nil"/>
            </w:tcBorders>
            <w:shd w:val="clear" w:color="auto" w:fill="auto"/>
            <w:noWrap/>
            <w:hideMark/>
          </w:tcPr>
          <w:p w14:paraId="2CF3973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Exosome complex component Rrp42</w:t>
            </w:r>
          </w:p>
        </w:tc>
        <w:tc>
          <w:tcPr>
            <w:tcW w:w="891" w:type="pct"/>
            <w:tcBorders>
              <w:top w:val="nil"/>
              <w:left w:val="nil"/>
              <w:bottom w:val="nil"/>
              <w:right w:val="nil"/>
            </w:tcBorders>
            <w:shd w:val="clear" w:color="auto" w:fill="auto"/>
            <w:noWrap/>
            <w:hideMark/>
          </w:tcPr>
          <w:p w14:paraId="17FD1F8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08110091" w14:textId="77777777" w:rsidTr="00436CD0">
        <w:trPr>
          <w:trHeight w:val="290"/>
        </w:trPr>
        <w:tc>
          <w:tcPr>
            <w:tcW w:w="915" w:type="pct"/>
            <w:tcBorders>
              <w:top w:val="nil"/>
              <w:left w:val="nil"/>
              <w:bottom w:val="nil"/>
              <w:right w:val="nil"/>
            </w:tcBorders>
            <w:shd w:val="clear" w:color="auto" w:fill="auto"/>
            <w:noWrap/>
            <w:hideMark/>
          </w:tcPr>
          <w:p w14:paraId="59972E7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Mbar_A2181</w:t>
            </w:r>
          </w:p>
        </w:tc>
        <w:tc>
          <w:tcPr>
            <w:tcW w:w="3194" w:type="pct"/>
            <w:tcBorders>
              <w:top w:val="nil"/>
              <w:left w:val="nil"/>
              <w:bottom w:val="nil"/>
              <w:right w:val="nil"/>
            </w:tcBorders>
            <w:shd w:val="clear" w:color="auto" w:fill="auto"/>
            <w:noWrap/>
            <w:hideMark/>
          </w:tcPr>
          <w:p w14:paraId="17DF12C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D-aminoacyl-tRNA deacylase </w:t>
            </w:r>
          </w:p>
        </w:tc>
        <w:tc>
          <w:tcPr>
            <w:tcW w:w="891" w:type="pct"/>
            <w:tcBorders>
              <w:top w:val="nil"/>
              <w:left w:val="nil"/>
              <w:bottom w:val="nil"/>
              <w:right w:val="nil"/>
            </w:tcBorders>
            <w:shd w:val="clear" w:color="auto" w:fill="auto"/>
            <w:noWrap/>
            <w:hideMark/>
          </w:tcPr>
          <w:p w14:paraId="63DF496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02E76D0A" w14:textId="77777777" w:rsidTr="00436CD0">
        <w:trPr>
          <w:trHeight w:val="290"/>
        </w:trPr>
        <w:tc>
          <w:tcPr>
            <w:tcW w:w="915" w:type="pct"/>
            <w:tcBorders>
              <w:top w:val="nil"/>
              <w:left w:val="nil"/>
              <w:bottom w:val="nil"/>
              <w:right w:val="nil"/>
            </w:tcBorders>
            <w:shd w:val="clear" w:color="auto" w:fill="auto"/>
            <w:noWrap/>
            <w:hideMark/>
          </w:tcPr>
          <w:p w14:paraId="0F4F7AF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Mbar_A0959</w:t>
            </w:r>
          </w:p>
        </w:tc>
        <w:tc>
          <w:tcPr>
            <w:tcW w:w="3194" w:type="pct"/>
            <w:tcBorders>
              <w:top w:val="nil"/>
              <w:left w:val="nil"/>
              <w:bottom w:val="nil"/>
              <w:right w:val="nil"/>
            </w:tcBorders>
            <w:shd w:val="clear" w:color="auto" w:fill="auto"/>
            <w:noWrap/>
            <w:hideMark/>
          </w:tcPr>
          <w:p w14:paraId="772D29B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 primase DnaG </w:t>
            </w:r>
          </w:p>
        </w:tc>
        <w:tc>
          <w:tcPr>
            <w:tcW w:w="891" w:type="pct"/>
            <w:tcBorders>
              <w:top w:val="nil"/>
              <w:left w:val="nil"/>
              <w:bottom w:val="nil"/>
              <w:right w:val="nil"/>
            </w:tcBorders>
            <w:shd w:val="clear" w:color="auto" w:fill="auto"/>
            <w:noWrap/>
            <w:hideMark/>
          </w:tcPr>
          <w:p w14:paraId="1AA68FC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1.82</w:t>
            </w:r>
          </w:p>
        </w:tc>
      </w:tr>
      <w:tr w:rsidR="00436CD0" w:rsidRPr="00C44D8C" w14:paraId="17DD0BC4" w14:textId="77777777" w:rsidTr="00436CD0">
        <w:trPr>
          <w:trHeight w:val="290"/>
        </w:trPr>
        <w:tc>
          <w:tcPr>
            <w:tcW w:w="915" w:type="pct"/>
            <w:tcBorders>
              <w:top w:val="nil"/>
              <w:left w:val="nil"/>
              <w:bottom w:val="nil"/>
              <w:right w:val="nil"/>
            </w:tcBorders>
            <w:shd w:val="clear" w:color="auto" w:fill="auto"/>
            <w:noWrap/>
            <w:hideMark/>
          </w:tcPr>
          <w:p w14:paraId="034EC9A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Mbar_A0569</w:t>
            </w:r>
          </w:p>
        </w:tc>
        <w:tc>
          <w:tcPr>
            <w:tcW w:w="3194" w:type="pct"/>
            <w:tcBorders>
              <w:top w:val="nil"/>
              <w:left w:val="nil"/>
              <w:bottom w:val="nil"/>
              <w:right w:val="nil"/>
            </w:tcBorders>
            <w:shd w:val="clear" w:color="auto" w:fill="auto"/>
            <w:noWrap/>
            <w:hideMark/>
          </w:tcPr>
          <w:p w14:paraId="009A441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Endonuclease III </w:t>
            </w:r>
          </w:p>
        </w:tc>
        <w:tc>
          <w:tcPr>
            <w:tcW w:w="891" w:type="pct"/>
            <w:tcBorders>
              <w:top w:val="nil"/>
              <w:left w:val="nil"/>
              <w:bottom w:val="nil"/>
              <w:right w:val="nil"/>
            </w:tcBorders>
            <w:shd w:val="clear" w:color="auto" w:fill="auto"/>
            <w:noWrap/>
            <w:hideMark/>
          </w:tcPr>
          <w:p w14:paraId="3933EB7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6DF0F979" w14:textId="77777777" w:rsidTr="00436CD0">
        <w:trPr>
          <w:trHeight w:val="290"/>
        </w:trPr>
        <w:tc>
          <w:tcPr>
            <w:tcW w:w="915" w:type="pct"/>
            <w:tcBorders>
              <w:top w:val="nil"/>
              <w:left w:val="nil"/>
              <w:bottom w:val="nil"/>
              <w:right w:val="nil"/>
            </w:tcBorders>
            <w:shd w:val="clear" w:color="auto" w:fill="auto"/>
            <w:noWrap/>
            <w:hideMark/>
          </w:tcPr>
          <w:p w14:paraId="161913B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Mbar_A2014</w:t>
            </w:r>
          </w:p>
        </w:tc>
        <w:tc>
          <w:tcPr>
            <w:tcW w:w="3194" w:type="pct"/>
            <w:tcBorders>
              <w:top w:val="nil"/>
              <w:left w:val="nil"/>
              <w:bottom w:val="nil"/>
              <w:right w:val="nil"/>
            </w:tcBorders>
            <w:shd w:val="clear" w:color="auto" w:fill="auto"/>
            <w:noWrap/>
            <w:hideMark/>
          </w:tcPr>
          <w:p w14:paraId="5B15AE6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CCA-adding enzyme </w:t>
            </w:r>
          </w:p>
        </w:tc>
        <w:tc>
          <w:tcPr>
            <w:tcW w:w="891" w:type="pct"/>
            <w:tcBorders>
              <w:top w:val="nil"/>
              <w:left w:val="nil"/>
              <w:bottom w:val="nil"/>
              <w:right w:val="nil"/>
            </w:tcBorders>
            <w:shd w:val="clear" w:color="auto" w:fill="auto"/>
            <w:noWrap/>
            <w:hideMark/>
          </w:tcPr>
          <w:p w14:paraId="69D00F8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1.78</w:t>
            </w:r>
          </w:p>
        </w:tc>
      </w:tr>
      <w:tr w:rsidR="00436CD0" w:rsidRPr="00C44D8C" w14:paraId="62A76362" w14:textId="77777777" w:rsidTr="00436CD0">
        <w:trPr>
          <w:trHeight w:val="290"/>
        </w:trPr>
        <w:tc>
          <w:tcPr>
            <w:tcW w:w="915" w:type="pct"/>
            <w:tcBorders>
              <w:top w:val="nil"/>
              <w:left w:val="nil"/>
              <w:bottom w:val="nil"/>
              <w:right w:val="nil"/>
            </w:tcBorders>
            <w:shd w:val="clear" w:color="auto" w:fill="auto"/>
            <w:noWrap/>
            <w:hideMark/>
          </w:tcPr>
          <w:p w14:paraId="509F76B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Mbar_A1582</w:t>
            </w:r>
          </w:p>
        </w:tc>
        <w:tc>
          <w:tcPr>
            <w:tcW w:w="3194" w:type="pct"/>
            <w:tcBorders>
              <w:top w:val="nil"/>
              <w:left w:val="nil"/>
              <w:bottom w:val="nil"/>
              <w:right w:val="nil"/>
            </w:tcBorders>
            <w:shd w:val="clear" w:color="auto" w:fill="auto"/>
            <w:noWrap/>
            <w:hideMark/>
          </w:tcPr>
          <w:p w14:paraId="109A29B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Replication factor C small subunit </w:t>
            </w:r>
          </w:p>
        </w:tc>
        <w:tc>
          <w:tcPr>
            <w:tcW w:w="891" w:type="pct"/>
            <w:tcBorders>
              <w:top w:val="nil"/>
              <w:left w:val="nil"/>
              <w:bottom w:val="nil"/>
              <w:right w:val="nil"/>
            </w:tcBorders>
            <w:shd w:val="clear" w:color="auto" w:fill="auto"/>
            <w:noWrap/>
            <w:hideMark/>
          </w:tcPr>
          <w:p w14:paraId="053F262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1.78</w:t>
            </w:r>
          </w:p>
        </w:tc>
      </w:tr>
      <w:tr w:rsidR="00436CD0" w:rsidRPr="00C44D8C" w14:paraId="5CD33F86" w14:textId="77777777" w:rsidTr="00436CD0">
        <w:trPr>
          <w:trHeight w:val="290"/>
        </w:trPr>
        <w:tc>
          <w:tcPr>
            <w:tcW w:w="915" w:type="pct"/>
            <w:tcBorders>
              <w:top w:val="nil"/>
              <w:left w:val="nil"/>
              <w:bottom w:val="nil"/>
              <w:right w:val="nil"/>
            </w:tcBorders>
            <w:shd w:val="clear" w:color="auto" w:fill="auto"/>
            <w:noWrap/>
            <w:hideMark/>
          </w:tcPr>
          <w:p w14:paraId="4A9C8FC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Mbar_A0145</w:t>
            </w:r>
          </w:p>
        </w:tc>
        <w:tc>
          <w:tcPr>
            <w:tcW w:w="3194" w:type="pct"/>
            <w:tcBorders>
              <w:top w:val="nil"/>
              <w:left w:val="nil"/>
              <w:bottom w:val="nil"/>
              <w:right w:val="nil"/>
            </w:tcBorders>
            <w:shd w:val="clear" w:color="auto" w:fill="auto"/>
            <w:noWrap/>
            <w:hideMark/>
          </w:tcPr>
          <w:p w14:paraId="7345863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ATP-dependent RNA helicase</w:t>
            </w:r>
          </w:p>
        </w:tc>
        <w:tc>
          <w:tcPr>
            <w:tcW w:w="891" w:type="pct"/>
            <w:tcBorders>
              <w:top w:val="nil"/>
              <w:left w:val="nil"/>
              <w:bottom w:val="nil"/>
              <w:right w:val="nil"/>
            </w:tcBorders>
            <w:shd w:val="clear" w:color="auto" w:fill="auto"/>
            <w:noWrap/>
            <w:hideMark/>
          </w:tcPr>
          <w:p w14:paraId="4D3A9E2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3EB8BDA6" w14:textId="77777777" w:rsidTr="00436CD0">
        <w:trPr>
          <w:trHeight w:val="290"/>
        </w:trPr>
        <w:tc>
          <w:tcPr>
            <w:tcW w:w="915" w:type="pct"/>
            <w:tcBorders>
              <w:top w:val="nil"/>
              <w:left w:val="nil"/>
              <w:bottom w:val="nil"/>
              <w:right w:val="nil"/>
            </w:tcBorders>
            <w:shd w:val="clear" w:color="auto" w:fill="auto"/>
            <w:noWrap/>
            <w:hideMark/>
          </w:tcPr>
          <w:p w14:paraId="2F38D85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Mbar_A0047</w:t>
            </w:r>
          </w:p>
        </w:tc>
        <w:tc>
          <w:tcPr>
            <w:tcW w:w="3194" w:type="pct"/>
            <w:tcBorders>
              <w:top w:val="nil"/>
              <w:left w:val="nil"/>
              <w:bottom w:val="nil"/>
              <w:right w:val="nil"/>
            </w:tcBorders>
            <w:shd w:val="clear" w:color="auto" w:fill="auto"/>
            <w:noWrap/>
            <w:hideMark/>
          </w:tcPr>
          <w:p w14:paraId="32D0413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Transposase, IS4 family</w:t>
            </w:r>
          </w:p>
        </w:tc>
        <w:tc>
          <w:tcPr>
            <w:tcW w:w="891" w:type="pct"/>
            <w:tcBorders>
              <w:top w:val="nil"/>
              <w:left w:val="nil"/>
              <w:bottom w:val="nil"/>
              <w:right w:val="nil"/>
            </w:tcBorders>
            <w:shd w:val="clear" w:color="auto" w:fill="auto"/>
            <w:noWrap/>
            <w:hideMark/>
          </w:tcPr>
          <w:p w14:paraId="7A62E35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1.73</w:t>
            </w:r>
          </w:p>
        </w:tc>
      </w:tr>
      <w:tr w:rsidR="00436CD0" w:rsidRPr="00C44D8C" w14:paraId="03A03086" w14:textId="77777777" w:rsidTr="00436CD0">
        <w:trPr>
          <w:trHeight w:val="290"/>
        </w:trPr>
        <w:tc>
          <w:tcPr>
            <w:tcW w:w="915" w:type="pct"/>
            <w:tcBorders>
              <w:top w:val="nil"/>
              <w:left w:val="nil"/>
              <w:bottom w:val="nil"/>
              <w:right w:val="nil"/>
            </w:tcBorders>
            <w:shd w:val="clear" w:color="auto" w:fill="auto"/>
            <w:noWrap/>
            <w:hideMark/>
          </w:tcPr>
          <w:p w14:paraId="50506DE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Mbar_A2805</w:t>
            </w:r>
          </w:p>
        </w:tc>
        <w:tc>
          <w:tcPr>
            <w:tcW w:w="3194" w:type="pct"/>
            <w:tcBorders>
              <w:top w:val="nil"/>
              <w:left w:val="nil"/>
              <w:bottom w:val="nil"/>
              <w:right w:val="nil"/>
            </w:tcBorders>
            <w:shd w:val="clear" w:color="auto" w:fill="auto"/>
            <w:noWrap/>
            <w:hideMark/>
          </w:tcPr>
          <w:p w14:paraId="3896417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 gyrase subunit B </w:t>
            </w:r>
          </w:p>
        </w:tc>
        <w:tc>
          <w:tcPr>
            <w:tcW w:w="891" w:type="pct"/>
            <w:tcBorders>
              <w:top w:val="nil"/>
              <w:left w:val="nil"/>
              <w:bottom w:val="nil"/>
              <w:right w:val="nil"/>
            </w:tcBorders>
            <w:shd w:val="clear" w:color="auto" w:fill="auto"/>
            <w:noWrap/>
            <w:hideMark/>
          </w:tcPr>
          <w:p w14:paraId="775B462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1.72</w:t>
            </w:r>
          </w:p>
        </w:tc>
      </w:tr>
      <w:tr w:rsidR="00436CD0" w:rsidRPr="00C44D8C" w14:paraId="7771FF5D" w14:textId="77777777" w:rsidTr="00436CD0">
        <w:trPr>
          <w:trHeight w:val="290"/>
        </w:trPr>
        <w:tc>
          <w:tcPr>
            <w:tcW w:w="915" w:type="pct"/>
            <w:tcBorders>
              <w:top w:val="nil"/>
              <w:left w:val="nil"/>
              <w:bottom w:val="nil"/>
              <w:right w:val="nil"/>
            </w:tcBorders>
            <w:shd w:val="clear" w:color="auto" w:fill="auto"/>
            <w:noWrap/>
            <w:hideMark/>
          </w:tcPr>
          <w:p w14:paraId="3372480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Mbar_A1037</w:t>
            </w:r>
          </w:p>
        </w:tc>
        <w:tc>
          <w:tcPr>
            <w:tcW w:w="3194" w:type="pct"/>
            <w:tcBorders>
              <w:top w:val="nil"/>
              <w:left w:val="nil"/>
              <w:bottom w:val="nil"/>
              <w:right w:val="nil"/>
            </w:tcBorders>
            <w:shd w:val="clear" w:color="auto" w:fill="auto"/>
            <w:noWrap/>
            <w:hideMark/>
          </w:tcPr>
          <w:p w14:paraId="42428CC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Anaerobic ribonucleoside-triphosphate reductase</w:t>
            </w:r>
          </w:p>
        </w:tc>
        <w:tc>
          <w:tcPr>
            <w:tcW w:w="891" w:type="pct"/>
            <w:tcBorders>
              <w:top w:val="nil"/>
              <w:left w:val="nil"/>
              <w:bottom w:val="nil"/>
              <w:right w:val="nil"/>
            </w:tcBorders>
            <w:shd w:val="clear" w:color="auto" w:fill="auto"/>
            <w:noWrap/>
            <w:hideMark/>
          </w:tcPr>
          <w:p w14:paraId="0E1FDD1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64E79E25" w14:textId="77777777" w:rsidTr="00436CD0">
        <w:trPr>
          <w:trHeight w:val="290"/>
        </w:trPr>
        <w:tc>
          <w:tcPr>
            <w:tcW w:w="915" w:type="pct"/>
            <w:tcBorders>
              <w:top w:val="nil"/>
              <w:left w:val="nil"/>
              <w:bottom w:val="nil"/>
              <w:right w:val="nil"/>
            </w:tcBorders>
            <w:shd w:val="clear" w:color="auto" w:fill="auto"/>
            <w:noWrap/>
            <w:hideMark/>
          </w:tcPr>
          <w:p w14:paraId="6B5E999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Mbar_A0455</w:t>
            </w:r>
          </w:p>
        </w:tc>
        <w:tc>
          <w:tcPr>
            <w:tcW w:w="3194" w:type="pct"/>
            <w:tcBorders>
              <w:top w:val="nil"/>
              <w:left w:val="nil"/>
              <w:bottom w:val="nil"/>
              <w:right w:val="nil"/>
            </w:tcBorders>
            <w:shd w:val="clear" w:color="auto" w:fill="auto"/>
            <w:noWrap/>
            <w:hideMark/>
          </w:tcPr>
          <w:p w14:paraId="2736BA4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DNA-binding protein </w:t>
            </w:r>
          </w:p>
        </w:tc>
        <w:tc>
          <w:tcPr>
            <w:tcW w:w="891" w:type="pct"/>
            <w:tcBorders>
              <w:top w:val="nil"/>
              <w:left w:val="nil"/>
              <w:bottom w:val="nil"/>
              <w:right w:val="nil"/>
            </w:tcBorders>
            <w:shd w:val="clear" w:color="auto" w:fill="auto"/>
            <w:noWrap/>
            <w:hideMark/>
          </w:tcPr>
          <w:p w14:paraId="799504D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1.69</w:t>
            </w:r>
          </w:p>
        </w:tc>
      </w:tr>
      <w:tr w:rsidR="00436CD0" w:rsidRPr="00C44D8C" w14:paraId="730563DB" w14:textId="77777777" w:rsidTr="00436CD0">
        <w:trPr>
          <w:trHeight w:val="290"/>
        </w:trPr>
        <w:tc>
          <w:tcPr>
            <w:tcW w:w="915" w:type="pct"/>
            <w:tcBorders>
              <w:top w:val="nil"/>
              <w:left w:val="nil"/>
              <w:bottom w:val="nil"/>
              <w:right w:val="nil"/>
            </w:tcBorders>
            <w:shd w:val="clear" w:color="auto" w:fill="auto"/>
            <w:noWrap/>
            <w:hideMark/>
          </w:tcPr>
          <w:p w14:paraId="24AADCF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Mbar_A1593</w:t>
            </w:r>
          </w:p>
        </w:tc>
        <w:tc>
          <w:tcPr>
            <w:tcW w:w="3194" w:type="pct"/>
            <w:tcBorders>
              <w:top w:val="nil"/>
              <w:left w:val="nil"/>
              <w:bottom w:val="nil"/>
              <w:right w:val="nil"/>
            </w:tcBorders>
            <w:shd w:val="clear" w:color="auto" w:fill="auto"/>
            <w:noWrap/>
            <w:hideMark/>
          </w:tcPr>
          <w:p w14:paraId="49EBBC4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Replicative DNA helicase Mcm </w:t>
            </w:r>
          </w:p>
        </w:tc>
        <w:tc>
          <w:tcPr>
            <w:tcW w:w="891" w:type="pct"/>
            <w:tcBorders>
              <w:top w:val="nil"/>
              <w:left w:val="nil"/>
              <w:bottom w:val="nil"/>
              <w:right w:val="nil"/>
            </w:tcBorders>
            <w:shd w:val="clear" w:color="auto" w:fill="auto"/>
            <w:noWrap/>
            <w:hideMark/>
          </w:tcPr>
          <w:p w14:paraId="73A3EE9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1.68</w:t>
            </w:r>
          </w:p>
        </w:tc>
      </w:tr>
      <w:tr w:rsidR="00436CD0" w:rsidRPr="00C44D8C" w14:paraId="5D67E634" w14:textId="77777777" w:rsidTr="00436CD0">
        <w:trPr>
          <w:trHeight w:val="290"/>
        </w:trPr>
        <w:tc>
          <w:tcPr>
            <w:tcW w:w="915" w:type="pct"/>
            <w:tcBorders>
              <w:top w:val="nil"/>
              <w:left w:val="nil"/>
              <w:bottom w:val="nil"/>
              <w:right w:val="nil"/>
            </w:tcBorders>
            <w:shd w:val="clear" w:color="auto" w:fill="auto"/>
            <w:noWrap/>
            <w:hideMark/>
          </w:tcPr>
          <w:p w14:paraId="30D4C79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Mbar_A2708</w:t>
            </w:r>
          </w:p>
        </w:tc>
        <w:tc>
          <w:tcPr>
            <w:tcW w:w="3194" w:type="pct"/>
            <w:tcBorders>
              <w:top w:val="nil"/>
              <w:left w:val="nil"/>
              <w:bottom w:val="nil"/>
              <w:right w:val="nil"/>
            </w:tcBorders>
            <w:shd w:val="clear" w:color="auto" w:fill="auto"/>
            <w:noWrap/>
            <w:hideMark/>
          </w:tcPr>
          <w:p w14:paraId="6DF8B4A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UvrABC system protein B </w:t>
            </w:r>
          </w:p>
        </w:tc>
        <w:tc>
          <w:tcPr>
            <w:tcW w:w="891" w:type="pct"/>
            <w:tcBorders>
              <w:top w:val="nil"/>
              <w:left w:val="nil"/>
              <w:bottom w:val="nil"/>
              <w:right w:val="nil"/>
            </w:tcBorders>
            <w:shd w:val="clear" w:color="auto" w:fill="auto"/>
            <w:noWrap/>
            <w:hideMark/>
          </w:tcPr>
          <w:p w14:paraId="7937669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1.67</w:t>
            </w:r>
          </w:p>
        </w:tc>
      </w:tr>
      <w:tr w:rsidR="00436CD0" w:rsidRPr="00C44D8C" w14:paraId="7C868277" w14:textId="77777777" w:rsidTr="00436CD0">
        <w:trPr>
          <w:trHeight w:val="290"/>
        </w:trPr>
        <w:tc>
          <w:tcPr>
            <w:tcW w:w="915" w:type="pct"/>
            <w:tcBorders>
              <w:top w:val="nil"/>
              <w:left w:val="nil"/>
              <w:bottom w:val="nil"/>
              <w:right w:val="nil"/>
            </w:tcBorders>
            <w:shd w:val="clear" w:color="auto" w:fill="auto"/>
            <w:noWrap/>
            <w:hideMark/>
          </w:tcPr>
          <w:p w14:paraId="75F7450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Mbar_A1495</w:t>
            </w:r>
          </w:p>
        </w:tc>
        <w:tc>
          <w:tcPr>
            <w:tcW w:w="3194" w:type="pct"/>
            <w:tcBorders>
              <w:top w:val="nil"/>
              <w:left w:val="nil"/>
              <w:bottom w:val="nil"/>
              <w:right w:val="nil"/>
            </w:tcBorders>
            <w:shd w:val="clear" w:color="auto" w:fill="auto"/>
            <w:noWrap/>
            <w:hideMark/>
          </w:tcPr>
          <w:p w14:paraId="2A1F620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DNA mismatch repair protein MutS</w:t>
            </w:r>
          </w:p>
        </w:tc>
        <w:tc>
          <w:tcPr>
            <w:tcW w:w="891" w:type="pct"/>
            <w:tcBorders>
              <w:top w:val="nil"/>
              <w:left w:val="nil"/>
              <w:bottom w:val="nil"/>
              <w:right w:val="nil"/>
            </w:tcBorders>
            <w:shd w:val="clear" w:color="auto" w:fill="auto"/>
            <w:noWrap/>
            <w:hideMark/>
          </w:tcPr>
          <w:p w14:paraId="11015E2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1.63</w:t>
            </w:r>
          </w:p>
        </w:tc>
      </w:tr>
      <w:tr w:rsidR="00436CD0" w:rsidRPr="00C44D8C" w14:paraId="2A62CCB0" w14:textId="77777777" w:rsidTr="00436CD0">
        <w:trPr>
          <w:trHeight w:val="290"/>
        </w:trPr>
        <w:tc>
          <w:tcPr>
            <w:tcW w:w="915" w:type="pct"/>
            <w:tcBorders>
              <w:top w:val="nil"/>
              <w:left w:val="nil"/>
              <w:bottom w:val="nil"/>
              <w:right w:val="nil"/>
            </w:tcBorders>
            <w:shd w:val="clear" w:color="auto" w:fill="auto"/>
            <w:noWrap/>
            <w:hideMark/>
          </w:tcPr>
          <w:p w14:paraId="4F48102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Mbar_A1212</w:t>
            </w:r>
          </w:p>
        </w:tc>
        <w:tc>
          <w:tcPr>
            <w:tcW w:w="3194" w:type="pct"/>
            <w:tcBorders>
              <w:top w:val="nil"/>
              <w:left w:val="nil"/>
              <w:bottom w:val="nil"/>
              <w:right w:val="nil"/>
            </w:tcBorders>
            <w:shd w:val="clear" w:color="auto" w:fill="auto"/>
            <w:noWrap/>
            <w:hideMark/>
          </w:tcPr>
          <w:p w14:paraId="1AA1A5C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Flap endonuclease 1 </w:t>
            </w:r>
          </w:p>
        </w:tc>
        <w:tc>
          <w:tcPr>
            <w:tcW w:w="891" w:type="pct"/>
            <w:tcBorders>
              <w:top w:val="nil"/>
              <w:left w:val="nil"/>
              <w:bottom w:val="nil"/>
              <w:right w:val="nil"/>
            </w:tcBorders>
            <w:shd w:val="clear" w:color="auto" w:fill="auto"/>
            <w:noWrap/>
            <w:hideMark/>
          </w:tcPr>
          <w:p w14:paraId="4661A0C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1.59</w:t>
            </w:r>
          </w:p>
        </w:tc>
      </w:tr>
      <w:tr w:rsidR="00436CD0" w:rsidRPr="00C44D8C" w14:paraId="7FCE33E5" w14:textId="77777777" w:rsidTr="00436CD0">
        <w:trPr>
          <w:trHeight w:val="290"/>
        </w:trPr>
        <w:tc>
          <w:tcPr>
            <w:tcW w:w="915" w:type="pct"/>
            <w:tcBorders>
              <w:top w:val="nil"/>
              <w:left w:val="nil"/>
              <w:bottom w:val="nil"/>
              <w:right w:val="nil"/>
            </w:tcBorders>
            <w:shd w:val="clear" w:color="auto" w:fill="auto"/>
            <w:noWrap/>
            <w:hideMark/>
          </w:tcPr>
          <w:p w14:paraId="2B534B3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Mbar_A1777</w:t>
            </w:r>
          </w:p>
        </w:tc>
        <w:tc>
          <w:tcPr>
            <w:tcW w:w="3194" w:type="pct"/>
            <w:tcBorders>
              <w:top w:val="nil"/>
              <w:left w:val="nil"/>
              <w:bottom w:val="nil"/>
              <w:right w:val="nil"/>
            </w:tcBorders>
            <w:shd w:val="clear" w:color="auto" w:fill="auto"/>
            <w:noWrap/>
            <w:hideMark/>
          </w:tcPr>
          <w:p w14:paraId="3579373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 polymerase </w:t>
            </w:r>
          </w:p>
        </w:tc>
        <w:tc>
          <w:tcPr>
            <w:tcW w:w="891" w:type="pct"/>
            <w:tcBorders>
              <w:top w:val="nil"/>
              <w:left w:val="nil"/>
              <w:bottom w:val="nil"/>
              <w:right w:val="nil"/>
            </w:tcBorders>
            <w:shd w:val="clear" w:color="auto" w:fill="auto"/>
            <w:noWrap/>
            <w:hideMark/>
          </w:tcPr>
          <w:p w14:paraId="06477E8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1.50</w:t>
            </w:r>
          </w:p>
        </w:tc>
      </w:tr>
      <w:tr w:rsidR="00436CD0" w:rsidRPr="00C44D8C" w14:paraId="66A9355A" w14:textId="77777777" w:rsidTr="00436CD0">
        <w:trPr>
          <w:trHeight w:val="290"/>
        </w:trPr>
        <w:tc>
          <w:tcPr>
            <w:tcW w:w="915" w:type="pct"/>
            <w:tcBorders>
              <w:top w:val="nil"/>
              <w:left w:val="nil"/>
              <w:bottom w:val="nil"/>
              <w:right w:val="nil"/>
            </w:tcBorders>
            <w:shd w:val="clear" w:color="auto" w:fill="auto"/>
            <w:noWrap/>
            <w:hideMark/>
          </w:tcPr>
          <w:p w14:paraId="24A9C82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Mbar_A2338</w:t>
            </w:r>
          </w:p>
        </w:tc>
        <w:tc>
          <w:tcPr>
            <w:tcW w:w="3194" w:type="pct"/>
            <w:tcBorders>
              <w:top w:val="nil"/>
              <w:left w:val="nil"/>
              <w:bottom w:val="nil"/>
              <w:right w:val="nil"/>
            </w:tcBorders>
            <w:shd w:val="clear" w:color="auto" w:fill="auto"/>
            <w:noWrap/>
            <w:hideMark/>
          </w:tcPr>
          <w:p w14:paraId="206FA89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DNA repair and recombination protein RadA</w:t>
            </w:r>
          </w:p>
        </w:tc>
        <w:tc>
          <w:tcPr>
            <w:tcW w:w="891" w:type="pct"/>
            <w:tcBorders>
              <w:top w:val="nil"/>
              <w:left w:val="nil"/>
              <w:bottom w:val="nil"/>
              <w:right w:val="nil"/>
            </w:tcBorders>
            <w:shd w:val="clear" w:color="auto" w:fill="auto"/>
            <w:noWrap/>
            <w:hideMark/>
          </w:tcPr>
          <w:p w14:paraId="76A302A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1.49</w:t>
            </w:r>
          </w:p>
        </w:tc>
      </w:tr>
      <w:tr w:rsidR="00436CD0" w:rsidRPr="00C44D8C" w14:paraId="7E5254F6" w14:textId="77777777" w:rsidTr="00436CD0">
        <w:trPr>
          <w:trHeight w:val="290"/>
        </w:trPr>
        <w:tc>
          <w:tcPr>
            <w:tcW w:w="915" w:type="pct"/>
            <w:tcBorders>
              <w:top w:val="nil"/>
              <w:left w:val="nil"/>
              <w:right w:val="nil"/>
            </w:tcBorders>
            <w:shd w:val="clear" w:color="auto" w:fill="auto"/>
            <w:noWrap/>
            <w:hideMark/>
          </w:tcPr>
          <w:p w14:paraId="0470AD9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Mbar_A2710</w:t>
            </w:r>
          </w:p>
        </w:tc>
        <w:tc>
          <w:tcPr>
            <w:tcW w:w="3194" w:type="pct"/>
            <w:tcBorders>
              <w:top w:val="nil"/>
              <w:left w:val="nil"/>
              <w:right w:val="nil"/>
            </w:tcBorders>
            <w:shd w:val="clear" w:color="auto" w:fill="auto"/>
            <w:noWrap/>
            <w:hideMark/>
          </w:tcPr>
          <w:p w14:paraId="71BF4E6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UvrABC system protein A </w:t>
            </w:r>
          </w:p>
        </w:tc>
        <w:tc>
          <w:tcPr>
            <w:tcW w:w="891" w:type="pct"/>
            <w:tcBorders>
              <w:top w:val="nil"/>
              <w:left w:val="nil"/>
              <w:right w:val="nil"/>
            </w:tcBorders>
            <w:shd w:val="clear" w:color="auto" w:fill="auto"/>
            <w:noWrap/>
            <w:hideMark/>
          </w:tcPr>
          <w:p w14:paraId="5330484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1.45</w:t>
            </w:r>
          </w:p>
        </w:tc>
      </w:tr>
      <w:tr w:rsidR="00436CD0" w:rsidRPr="00C44D8C" w14:paraId="429E2530" w14:textId="77777777" w:rsidTr="00436CD0">
        <w:trPr>
          <w:trHeight w:val="290"/>
        </w:trPr>
        <w:tc>
          <w:tcPr>
            <w:tcW w:w="915" w:type="pct"/>
            <w:tcBorders>
              <w:top w:val="nil"/>
              <w:left w:val="nil"/>
              <w:bottom w:val="single" w:sz="4" w:space="0" w:color="auto"/>
              <w:right w:val="nil"/>
            </w:tcBorders>
            <w:shd w:val="clear" w:color="auto" w:fill="auto"/>
            <w:noWrap/>
            <w:hideMark/>
          </w:tcPr>
          <w:p w14:paraId="37925AE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Mbar_A2804</w:t>
            </w:r>
          </w:p>
        </w:tc>
        <w:tc>
          <w:tcPr>
            <w:tcW w:w="3194" w:type="pct"/>
            <w:tcBorders>
              <w:top w:val="nil"/>
              <w:left w:val="nil"/>
              <w:bottom w:val="single" w:sz="4" w:space="0" w:color="auto"/>
              <w:right w:val="nil"/>
            </w:tcBorders>
            <w:shd w:val="clear" w:color="auto" w:fill="auto"/>
            <w:noWrap/>
            <w:hideMark/>
          </w:tcPr>
          <w:p w14:paraId="04B61B6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DNA gyrase subunit A </w:t>
            </w:r>
          </w:p>
        </w:tc>
        <w:tc>
          <w:tcPr>
            <w:tcW w:w="891" w:type="pct"/>
            <w:tcBorders>
              <w:top w:val="nil"/>
              <w:left w:val="nil"/>
              <w:bottom w:val="single" w:sz="4" w:space="0" w:color="auto"/>
              <w:right w:val="nil"/>
            </w:tcBorders>
            <w:shd w:val="clear" w:color="auto" w:fill="auto"/>
            <w:noWrap/>
            <w:hideMark/>
          </w:tcPr>
          <w:p w14:paraId="5944E1F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1.26</w:t>
            </w:r>
          </w:p>
        </w:tc>
      </w:tr>
    </w:tbl>
    <w:p w14:paraId="1477ED3D" w14:textId="77777777" w:rsidR="00436CD0" w:rsidRPr="00C44D8C" w:rsidRDefault="00436CD0" w:rsidP="00436CD0">
      <w:pPr>
        <w:spacing w:line="360" w:lineRule="auto"/>
        <w:rPr>
          <w:rFonts w:asciiTheme="minorHAnsi" w:hAnsiTheme="minorHAnsi"/>
          <w:sz w:val="22"/>
          <w:szCs w:val="22"/>
          <w:lang w:eastAsia="en-GB"/>
        </w:rPr>
      </w:pPr>
    </w:p>
    <w:p w14:paraId="57D4E792" w14:textId="242E5CCC"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Increased levels of protein synthesis are a recognised requirement for biofilm formation to support elevated levels of cell growth in the biofilm</w:t>
      </w:r>
      <w:r w:rsidR="009C6F0F">
        <w:rPr>
          <w:rFonts w:asciiTheme="minorHAnsi" w:hAnsiTheme="minorHAnsi"/>
          <w:color w:val="000000"/>
          <w:sz w:val="22"/>
          <w:szCs w:val="22"/>
          <w:lang w:eastAsia="en-GB"/>
        </w:rPr>
        <w:t xml:space="preserve"> </w:t>
      </w:r>
      <w:r w:rsidR="009C6F0F">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"abstract" : "To get further information on bacterial surface sensing and biofilm-dependent regulation of gene expression in Escherichia coli K-12, random insertion mutagenesis with Mu dX, a mini-Mu carrying the promoterless lacZ gene, was performed with an ompR234 adherent strain, and a simple screen was developed to assess changes in gene expression in biofilm cells versus planktonic cells. This screen revealed that major changes in the pat-tern of gene expression occur during biofilm development: the transcription of 38% of the genes was affected with-in biofilms. Different cell functions were more expressed in sessile bacteria: the OmpC porin, the high-affinity transport system of glycine betaine (encoded by the proU operon), the colanic acid exopolysaccharide (wca lo-cus, formerly called cps), tripeptidase T (pepT), and the nickel high-affinity transport system (nikA). On the other hand, the syntheses of flagellin (fliC) and of a putative protein of 92 amino acids (f92) were both reduced in biofilms. Such a genetic reprogramming of gene expression in biofilms seems to result from changes in mul-tiple environmental physicochemical conditions. In this work, we show that bacteria within biofilms encounter higher-osmolarity conditions, greater oxygen limitation, and higher cell density than in the liquid phase.", "author" : [ { "dropping-particle" : "", "family" : "Prigent-Combaret", "given" : "Claire", "non-dropping-particle" : "", "parse-names" : false, "suffix" : "" }, { "dropping-particle" : "", "family" : "Vidal", "given" : "Olivier", "non-dropping-particle" : "", "parse-names" : false, "suffix" : "" }, { "dropping-particle" : "", "family" : "Dorel", "given" : "Corinne", "non-dropping-particle" : "", "parse-names" : false, "suffix" : "" }, { "dropping-particle" : "", "family" : "Lejeune", "given" : "Philippe", "non-dropping-particle" : "", "parse-names" : false, "suffix" : "" } ], "container-title" : "Journal of Bacteriology", "id" : "ITEM-1", "issue" : "19", "issued" : { "date-parts" : [ [ "1999" ] ] }, "page" : "5993-6002", "title" : "Abiotic Surface Sensing and Biofilm-Dependent Regulation of Gene Expression in Escherichia coli", "type" : "article-journal", "volume" : "181" }, "uris" : [ "http://www.mendeley.com/documents/?uuid=c59e6c91-0b34-3820-9851-913abe391226" ] } ], "mendeley" : { "formattedCitation" : "[224]", "plainTextFormattedCitation" : "[224]", "previouslyFormattedCitation" : "[224]"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[224]</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In this study, various ribosomal proteins, translation initiation factors (Mbar_A0287, Mbar_A1567, Mbar_1372), and translation elongation factors (Mbar_A0971, Mbar_A3440) were </w:t>
      </w:r>
      <w:r w:rsidR="00BA6EB9">
        <w:rPr>
          <w:rFonts w:asciiTheme="minorHAnsi" w:hAnsiTheme="minorHAnsi"/>
          <w:color w:val="000000"/>
          <w:sz w:val="22"/>
          <w:szCs w:val="22"/>
          <w:lang w:eastAsia="en-GB"/>
        </w:rPr>
        <w:t>found in higher relative abundance</w:t>
      </w:r>
      <w:r w:rsidR="00BA6EB9"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for biofilm cells attached to PVC compared to PETG, suggesting the establishment of a metabolically active and growing biofilm on PVC compared to PETG. </w:t>
      </w:r>
    </w:p>
    <w:p w14:paraId="1DC49E8A" w14:textId="2FDE1176"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In addition, significant transcriptional changes were observed in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The approximate two-fold </w:t>
      </w:r>
      <w:r w:rsidR="00BA6EB9">
        <w:rPr>
          <w:rFonts w:asciiTheme="minorHAnsi" w:hAnsiTheme="minorHAnsi"/>
          <w:color w:val="000000"/>
          <w:sz w:val="22"/>
          <w:szCs w:val="22"/>
          <w:lang w:eastAsia="en-GB"/>
        </w:rPr>
        <w:t xml:space="preserve">increase in relative </w:t>
      </w:r>
      <w:r w:rsidR="00BA6EB9">
        <w:rPr>
          <w:rFonts w:asciiTheme="minorHAnsi" w:hAnsiTheme="minorHAnsi"/>
          <w:color w:val="000000"/>
          <w:sz w:val="22"/>
          <w:szCs w:val="22"/>
          <w:lang w:eastAsia="en-GB"/>
        </w:rPr>
        <w:lastRenderedPageBreak/>
        <w:t>abundance</w:t>
      </w:r>
      <w:r w:rsidRPr="00C44D8C">
        <w:rPr>
          <w:rFonts w:asciiTheme="minorHAnsi" w:hAnsiTheme="minorHAnsi"/>
          <w:color w:val="000000"/>
          <w:sz w:val="22"/>
          <w:szCs w:val="22"/>
          <w:lang w:eastAsia="en-GB"/>
        </w:rPr>
        <w:t xml:space="preserve"> of transcription initiation factor IIB (Mbar_A1394) was observed, which is essential for initiating transcription in archaea, and is a homologue of the eukaryotic transcription initiation factor IIB</w:t>
      </w:r>
      <w:r w:rsidR="009C6F0F">
        <w:rPr>
          <w:rFonts w:asciiTheme="minorHAnsi" w:hAnsiTheme="minorHAnsi"/>
          <w:color w:val="000000"/>
          <w:sz w:val="22"/>
          <w:szCs w:val="22"/>
          <w:lang w:eastAsia="en-GB"/>
        </w:rPr>
        <w:t xml:space="preserve"> </w:t>
      </w:r>
      <w:r w:rsidR="009C6F0F">
        <w:rPr>
          <w:rFonts w:asciiTheme="minorHAnsi" w:hAnsiTheme="minorHAnsi"/>
          <w:color w:val="000000"/>
          <w:sz w:val="22"/>
          <w:szCs w:val="22"/>
          <w:lang w:eastAsia="en-GB"/>
        </w:rPr>
        <w:fldChar w:fldCharType="begin" w:fldLock="1"/>
      </w:r>
      <w:r w:rsidR="00F6573E">
        <w:rPr>
          <w:rFonts w:asciiTheme="minorHAnsi" w:hAnsiTheme="minorHAnsi"/>
          <w:color w:val="000000"/>
          <w:sz w:val="22"/>
          <w:szCs w:val="22"/>
          <w:lang w:eastAsia="en-GB"/>
        </w:rPr>
        <w:instrText>ADDIN CSL_CITATION { "citationItems" : [ { "id" : "ITEM-1", "itemData" : { "DOI" : "10.3389/fmicb.2012.00259", "ISSN" : "1664302X", "PMID" : "22837755", "abstract" : "The discovery of the third domain of life, the Archaea, is one of the most exciting findings of the last century. These remarkable prokaryotes are well known for their adaptations to extreme environments; however, Archaea have also conquered moderate environments. Many of the archaeal biochemical processes, such as methane production, are unique in nature and therefore of great scientific interest. Although formerly restricted to biochemical and physiological studies, sophisticated systems for genetic manipulation have been developed during the last two decades for methanogenic archaea, halophilic archaea and thermophilic, sulfur-metabolizing archaea. The availability of these tools has allowed for more complete studies of archaeal physiology and metabolism and most importantly provides the basis for the investigation of gene expression, regulation and function. In this review we provide an overview of methods for genetic manipulation of Methanosarcina spp., a group of methanogenic archaea that are key players in the global carbon cycle and which can be found in a variety of anaerobic environments.", "author" : [ { "dropping-particle" : "", "family" : "Kohler", "given" : "Petra R A", "non-dropping-particle" : "", "parse-names" : false, "suffix" : "" }, { "dropping-particle" : "", "family" : "Metcalf", "given" : "William W.", "non-dropping-particle" : "", "parse-names" : false, "suffix" : "" } ], "container-title" : "Frontiers in Microbiology", "id" : "ITEM-1", "issued" : { "date-parts" : [ [ "2012" ] ] }, "page" : "1-9", "title" : "Genetic manipulation of Methanosarcina spp.", "type" : "article-journal", "volume" : "3" }, "uris" : [ "http://www.mendeley.com/documents/?uuid=3f6758b5-44ea-3435-9671-6696dc8d29b9" ] } ], "mendeley" : { "formattedCitation" : "[56]", "plainTextFormattedCitation" : "[56]", "previouslyFormattedCitation" : "[56]"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3250CB" w:rsidRPr="003250CB">
        <w:rPr>
          <w:rFonts w:asciiTheme="minorHAnsi" w:hAnsiTheme="minorHAnsi"/>
          <w:noProof/>
          <w:color w:val="000000"/>
          <w:sz w:val="22"/>
          <w:szCs w:val="22"/>
          <w:lang w:eastAsia="en-GB"/>
        </w:rPr>
        <w:t>[56]</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Various transcriptional regulators were also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from different families, including those from the AsnC family (Mbar_A1459, Mbar-A2808), the ArsR family (Mbar_A2865, Mbar_A1729, Mbar_A2965), and the XRE family (Mbar_A1033, Mbar_A0621, Mbar_A2079), as well as transcription elongation factors Spt5 and Spt4 (Mbar_A0616, Mbar_A0284). This suggests a key role of these proteins for transcription during biofilm formation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to a favourable support material, such as PVC.</w:t>
      </w:r>
    </w:p>
    <w:p w14:paraId="1B02C716" w14:textId="346611C8"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Archaeal proteins involved in DNA replication are homologous to those from eukarya </w:t>
      </w:r>
      <w:r w:rsidR="009C6F0F">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"10.1038/nrg1504", "ISBN" : "1471-0056 (Print)\\n1471-0056 (Linking)", "ISSN" : "1471-0056", "PMID" : "15630422", "abstract" : "For decades, archaea were misclassified as bacteria because of their prokaryotic morphology. Molecular phylogeny eventually revealed that archaea, like bacteria and eukaryotes, are a fundamentally distinct domain of life. Genome analyses have confirmed that archaea share many features with eukaryotes, particularly in information processing, and therefore can serve as streamlined models for understanding eukaryotic biology. Biochemists and structural biologists have embraced the study of archaea but geneticists have been more wary, despite the fact that genetic techniques for archaea are quite sophisticated. It is time for geneticists to start asking fundamental questions about our distant relatives.", "author" : [ { "dropping-particle" : "", "family" : "Allers", "given" : "Thorsten", "non-dropping-particle" : "", "parse-names" : false, "suffix" : "" }, { "dropping-particle" : "", "family" : "Mevarech", "given" : "Moshe", "non-dropping-particle" : "", "parse-names" : false, "suffix" : "" } ], "container-title" : "Nature reviews. Genetics", "id" : "ITEM-1", "issue" : "1", "issued" : { "date-parts" : [ [ "2005" ] ] }, "page" : "58-73", "title" : "Archaeal genetics - the third way.", "type" : "article-journal", "volume" : "6" }, "uris" : [ "http://www.mendeley.com/documents/?uuid=6a5147f0-d4c1-483d-a9f6-450979ec3834" ] } ], "mendeley" : { "formattedCitation" : "[225]", "plainTextFormattedCitation" : "[225]", "previouslyFormattedCitation" : "[225]"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[225]</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and such proteins were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cells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such as replication factor-A protein (Mbar_A0963) and replication factor C (Mbar_A1582). The high abundance (20% of the identified proteome) of proteins involved in cellular processing in biofilms attached to PVC suggests an important </w:t>
      </w:r>
      <w:r w:rsidR="00BA6EB9">
        <w:rPr>
          <w:rFonts w:asciiTheme="minorHAnsi" w:hAnsiTheme="minorHAnsi"/>
          <w:color w:val="000000"/>
          <w:sz w:val="22"/>
          <w:szCs w:val="22"/>
          <w:lang w:eastAsia="en-GB"/>
        </w:rPr>
        <w:t>role</w:t>
      </w:r>
      <w:r w:rsidR="00BA6EB9"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of these housekeeping proteins during biofilm formation in </w:t>
      </w:r>
      <w:r w:rsidRPr="00C44D8C">
        <w:rPr>
          <w:rFonts w:asciiTheme="minorHAnsi" w:hAnsiTheme="minorHAnsi"/>
          <w:i/>
          <w:color w:val="000000"/>
          <w:sz w:val="22"/>
          <w:szCs w:val="22"/>
          <w:lang w:eastAsia="en-GB"/>
        </w:rPr>
        <w:t>M. barkeri</w:t>
      </w:r>
      <w:r w:rsidRPr="00C44D8C">
        <w:rPr>
          <w:rFonts w:asciiTheme="minorHAnsi" w:hAnsiTheme="minorHAnsi"/>
          <w:color w:val="000000"/>
          <w:sz w:val="22"/>
          <w:szCs w:val="22"/>
          <w:lang w:eastAsia="en-GB"/>
        </w:rPr>
        <w:t xml:space="preserve">.  </w:t>
      </w:r>
    </w:p>
    <w:p w14:paraId="549C5E40" w14:textId="77777777" w:rsidR="00436CD0" w:rsidRPr="00C44D8C" w:rsidRDefault="00436CD0" w:rsidP="00436CD0">
      <w:pPr>
        <w:spacing w:line="360" w:lineRule="auto"/>
        <w:rPr>
          <w:rFonts w:asciiTheme="minorHAnsi" w:hAnsiTheme="minorHAnsi"/>
          <w:sz w:val="22"/>
          <w:szCs w:val="22"/>
          <w:lang w:eastAsia="en-GB"/>
        </w:rPr>
      </w:pPr>
    </w:p>
    <w:p w14:paraId="0DD88D20" w14:textId="77777777" w:rsidR="00436CD0" w:rsidRPr="00C44D8C" w:rsidRDefault="00436CD0" w:rsidP="002B29E5">
      <w:pPr>
        <w:pStyle w:val="Heading7"/>
        <w:rPr>
          <w:lang w:eastAsia="en-GB"/>
        </w:rPr>
      </w:pPr>
      <w:bookmarkStart w:id="154" w:name="_Toc462575363"/>
      <w:r w:rsidRPr="00C44D8C">
        <w:rPr>
          <w:lang w:eastAsia="en-GB"/>
        </w:rPr>
        <w:t>5.3.5.5. Substrate transport and folding</w:t>
      </w:r>
      <w:bookmarkEnd w:id="154"/>
    </w:p>
    <w:p w14:paraId="47AAD03A" w14:textId="4AC4EA84"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Biofilms of </w:t>
      </w:r>
      <w:r w:rsidRPr="00C44D8C">
        <w:rPr>
          <w:rFonts w:asciiTheme="minorHAnsi" w:hAnsiTheme="minorHAnsi"/>
          <w:i/>
          <w:color w:val="000000"/>
          <w:sz w:val="22"/>
          <w:szCs w:val="22"/>
          <w:lang w:eastAsia="en-GB"/>
        </w:rPr>
        <w:t>M. barkeri</w:t>
      </w:r>
      <w:r w:rsidRPr="00C44D8C">
        <w:rPr>
          <w:rFonts w:asciiTheme="minorHAnsi" w:hAnsiTheme="minorHAnsi"/>
          <w:color w:val="000000"/>
          <w:sz w:val="22"/>
          <w:szCs w:val="22"/>
          <w:lang w:eastAsia="en-GB"/>
        </w:rPr>
        <w:t xml:space="preserve"> attached to PVC showed </w:t>
      </w:r>
      <w:r w:rsidR="00BA6EB9">
        <w:rPr>
          <w:rFonts w:asciiTheme="minorHAnsi" w:hAnsiTheme="minorHAnsi"/>
          <w:color w:val="000000"/>
          <w:sz w:val="22"/>
          <w:szCs w:val="22"/>
          <w:lang w:eastAsia="en-GB"/>
        </w:rPr>
        <w:t>a higher relative abundance</w:t>
      </w:r>
      <w:r w:rsidR="00BA6EB9"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of various proteins involved in post-translational modification, chaperones and substrate transport compared to a lower protein abundance in biofilms attached to PETG (Table 5.5).</w:t>
      </w:r>
    </w:p>
    <w:p w14:paraId="7F032578" w14:textId="77777777" w:rsidR="00436CD0" w:rsidRPr="00C44D8C" w:rsidRDefault="00436CD0" w:rsidP="00436CD0">
      <w:pPr>
        <w:spacing w:line="360" w:lineRule="auto"/>
        <w:rPr>
          <w:rFonts w:asciiTheme="minorHAnsi" w:hAnsiTheme="minorHAnsi"/>
          <w:sz w:val="22"/>
          <w:szCs w:val="22"/>
          <w:lang w:eastAsia="en-GB"/>
        </w:rPr>
      </w:pPr>
    </w:p>
    <w:p w14:paraId="2958D69D" w14:textId="7F65A104"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Table 5.5</w:t>
      </w:r>
      <w:r w:rsidRPr="00C44D8C">
        <w:rPr>
          <w:rFonts w:asciiTheme="minorHAnsi" w:hAnsiTheme="minorHAnsi"/>
          <w:color w:val="000000"/>
          <w:sz w:val="22"/>
          <w:szCs w:val="22"/>
          <w:lang w:eastAsia="en-GB"/>
        </w:rPr>
        <w:t xml:space="preserve"> Proteins involved in substrate transport and folding and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 (p ≤ 0.05).</w:t>
      </w:r>
    </w:p>
    <w:tbl>
      <w:tblPr>
        <w:tblW w:w="8472" w:type="dxa"/>
        <w:tblLayout w:type="fixed"/>
        <w:tblLook w:val="04A0" w:firstRow="1" w:lastRow="0" w:firstColumn="1" w:lastColumn="0" w:noHBand="0" w:noVBand="1"/>
      </w:tblPr>
      <w:tblGrid>
        <w:gridCol w:w="1561"/>
        <w:gridCol w:w="4959"/>
        <w:gridCol w:w="1952"/>
      </w:tblGrid>
      <w:tr w:rsidR="00436CD0" w:rsidRPr="00C44D8C" w14:paraId="2007CA96" w14:textId="77777777" w:rsidTr="002B29E5">
        <w:trPr>
          <w:trHeight w:val="620"/>
        </w:trPr>
        <w:tc>
          <w:tcPr>
            <w:tcW w:w="1561" w:type="dxa"/>
            <w:tcBorders>
              <w:top w:val="nil"/>
              <w:left w:val="nil"/>
              <w:bottom w:val="single" w:sz="4" w:space="0" w:color="auto"/>
              <w:right w:val="nil"/>
            </w:tcBorders>
            <w:shd w:val="clear" w:color="auto" w:fill="auto"/>
            <w:vAlign w:val="center"/>
            <w:hideMark/>
          </w:tcPr>
          <w:p w14:paraId="502E0ED7"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Loci</w:t>
            </w:r>
          </w:p>
        </w:tc>
        <w:tc>
          <w:tcPr>
            <w:tcW w:w="4959" w:type="dxa"/>
            <w:tcBorders>
              <w:top w:val="nil"/>
              <w:left w:val="nil"/>
              <w:bottom w:val="single" w:sz="4" w:space="0" w:color="auto"/>
              <w:right w:val="nil"/>
            </w:tcBorders>
            <w:shd w:val="clear" w:color="auto" w:fill="auto"/>
            <w:vAlign w:val="center"/>
            <w:hideMark/>
          </w:tcPr>
          <w:p w14:paraId="11FC24BA" w14:textId="77777777" w:rsidR="00436CD0" w:rsidRPr="00C44D8C" w:rsidRDefault="00436CD0" w:rsidP="00436CD0">
            <w:pPr>
              <w:ind w:right="335"/>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Protein</w:t>
            </w:r>
          </w:p>
        </w:tc>
        <w:tc>
          <w:tcPr>
            <w:tcW w:w="1952" w:type="dxa"/>
            <w:tcBorders>
              <w:top w:val="nil"/>
              <w:left w:val="nil"/>
              <w:bottom w:val="single" w:sz="4" w:space="0" w:color="auto"/>
              <w:right w:val="nil"/>
            </w:tcBorders>
            <w:shd w:val="clear" w:color="auto" w:fill="auto"/>
            <w:vAlign w:val="center"/>
            <w:hideMark/>
          </w:tcPr>
          <w:p w14:paraId="1119A626" w14:textId="77777777" w:rsidR="00436CD0" w:rsidRPr="00C44D8C" w:rsidRDefault="00436CD0" w:rsidP="00436CD0">
            <w:pPr>
              <w:jc w:val="cente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Fold change</w:t>
            </w:r>
          </w:p>
        </w:tc>
      </w:tr>
      <w:tr w:rsidR="00436CD0" w:rsidRPr="00C44D8C" w14:paraId="4D7F1C67" w14:textId="77777777" w:rsidTr="002B29E5">
        <w:trPr>
          <w:trHeight w:val="310"/>
        </w:trPr>
        <w:tc>
          <w:tcPr>
            <w:tcW w:w="8472" w:type="dxa"/>
            <w:gridSpan w:val="3"/>
            <w:tcBorders>
              <w:top w:val="single" w:sz="4" w:space="0" w:color="auto"/>
              <w:bottom w:val="nil"/>
              <w:right w:val="nil"/>
            </w:tcBorders>
            <w:shd w:val="clear" w:color="auto" w:fill="auto"/>
            <w:noWrap/>
            <w:hideMark/>
          </w:tcPr>
          <w:p w14:paraId="65F39A9B"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Post-translational modification, chaperones</w:t>
            </w:r>
          </w:p>
        </w:tc>
      </w:tr>
      <w:tr w:rsidR="00436CD0" w:rsidRPr="00C44D8C" w14:paraId="18DB7A51" w14:textId="77777777" w:rsidTr="00436CD0">
        <w:trPr>
          <w:trHeight w:val="290"/>
        </w:trPr>
        <w:tc>
          <w:tcPr>
            <w:tcW w:w="1561" w:type="dxa"/>
            <w:tcBorders>
              <w:top w:val="nil"/>
              <w:left w:val="nil"/>
              <w:bottom w:val="nil"/>
              <w:right w:val="nil"/>
            </w:tcBorders>
            <w:shd w:val="clear" w:color="auto" w:fill="auto"/>
            <w:noWrap/>
            <w:hideMark/>
          </w:tcPr>
          <w:p w14:paraId="20716B1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Mbar_A1543</w:t>
            </w:r>
          </w:p>
        </w:tc>
        <w:tc>
          <w:tcPr>
            <w:tcW w:w="4959" w:type="dxa"/>
            <w:tcBorders>
              <w:top w:val="nil"/>
              <w:left w:val="nil"/>
              <w:bottom w:val="nil"/>
              <w:right w:val="nil"/>
            </w:tcBorders>
            <w:shd w:val="clear" w:color="auto" w:fill="auto"/>
            <w:noWrap/>
            <w:hideMark/>
          </w:tcPr>
          <w:p w14:paraId="3A25483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60 kDa chaperonin (GroEL protein) </w:t>
            </w:r>
          </w:p>
        </w:tc>
        <w:tc>
          <w:tcPr>
            <w:tcW w:w="1952" w:type="dxa"/>
            <w:tcBorders>
              <w:top w:val="nil"/>
              <w:left w:val="nil"/>
              <w:bottom w:val="nil"/>
              <w:right w:val="nil"/>
            </w:tcBorders>
            <w:shd w:val="clear" w:color="auto" w:fill="auto"/>
            <w:noWrap/>
            <w:hideMark/>
          </w:tcPr>
          <w:p w14:paraId="4351169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2.03</w:t>
            </w:r>
          </w:p>
        </w:tc>
      </w:tr>
      <w:tr w:rsidR="00436CD0" w:rsidRPr="00C44D8C" w14:paraId="591A4C47" w14:textId="77777777" w:rsidTr="00436CD0">
        <w:trPr>
          <w:trHeight w:val="290"/>
        </w:trPr>
        <w:tc>
          <w:tcPr>
            <w:tcW w:w="1561" w:type="dxa"/>
            <w:tcBorders>
              <w:top w:val="nil"/>
              <w:left w:val="nil"/>
              <w:bottom w:val="nil"/>
              <w:right w:val="nil"/>
            </w:tcBorders>
            <w:shd w:val="clear" w:color="auto" w:fill="auto"/>
            <w:noWrap/>
            <w:hideMark/>
          </w:tcPr>
          <w:p w14:paraId="36F02D6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Mbar_A1542</w:t>
            </w:r>
          </w:p>
        </w:tc>
        <w:tc>
          <w:tcPr>
            <w:tcW w:w="4959" w:type="dxa"/>
            <w:tcBorders>
              <w:top w:val="nil"/>
              <w:left w:val="nil"/>
              <w:bottom w:val="nil"/>
              <w:right w:val="nil"/>
            </w:tcBorders>
            <w:shd w:val="clear" w:color="auto" w:fill="auto"/>
            <w:noWrap/>
            <w:hideMark/>
          </w:tcPr>
          <w:p w14:paraId="370A6FD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10 kDa chaperonin (GroES protein) </w:t>
            </w:r>
          </w:p>
        </w:tc>
        <w:tc>
          <w:tcPr>
            <w:tcW w:w="1952" w:type="dxa"/>
            <w:tcBorders>
              <w:top w:val="nil"/>
              <w:left w:val="nil"/>
              <w:bottom w:val="nil"/>
              <w:right w:val="nil"/>
            </w:tcBorders>
            <w:shd w:val="clear" w:color="auto" w:fill="auto"/>
            <w:noWrap/>
            <w:hideMark/>
          </w:tcPr>
          <w:p w14:paraId="267106B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2.33</w:t>
            </w:r>
          </w:p>
        </w:tc>
      </w:tr>
      <w:tr w:rsidR="00436CD0" w:rsidRPr="00C44D8C" w14:paraId="026F58BF" w14:textId="77777777" w:rsidTr="00436CD0">
        <w:trPr>
          <w:trHeight w:val="290"/>
        </w:trPr>
        <w:tc>
          <w:tcPr>
            <w:tcW w:w="1561" w:type="dxa"/>
            <w:tcBorders>
              <w:top w:val="nil"/>
              <w:left w:val="nil"/>
              <w:bottom w:val="nil"/>
              <w:right w:val="nil"/>
            </w:tcBorders>
            <w:shd w:val="clear" w:color="auto" w:fill="auto"/>
            <w:noWrap/>
            <w:hideMark/>
          </w:tcPr>
          <w:p w14:paraId="60ED1E6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Mbar_A3434</w:t>
            </w:r>
          </w:p>
        </w:tc>
        <w:tc>
          <w:tcPr>
            <w:tcW w:w="4959" w:type="dxa"/>
            <w:tcBorders>
              <w:top w:val="nil"/>
              <w:left w:val="nil"/>
              <w:bottom w:val="nil"/>
              <w:right w:val="nil"/>
            </w:tcBorders>
            <w:shd w:val="clear" w:color="auto" w:fill="auto"/>
            <w:noWrap/>
            <w:hideMark/>
          </w:tcPr>
          <w:p w14:paraId="03B5254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Protein GrpE (HSP-70 cofactor)</w:t>
            </w:r>
          </w:p>
        </w:tc>
        <w:tc>
          <w:tcPr>
            <w:tcW w:w="1952" w:type="dxa"/>
            <w:tcBorders>
              <w:top w:val="nil"/>
              <w:left w:val="nil"/>
              <w:bottom w:val="nil"/>
              <w:right w:val="nil"/>
            </w:tcBorders>
            <w:shd w:val="clear" w:color="auto" w:fill="auto"/>
            <w:noWrap/>
            <w:hideMark/>
          </w:tcPr>
          <w:p w14:paraId="5762C01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2.22</w:t>
            </w:r>
          </w:p>
        </w:tc>
      </w:tr>
      <w:tr w:rsidR="00436CD0" w:rsidRPr="00C44D8C" w14:paraId="02A99D10" w14:textId="77777777" w:rsidTr="00436CD0">
        <w:trPr>
          <w:trHeight w:val="290"/>
        </w:trPr>
        <w:tc>
          <w:tcPr>
            <w:tcW w:w="1561" w:type="dxa"/>
            <w:tcBorders>
              <w:top w:val="nil"/>
              <w:left w:val="nil"/>
              <w:bottom w:val="nil"/>
              <w:right w:val="nil"/>
            </w:tcBorders>
            <w:shd w:val="clear" w:color="auto" w:fill="auto"/>
            <w:noWrap/>
            <w:hideMark/>
          </w:tcPr>
          <w:p w14:paraId="04AC419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Mbar_A1128</w:t>
            </w:r>
          </w:p>
        </w:tc>
        <w:tc>
          <w:tcPr>
            <w:tcW w:w="4959" w:type="dxa"/>
            <w:tcBorders>
              <w:top w:val="nil"/>
              <w:left w:val="nil"/>
              <w:bottom w:val="nil"/>
              <w:right w:val="nil"/>
            </w:tcBorders>
            <w:shd w:val="clear" w:color="auto" w:fill="auto"/>
            <w:noWrap/>
            <w:hideMark/>
          </w:tcPr>
          <w:p w14:paraId="5F5C61F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Glycosyltransferase</w:t>
            </w:r>
          </w:p>
        </w:tc>
        <w:tc>
          <w:tcPr>
            <w:tcW w:w="1952" w:type="dxa"/>
            <w:tcBorders>
              <w:top w:val="nil"/>
              <w:left w:val="nil"/>
              <w:bottom w:val="nil"/>
              <w:right w:val="nil"/>
            </w:tcBorders>
            <w:shd w:val="clear" w:color="auto" w:fill="auto"/>
            <w:noWrap/>
            <w:hideMark/>
          </w:tcPr>
          <w:p w14:paraId="762849F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2.20</w:t>
            </w:r>
          </w:p>
        </w:tc>
      </w:tr>
      <w:tr w:rsidR="00436CD0" w:rsidRPr="00C44D8C" w14:paraId="6CECADB8" w14:textId="77777777" w:rsidTr="00436CD0">
        <w:trPr>
          <w:trHeight w:val="290"/>
        </w:trPr>
        <w:tc>
          <w:tcPr>
            <w:tcW w:w="1561" w:type="dxa"/>
            <w:tcBorders>
              <w:top w:val="nil"/>
              <w:left w:val="nil"/>
              <w:bottom w:val="nil"/>
              <w:right w:val="nil"/>
            </w:tcBorders>
            <w:shd w:val="clear" w:color="auto" w:fill="auto"/>
            <w:noWrap/>
            <w:hideMark/>
          </w:tcPr>
          <w:p w14:paraId="3FFB21B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Mbar_A2249</w:t>
            </w:r>
          </w:p>
        </w:tc>
        <w:tc>
          <w:tcPr>
            <w:tcW w:w="4959" w:type="dxa"/>
            <w:tcBorders>
              <w:top w:val="nil"/>
              <w:left w:val="nil"/>
              <w:bottom w:val="nil"/>
              <w:right w:val="nil"/>
            </w:tcBorders>
            <w:shd w:val="clear" w:color="auto" w:fill="auto"/>
            <w:noWrap/>
            <w:hideMark/>
          </w:tcPr>
          <w:p w14:paraId="2048439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Peptidyl-prolyl cis-trans isomerase</w:t>
            </w:r>
          </w:p>
        </w:tc>
        <w:tc>
          <w:tcPr>
            <w:tcW w:w="1952" w:type="dxa"/>
            <w:tcBorders>
              <w:top w:val="nil"/>
              <w:left w:val="nil"/>
              <w:bottom w:val="nil"/>
              <w:right w:val="nil"/>
            </w:tcBorders>
            <w:shd w:val="clear" w:color="auto" w:fill="auto"/>
            <w:noWrap/>
            <w:hideMark/>
          </w:tcPr>
          <w:p w14:paraId="0F55E2D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2.14</w:t>
            </w:r>
          </w:p>
        </w:tc>
      </w:tr>
      <w:tr w:rsidR="00436CD0" w:rsidRPr="00C44D8C" w14:paraId="6ED07C26" w14:textId="77777777" w:rsidTr="00436CD0">
        <w:trPr>
          <w:trHeight w:val="290"/>
        </w:trPr>
        <w:tc>
          <w:tcPr>
            <w:tcW w:w="1561" w:type="dxa"/>
            <w:tcBorders>
              <w:top w:val="nil"/>
              <w:left w:val="nil"/>
              <w:bottom w:val="nil"/>
              <w:right w:val="nil"/>
            </w:tcBorders>
            <w:shd w:val="clear" w:color="auto" w:fill="auto"/>
            <w:noWrap/>
            <w:hideMark/>
          </w:tcPr>
          <w:p w14:paraId="4ED1549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Mbar_A1209</w:t>
            </w:r>
          </w:p>
        </w:tc>
        <w:tc>
          <w:tcPr>
            <w:tcW w:w="4959" w:type="dxa"/>
            <w:tcBorders>
              <w:top w:val="nil"/>
              <w:left w:val="nil"/>
              <w:bottom w:val="nil"/>
              <w:right w:val="nil"/>
            </w:tcBorders>
            <w:shd w:val="clear" w:color="auto" w:fill="auto"/>
            <w:noWrap/>
            <w:hideMark/>
          </w:tcPr>
          <w:p w14:paraId="4FA722A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Glycyl-tRNA synthetase </w:t>
            </w:r>
          </w:p>
        </w:tc>
        <w:tc>
          <w:tcPr>
            <w:tcW w:w="1952" w:type="dxa"/>
            <w:tcBorders>
              <w:top w:val="nil"/>
              <w:left w:val="nil"/>
              <w:bottom w:val="nil"/>
              <w:right w:val="nil"/>
            </w:tcBorders>
            <w:shd w:val="clear" w:color="auto" w:fill="auto"/>
            <w:noWrap/>
            <w:hideMark/>
          </w:tcPr>
          <w:p w14:paraId="59E9864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2.09</w:t>
            </w:r>
          </w:p>
        </w:tc>
      </w:tr>
      <w:tr w:rsidR="00436CD0" w:rsidRPr="00C44D8C" w14:paraId="1374D1C5" w14:textId="77777777" w:rsidTr="00436CD0">
        <w:trPr>
          <w:trHeight w:val="290"/>
        </w:trPr>
        <w:tc>
          <w:tcPr>
            <w:tcW w:w="1561" w:type="dxa"/>
            <w:tcBorders>
              <w:top w:val="nil"/>
              <w:left w:val="nil"/>
              <w:bottom w:val="nil"/>
              <w:right w:val="nil"/>
            </w:tcBorders>
            <w:shd w:val="clear" w:color="auto" w:fill="auto"/>
            <w:noWrap/>
            <w:hideMark/>
          </w:tcPr>
          <w:p w14:paraId="4F37A66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Mbar_A3433</w:t>
            </w:r>
          </w:p>
        </w:tc>
        <w:tc>
          <w:tcPr>
            <w:tcW w:w="4959" w:type="dxa"/>
            <w:tcBorders>
              <w:top w:val="nil"/>
              <w:left w:val="nil"/>
              <w:bottom w:val="nil"/>
              <w:right w:val="nil"/>
            </w:tcBorders>
            <w:shd w:val="clear" w:color="auto" w:fill="auto"/>
            <w:noWrap/>
            <w:hideMark/>
          </w:tcPr>
          <w:p w14:paraId="24F7AD2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Chaperone protein DnaK (HSP70) </w:t>
            </w:r>
          </w:p>
        </w:tc>
        <w:tc>
          <w:tcPr>
            <w:tcW w:w="1952" w:type="dxa"/>
            <w:tcBorders>
              <w:top w:val="nil"/>
              <w:left w:val="nil"/>
              <w:bottom w:val="nil"/>
              <w:right w:val="nil"/>
            </w:tcBorders>
            <w:shd w:val="clear" w:color="auto" w:fill="auto"/>
            <w:noWrap/>
            <w:hideMark/>
          </w:tcPr>
          <w:p w14:paraId="4CB9EAE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2.07</w:t>
            </w:r>
          </w:p>
        </w:tc>
      </w:tr>
      <w:tr w:rsidR="00436CD0" w:rsidRPr="00C44D8C" w14:paraId="03DB9ACC" w14:textId="77777777" w:rsidTr="00436CD0">
        <w:trPr>
          <w:trHeight w:val="290"/>
        </w:trPr>
        <w:tc>
          <w:tcPr>
            <w:tcW w:w="1561" w:type="dxa"/>
            <w:tcBorders>
              <w:top w:val="nil"/>
              <w:left w:val="nil"/>
              <w:bottom w:val="nil"/>
              <w:right w:val="nil"/>
            </w:tcBorders>
            <w:shd w:val="clear" w:color="auto" w:fill="auto"/>
            <w:noWrap/>
            <w:hideMark/>
          </w:tcPr>
          <w:p w14:paraId="03A03B1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Mbar_A2893</w:t>
            </w:r>
          </w:p>
        </w:tc>
        <w:tc>
          <w:tcPr>
            <w:tcW w:w="4959" w:type="dxa"/>
            <w:tcBorders>
              <w:top w:val="nil"/>
              <w:left w:val="nil"/>
              <w:bottom w:val="nil"/>
              <w:right w:val="nil"/>
            </w:tcBorders>
            <w:shd w:val="clear" w:color="auto" w:fill="auto"/>
            <w:noWrap/>
            <w:hideMark/>
          </w:tcPr>
          <w:p w14:paraId="35080154" w14:textId="77777777" w:rsidR="00436CD0" w:rsidRPr="00C44D8C" w:rsidRDefault="00436CD0" w:rsidP="00436CD0">
            <w:pPr>
              <w:rPr>
                <w:rFonts w:asciiTheme="minorHAnsi" w:hAnsiTheme="minorHAnsi"/>
                <w:color w:val="000000"/>
                <w:sz w:val="22"/>
                <w:szCs w:val="22"/>
                <w:lang w:val="pt-PT" w:eastAsia="en-GB"/>
              </w:rPr>
            </w:pPr>
            <w:r w:rsidRPr="00C44D8C">
              <w:rPr>
                <w:rFonts w:asciiTheme="minorHAnsi" w:hAnsiTheme="minorHAnsi"/>
                <w:color w:val="000000"/>
                <w:sz w:val="22"/>
                <w:szCs w:val="22"/>
                <w:lang w:val="pt-PT" w:eastAsia="en-GB"/>
              </w:rPr>
              <w:t>O-linked N-acetylglucosamine transferase</w:t>
            </w:r>
          </w:p>
        </w:tc>
        <w:tc>
          <w:tcPr>
            <w:tcW w:w="1952" w:type="dxa"/>
            <w:tcBorders>
              <w:top w:val="nil"/>
              <w:left w:val="nil"/>
              <w:bottom w:val="nil"/>
              <w:right w:val="nil"/>
            </w:tcBorders>
            <w:shd w:val="clear" w:color="auto" w:fill="auto"/>
            <w:noWrap/>
            <w:hideMark/>
          </w:tcPr>
          <w:p w14:paraId="0F27C5C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2.06</w:t>
            </w:r>
          </w:p>
        </w:tc>
      </w:tr>
      <w:tr w:rsidR="00436CD0" w:rsidRPr="00C44D8C" w14:paraId="3E8580DA" w14:textId="77777777" w:rsidTr="00436CD0">
        <w:trPr>
          <w:trHeight w:val="290"/>
        </w:trPr>
        <w:tc>
          <w:tcPr>
            <w:tcW w:w="1561" w:type="dxa"/>
            <w:tcBorders>
              <w:top w:val="nil"/>
              <w:left w:val="nil"/>
              <w:bottom w:val="nil"/>
              <w:right w:val="nil"/>
            </w:tcBorders>
            <w:shd w:val="clear" w:color="auto" w:fill="auto"/>
            <w:noWrap/>
            <w:hideMark/>
          </w:tcPr>
          <w:p w14:paraId="1ACE315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Mbar_A0883</w:t>
            </w:r>
          </w:p>
        </w:tc>
        <w:tc>
          <w:tcPr>
            <w:tcW w:w="4959" w:type="dxa"/>
            <w:tcBorders>
              <w:top w:val="nil"/>
              <w:left w:val="nil"/>
              <w:bottom w:val="nil"/>
              <w:right w:val="nil"/>
            </w:tcBorders>
            <w:shd w:val="clear" w:color="auto" w:fill="auto"/>
            <w:noWrap/>
            <w:hideMark/>
          </w:tcPr>
          <w:p w14:paraId="7348B1E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Glutamyl-tRNA(Gln) amidotransferase subunit A </w:t>
            </w:r>
          </w:p>
        </w:tc>
        <w:tc>
          <w:tcPr>
            <w:tcW w:w="1952" w:type="dxa"/>
            <w:tcBorders>
              <w:top w:val="nil"/>
              <w:left w:val="nil"/>
              <w:bottom w:val="nil"/>
              <w:right w:val="nil"/>
            </w:tcBorders>
            <w:shd w:val="clear" w:color="auto" w:fill="auto"/>
            <w:noWrap/>
            <w:hideMark/>
          </w:tcPr>
          <w:p w14:paraId="46DD9AB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2.05</w:t>
            </w:r>
          </w:p>
        </w:tc>
      </w:tr>
      <w:tr w:rsidR="00436CD0" w:rsidRPr="00C44D8C" w14:paraId="382EA4D5" w14:textId="77777777" w:rsidTr="00436CD0">
        <w:trPr>
          <w:trHeight w:val="290"/>
        </w:trPr>
        <w:tc>
          <w:tcPr>
            <w:tcW w:w="1561" w:type="dxa"/>
            <w:tcBorders>
              <w:top w:val="nil"/>
              <w:left w:val="nil"/>
              <w:bottom w:val="nil"/>
              <w:right w:val="nil"/>
            </w:tcBorders>
            <w:shd w:val="clear" w:color="auto" w:fill="auto"/>
            <w:noWrap/>
            <w:hideMark/>
          </w:tcPr>
          <w:p w14:paraId="22ACF64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Mbar_A1032</w:t>
            </w:r>
          </w:p>
        </w:tc>
        <w:tc>
          <w:tcPr>
            <w:tcW w:w="4959" w:type="dxa"/>
            <w:tcBorders>
              <w:top w:val="nil"/>
              <w:left w:val="nil"/>
              <w:bottom w:val="nil"/>
              <w:right w:val="nil"/>
            </w:tcBorders>
            <w:shd w:val="clear" w:color="auto" w:fill="auto"/>
            <w:noWrap/>
            <w:hideMark/>
          </w:tcPr>
          <w:p w14:paraId="6070B56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Putative aliphatic sulfonate binding protein</w:t>
            </w:r>
          </w:p>
        </w:tc>
        <w:tc>
          <w:tcPr>
            <w:tcW w:w="1952" w:type="dxa"/>
            <w:tcBorders>
              <w:top w:val="nil"/>
              <w:left w:val="nil"/>
              <w:bottom w:val="nil"/>
              <w:right w:val="nil"/>
            </w:tcBorders>
            <w:shd w:val="clear" w:color="auto" w:fill="auto"/>
            <w:noWrap/>
            <w:hideMark/>
          </w:tcPr>
          <w:p w14:paraId="5EECA97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2.03</w:t>
            </w:r>
          </w:p>
        </w:tc>
      </w:tr>
      <w:tr w:rsidR="00436CD0" w:rsidRPr="00C44D8C" w14:paraId="49222C2A" w14:textId="77777777" w:rsidTr="00436CD0">
        <w:trPr>
          <w:trHeight w:val="290"/>
        </w:trPr>
        <w:tc>
          <w:tcPr>
            <w:tcW w:w="1561" w:type="dxa"/>
            <w:tcBorders>
              <w:top w:val="nil"/>
              <w:left w:val="nil"/>
              <w:bottom w:val="nil"/>
              <w:right w:val="nil"/>
            </w:tcBorders>
            <w:shd w:val="clear" w:color="auto" w:fill="auto"/>
            <w:noWrap/>
            <w:hideMark/>
          </w:tcPr>
          <w:p w14:paraId="70764E5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Mbar_A3203</w:t>
            </w:r>
          </w:p>
        </w:tc>
        <w:tc>
          <w:tcPr>
            <w:tcW w:w="4959" w:type="dxa"/>
            <w:tcBorders>
              <w:top w:val="nil"/>
              <w:left w:val="nil"/>
              <w:bottom w:val="nil"/>
              <w:right w:val="nil"/>
            </w:tcBorders>
            <w:shd w:val="clear" w:color="auto" w:fill="auto"/>
            <w:noWrap/>
            <w:hideMark/>
          </w:tcPr>
          <w:p w14:paraId="05A8BDC6" w14:textId="77777777" w:rsidR="00436CD0" w:rsidRPr="00C44D8C" w:rsidRDefault="00436CD0" w:rsidP="00436CD0">
            <w:pPr>
              <w:rPr>
                <w:rFonts w:asciiTheme="minorHAnsi" w:hAnsiTheme="minorHAnsi"/>
                <w:color w:val="000000"/>
                <w:sz w:val="22"/>
                <w:szCs w:val="22"/>
                <w:lang w:val="fr-FR" w:eastAsia="en-GB"/>
              </w:rPr>
            </w:pPr>
            <w:r w:rsidRPr="00C44D8C">
              <w:rPr>
                <w:rFonts w:asciiTheme="minorHAnsi" w:hAnsiTheme="minorHAnsi"/>
                <w:color w:val="000000"/>
                <w:sz w:val="22"/>
                <w:szCs w:val="22"/>
                <w:lang w:val="fr-FR" w:eastAsia="en-GB"/>
              </w:rPr>
              <w:t>SSU ribosomal protein S6P modification protein</w:t>
            </w:r>
          </w:p>
        </w:tc>
        <w:tc>
          <w:tcPr>
            <w:tcW w:w="1952" w:type="dxa"/>
            <w:tcBorders>
              <w:top w:val="nil"/>
              <w:left w:val="nil"/>
              <w:bottom w:val="nil"/>
              <w:right w:val="nil"/>
            </w:tcBorders>
            <w:shd w:val="clear" w:color="auto" w:fill="auto"/>
            <w:noWrap/>
            <w:hideMark/>
          </w:tcPr>
          <w:p w14:paraId="3584F7C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2.02</w:t>
            </w:r>
          </w:p>
        </w:tc>
      </w:tr>
      <w:tr w:rsidR="00436CD0" w:rsidRPr="00C44D8C" w14:paraId="71B3180E" w14:textId="77777777" w:rsidTr="00436CD0">
        <w:trPr>
          <w:trHeight w:val="290"/>
        </w:trPr>
        <w:tc>
          <w:tcPr>
            <w:tcW w:w="1561" w:type="dxa"/>
            <w:tcBorders>
              <w:top w:val="nil"/>
              <w:left w:val="nil"/>
              <w:bottom w:val="nil"/>
              <w:right w:val="nil"/>
            </w:tcBorders>
            <w:shd w:val="clear" w:color="auto" w:fill="auto"/>
            <w:noWrap/>
            <w:hideMark/>
          </w:tcPr>
          <w:p w14:paraId="3F051AC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Mbar_A0859</w:t>
            </w:r>
          </w:p>
        </w:tc>
        <w:tc>
          <w:tcPr>
            <w:tcW w:w="4959" w:type="dxa"/>
            <w:tcBorders>
              <w:top w:val="nil"/>
              <w:left w:val="nil"/>
              <w:bottom w:val="nil"/>
              <w:right w:val="nil"/>
            </w:tcBorders>
            <w:shd w:val="clear" w:color="auto" w:fill="auto"/>
            <w:noWrap/>
            <w:hideMark/>
          </w:tcPr>
          <w:p w14:paraId="41E2189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Heat shock protein Hsp20</w:t>
            </w:r>
          </w:p>
        </w:tc>
        <w:tc>
          <w:tcPr>
            <w:tcW w:w="1952" w:type="dxa"/>
            <w:tcBorders>
              <w:top w:val="nil"/>
              <w:left w:val="nil"/>
              <w:bottom w:val="nil"/>
              <w:right w:val="nil"/>
            </w:tcBorders>
            <w:shd w:val="clear" w:color="auto" w:fill="auto"/>
            <w:noWrap/>
            <w:hideMark/>
          </w:tcPr>
          <w:p w14:paraId="19D73FB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753727AD" w14:textId="77777777" w:rsidTr="00436CD0">
        <w:trPr>
          <w:trHeight w:val="290"/>
        </w:trPr>
        <w:tc>
          <w:tcPr>
            <w:tcW w:w="1561" w:type="dxa"/>
            <w:tcBorders>
              <w:top w:val="nil"/>
              <w:left w:val="nil"/>
              <w:bottom w:val="nil"/>
              <w:right w:val="nil"/>
            </w:tcBorders>
            <w:shd w:val="clear" w:color="auto" w:fill="auto"/>
            <w:noWrap/>
            <w:hideMark/>
          </w:tcPr>
          <w:p w14:paraId="7EAEB81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Mbar_A3530</w:t>
            </w:r>
          </w:p>
        </w:tc>
        <w:tc>
          <w:tcPr>
            <w:tcW w:w="4959" w:type="dxa"/>
            <w:tcBorders>
              <w:top w:val="nil"/>
              <w:left w:val="nil"/>
              <w:bottom w:val="nil"/>
              <w:right w:val="nil"/>
            </w:tcBorders>
            <w:shd w:val="clear" w:color="auto" w:fill="auto"/>
            <w:noWrap/>
            <w:hideMark/>
          </w:tcPr>
          <w:p w14:paraId="0FDA011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PmbA/TldD family protein</w:t>
            </w:r>
          </w:p>
        </w:tc>
        <w:tc>
          <w:tcPr>
            <w:tcW w:w="1952" w:type="dxa"/>
            <w:tcBorders>
              <w:top w:val="nil"/>
              <w:left w:val="nil"/>
              <w:bottom w:val="nil"/>
              <w:right w:val="nil"/>
            </w:tcBorders>
            <w:shd w:val="clear" w:color="auto" w:fill="auto"/>
            <w:noWrap/>
            <w:hideMark/>
          </w:tcPr>
          <w:p w14:paraId="396866A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5D0BA543" w14:textId="77777777" w:rsidTr="00436CD0">
        <w:trPr>
          <w:trHeight w:val="290"/>
        </w:trPr>
        <w:tc>
          <w:tcPr>
            <w:tcW w:w="1561" w:type="dxa"/>
            <w:tcBorders>
              <w:top w:val="nil"/>
              <w:left w:val="nil"/>
              <w:bottom w:val="nil"/>
              <w:right w:val="nil"/>
            </w:tcBorders>
            <w:shd w:val="clear" w:color="auto" w:fill="auto"/>
            <w:noWrap/>
            <w:hideMark/>
          </w:tcPr>
          <w:p w14:paraId="5FFA003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Mbar_A0061</w:t>
            </w:r>
          </w:p>
        </w:tc>
        <w:tc>
          <w:tcPr>
            <w:tcW w:w="4959" w:type="dxa"/>
            <w:tcBorders>
              <w:top w:val="nil"/>
              <w:left w:val="nil"/>
              <w:bottom w:val="nil"/>
              <w:right w:val="nil"/>
            </w:tcBorders>
            <w:shd w:val="clear" w:color="auto" w:fill="auto"/>
            <w:noWrap/>
            <w:hideMark/>
          </w:tcPr>
          <w:p w14:paraId="14E7659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Probable deoxyhypusine synthase </w:t>
            </w:r>
          </w:p>
        </w:tc>
        <w:tc>
          <w:tcPr>
            <w:tcW w:w="1952" w:type="dxa"/>
            <w:tcBorders>
              <w:top w:val="nil"/>
              <w:left w:val="nil"/>
              <w:bottom w:val="nil"/>
              <w:right w:val="nil"/>
            </w:tcBorders>
            <w:shd w:val="clear" w:color="auto" w:fill="auto"/>
            <w:noWrap/>
            <w:hideMark/>
          </w:tcPr>
          <w:p w14:paraId="0C315EB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1.87</w:t>
            </w:r>
          </w:p>
        </w:tc>
      </w:tr>
      <w:tr w:rsidR="00436CD0" w:rsidRPr="00C44D8C" w14:paraId="3FFC1C15" w14:textId="77777777" w:rsidTr="00436CD0">
        <w:trPr>
          <w:trHeight w:val="290"/>
        </w:trPr>
        <w:tc>
          <w:tcPr>
            <w:tcW w:w="1561" w:type="dxa"/>
            <w:tcBorders>
              <w:top w:val="nil"/>
              <w:left w:val="nil"/>
              <w:bottom w:val="nil"/>
              <w:right w:val="nil"/>
            </w:tcBorders>
            <w:shd w:val="clear" w:color="auto" w:fill="auto"/>
            <w:noWrap/>
            <w:hideMark/>
          </w:tcPr>
          <w:p w14:paraId="22CFF52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Mbar_A3532</w:t>
            </w:r>
          </w:p>
        </w:tc>
        <w:tc>
          <w:tcPr>
            <w:tcW w:w="4959" w:type="dxa"/>
            <w:tcBorders>
              <w:top w:val="nil"/>
              <w:left w:val="nil"/>
              <w:bottom w:val="nil"/>
              <w:right w:val="nil"/>
            </w:tcBorders>
            <w:shd w:val="clear" w:color="auto" w:fill="auto"/>
            <w:noWrap/>
            <w:hideMark/>
          </w:tcPr>
          <w:p w14:paraId="1EFD802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Lon-B peptidase, Serine peptidase, MEROPS family S16</w:t>
            </w:r>
          </w:p>
        </w:tc>
        <w:tc>
          <w:tcPr>
            <w:tcW w:w="1952" w:type="dxa"/>
            <w:tcBorders>
              <w:top w:val="nil"/>
              <w:left w:val="nil"/>
              <w:bottom w:val="nil"/>
              <w:right w:val="nil"/>
            </w:tcBorders>
            <w:shd w:val="clear" w:color="auto" w:fill="auto"/>
            <w:noWrap/>
            <w:hideMark/>
          </w:tcPr>
          <w:p w14:paraId="7E2A834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1.87</w:t>
            </w:r>
          </w:p>
        </w:tc>
      </w:tr>
      <w:tr w:rsidR="00436CD0" w:rsidRPr="00C44D8C" w14:paraId="03379A8D" w14:textId="77777777" w:rsidTr="00436CD0">
        <w:trPr>
          <w:trHeight w:val="290"/>
        </w:trPr>
        <w:tc>
          <w:tcPr>
            <w:tcW w:w="1561" w:type="dxa"/>
            <w:tcBorders>
              <w:top w:val="nil"/>
              <w:left w:val="nil"/>
              <w:bottom w:val="nil"/>
              <w:right w:val="nil"/>
            </w:tcBorders>
            <w:shd w:val="clear" w:color="auto" w:fill="auto"/>
            <w:noWrap/>
            <w:hideMark/>
          </w:tcPr>
          <w:p w14:paraId="45CE15E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Mbar_A0461</w:t>
            </w:r>
          </w:p>
        </w:tc>
        <w:tc>
          <w:tcPr>
            <w:tcW w:w="4959" w:type="dxa"/>
            <w:tcBorders>
              <w:top w:val="nil"/>
              <w:left w:val="nil"/>
              <w:bottom w:val="nil"/>
              <w:right w:val="nil"/>
            </w:tcBorders>
            <w:shd w:val="clear" w:color="auto" w:fill="auto"/>
            <w:noWrap/>
            <w:hideMark/>
          </w:tcPr>
          <w:p w14:paraId="0E2A918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Prefoldin subunit alpha</w:t>
            </w:r>
          </w:p>
        </w:tc>
        <w:tc>
          <w:tcPr>
            <w:tcW w:w="1952" w:type="dxa"/>
            <w:tcBorders>
              <w:top w:val="nil"/>
              <w:left w:val="nil"/>
              <w:bottom w:val="nil"/>
              <w:right w:val="nil"/>
            </w:tcBorders>
            <w:shd w:val="clear" w:color="auto" w:fill="auto"/>
            <w:noWrap/>
            <w:hideMark/>
          </w:tcPr>
          <w:p w14:paraId="121D259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391358D5" w14:textId="77777777" w:rsidTr="00436CD0">
        <w:trPr>
          <w:trHeight w:val="290"/>
        </w:trPr>
        <w:tc>
          <w:tcPr>
            <w:tcW w:w="1561" w:type="dxa"/>
            <w:tcBorders>
              <w:top w:val="nil"/>
              <w:left w:val="nil"/>
              <w:bottom w:val="nil"/>
              <w:right w:val="nil"/>
            </w:tcBorders>
            <w:shd w:val="clear" w:color="auto" w:fill="auto"/>
            <w:noWrap/>
            <w:hideMark/>
          </w:tcPr>
          <w:p w14:paraId="0730C96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Mbar_A3039</w:t>
            </w:r>
          </w:p>
        </w:tc>
        <w:tc>
          <w:tcPr>
            <w:tcW w:w="4959" w:type="dxa"/>
            <w:tcBorders>
              <w:top w:val="nil"/>
              <w:left w:val="nil"/>
              <w:bottom w:val="nil"/>
              <w:right w:val="nil"/>
            </w:tcBorders>
            <w:shd w:val="clear" w:color="auto" w:fill="auto"/>
            <w:noWrap/>
            <w:hideMark/>
          </w:tcPr>
          <w:p w14:paraId="75AB0E0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Aminoacyl-histidine dipeptidase</w:t>
            </w:r>
          </w:p>
        </w:tc>
        <w:tc>
          <w:tcPr>
            <w:tcW w:w="1952" w:type="dxa"/>
            <w:tcBorders>
              <w:top w:val="nil"/>
              <w:left w:val="nil"/>
              <w:bottom w:val="nil"/>
              <w:right w:val="nil"/>
            </w:tcBorders>
            <w:shd w:val="clear" w:color="auto" w:fill="auto"/>
            <w:noWrap/>
            <w:hideMark/>
          </w:tcPr>
          <w:p w14:paraId="3E46B17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2550DA36" w14:textId="77777777" w:rsidTr="00436CD0">
        <w:trPr>
          <w:trHeight w:val="290"/>
        </w:trPr>
        <w:tc>
          <w:tcPr>
            <w:tcW w:w="1561" w:type="dxa"/>
            <w:tcBorders>
              <w:top w:val="nil"/>
              <w:left w:val="nil"/>
              <w:bottom w:val="nil"/>
              <w:right w:val="nil"/>
            </w:tcBorders>
            <w:shd w:val="clear" w:color="auto" w:fill="auto"/>
            <w:noWrap/>
            <w:hideMark/>
          </w:tcPr>
          <w:p w14:paraId="3643B01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Mbar_A0194</w:t>
            </w:r>
          </w:p>
        </w:tc>
        <w:tc>
          <w:tcPr>
            <w:tcW w:w="4959" w:type="dxa"/>
            <w:tcBorders>
              <w:top w:val="nil"/>
              <w:left w:val="nil"/>
              <w:bottom w:val="nil"/>
              <w:right w:val="nil"/>
            </w:tcBorders>
            <w:shd w:val="clear" w:color="auto" w:fill="auto"/>
            <w:noWrap/>
            <w:hideMark/>
          </w:tcPr>
          <w:p w14:paraId="5DC7D5A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Proteasome subunit beta </w:t>
            </w:r>
          </w:p>
        </w:tc>
        <w:tc>
          <w:tcPr>
            <w:tcW w:w="1952" w:type="dxa"/>
            <w:tcBorders>
              <w:top w:val="nil"/>
              <w:left w:val="nil"/>
              <w:bottom w:val="nil"/>
              <w:right w:val="nil"/>
            </w:tcBorders>
            <w:shd w:val="clear" w:color="auto" w:fill="auto"/>
            <w:noWrap/>
            <w:hideMark/>
          </w:tcPr>
          <w:p w14:paraId="565C12F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1.84</w:t>
            </w:r>
          </w:p>
        </w:tc>
      </w:tr>
      <w:tr w:rsidR="00436CD0" w:rsidRPr="00C44D8C" w14:paraId="792BC574" w14:textId="77777777" w:rsidTr="00436CD0">
        <w:trPr>
          <w:trHeight w:val="290"/>
        </w:trPr>
        <w:tc>
          <w:tcPr>
            <w:tcW w:w="1561" w:type="dxa"/>
            <w:tcBorders>
              <w:top w:val="nil"/>
              <w:left w:val="nil"/>
              <w:bottom w:val="nil"/>
              <w:right w:val="nil"/>
            </w:tcBorders>
            <w:shd w:val="clear" w:color="auto" w:fill="auto"/>
            <w:noWrap/>
            <w:hideMark/>
          </w:tcPr>
          <w:p w14:paraId="29D017D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Mbar_A2319</w:t>
            </w:r>
          </w:p>
        </w:tc>
        <w:tc>
          <w:tcPr>
            <w:tcW w:w="4959" w:type="dxa"/>
            <w:tcBorders>
              <w:top w:val="nil"/>
              <w:left w:val="nil"/>
              <w:bottom w:val="nil"/>
              <w:right w:val="nil"/>
            </w:tcBorders>
            <w:shd w:val="clear" w:color="auto" w:fill="auto"/>
            <w:noWrap/>
            <w:hideMark/>
          </w:tcPr>
          <w:p w14:paraId="2F2F853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tRNA(Ile2) 2-agmatinylcytidine synthetase TiaS </w:t>
            </w:r>
          </w:p>
        </w:tc>
        <w:tc>
          <w:tcPr>
            <w:tcW w:w="1952" w:type="dxa"/>
            <w:tcBorders>
              <w:top w:val="nil"/>
              <w:left w:val="nil"/>
              <w:bottom w:val="nil"/>
              <w:right w:val="nil"/>
            </w:tcBorders>
            <w:shd w:val="clear" w:color="auto" w:fill="auto"/>
            <w:noWrap/>
            <w:hideMark/>
          </w:tcPr>
          <w:p w14:paraId="4D16A7A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1.83</w:t>
            </w:r>
          </w:p>
        </w:tc>
      </w:tr>
      <w:tr w:rsidR="00436CD0" w:rsidRPr="00C44D8C" w14:paraId="07F67DED" w14:textId="77777777" w:rsidTr="00436CD0">
        <w:trPr>
          <w:trHeight w:val="290"/>
        </w:trPr>
        <w:tc>
          <w:tcPr>
            <w:tcW w:w="1561" w:type="dxa"/>
            <w:tcBorders>
              <w:top w:val="nil"/>
              <w:left w:val="nil"/>
              <w:bottom w:val="nil"/>
              <w:right w:val="nil"/>
            </w:tcBorders>
            <w:shd w:val="clear" w:color="auto" w:fill="auto"/>
            <w:noWrap/>
            <w:hideMark/>
          </w:tcPr>
          <w:p w14:paraId="1F42EE0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Mbar_A1004</w:t>
            </w:r>
          </w:p>
        </w:tc>
        <w:tc>
          <w:tcPr>
            <w:tcW w:w="4959" w:type="dxa"/>
            <w:tcBorders>
              <w:top w:val="nil"/>
              <w:left w:val="nil"/>
              <w:bottom w:val="nil"/>
              <w:right w:val="nil"/>
            </w:tcBorders>
            <w:shd w:val="clear" w:color="auto" w:fill="auto"/>
            <w:noWrap/>
            <w:hideMark/>
          </w:tcPr>
          <w:p w14:paraId="65B231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Signal sequence peptidase</w:t>
            </w:r>
          </w:p>
        </w:tc>
        <w:tc>
          <w:tcPr>
            <w:tcW w:w="1952" w:type="dxa"/>
            <w:tcBorders>
              <w:top w:val="nil"/>
              <w:left w:val="nil"/>
              <w:bottom w:val="nil"/>
              <w:right w:val="nil"/>
            </w:tcBorders>
            <w:shd w:val="clear" w:color="auto" w:fill="auto"/>
            <w:noWrap/>
            <w:hideMark/>
          </w:tcPr>
          <w:p w14:paraId="002E36B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1.60</w:t>
            </w:r>
          </w:p>
        </w:tc>
      </w:tr>
      <w:tr w:rsidR="00436CD0" w:rsidRPr="00C44D8C" w14:paraId="2D344FD7" w14:textId="77777777" w:rsidTr="00436CD0">
        <w:trPr>
          <w:trHeight w:val="290"/>
        </w:trPr>
        <w:tc>
          <w:tcPr>
            <w:tcW w:w="1561" w:type="dxa"/>
            <w:tcBorders>
              <w:top w:val="nil"/>
              <w:left w:val="nil"/>
              <w:bottom w:val="nil"/>
              <w:right w:val="nil"/>
            </w:tcBorders>
            <w:shd w:val="clear" w:color="auto" w:fill="auto"/>
            <w:noWrap/>
            <w:hideMark/>
          </w:tcPr>
          <w:p w14:paraId="1649A65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Mbar_A1806</w:t>
            </w:r>
          </w:p>
        </w:tc>
        <w:tc>
          <w:tcPr>
            <w:tcW w:w="4959" w:type="dxa"/>
            <w:tcBorders>
              <w:top w:val="nil"/>
              <w:left w:val="nil"/>
              <w:bottom w:val="nil"/>
              <w:right w:val="nil"/>
            </w:tcBorders>
            <w:shd w:val="clear" w:color="auto" w:fill="auto"/>
            <w:noWrap/>
            <w:hideMark/>
          </w:tcPr>
          <w:p w14:paraId="227F5D7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Heat shock protein Hsp20</w:t>
            </w:r>
          </w:p>
        </w:tc>
        <w:tc>
          <w:tcPr>
            <w:tcW w:w="1952" w:type="dxa"/>
            <w:tcBorders>
              <w:top w:val="nil"/>
              <w:left w:val="nil"/>
              <w:bottom w:val="nil"/>
              <w:right w:val="nil"/>
            </w:tcBorders>
            <w:shd w:val="clear" w:color="auto" w:fill="auto"/>
            <w:noWrap/>
            <w:hideMark/>
          </w:tcPr>
          <w:p w14:paraId="0B328C1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1.58</w:t>
            </w:r>
          </w:p>
        </w:tc>
      </w:tr>
      <w:tr w:rsidR="00436CD0" w:rsidRPr="00C44D8C" w14:paraId="77F7979B" w14:textId="77777777" w:rsidTr="00436CD0">
        <w:trPr>
          <w:trHeight w:val="290"/>
        </w:trPr>
        <w:tc>
          <w:tcPr>
            <w:tcW w:w="1561" w:type="dxa"/>
            <w:tcBorders>
              <w:top w:val="nil"/>
              <w:left w:val="nil"/>
              <w:bottom w:val="nil"/>
              <w:right w:val="nil"/>
            </w:tcBorders>
            <w:shd w:val="clear" w:color="auto" w:fill="auto"/>
            <w:noWrap/>
            <w:hideMark/>
          </w:tcPr>
          <w:p w14:paraId="4AE7BD4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Mbar_A3017</w:t>
            </w:r>
          </w:p>
        </w:tc>
        <w:tc>
          <w:tcPr>
            <w:tcW w:w="4959" w:type="dxa"/>
            <w:tcBorders>
              <w:top w:val="nil"/>
              <w:left w:val="nil"/>
              <w:bottom w:val="nil"/>
              <w:right w:val="nil"/>
            </w:tcBorders>
            <w:shd w:val="clear" w:color="auto" w:fill="auto"/>
            <w:noWrap/>
            <w:hideMark/>
          </w:tcPr>
          <w:p w14:paraId="3754A6D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UDP-galactopyranose mutase</w:t>
            </w:r>
          </w:p>
        </w:tc>
        <w:tc>
          <w:tcPr>
            <w:tcW w:w="1952" w:type="dxa"/>
            <w:tcBorders>
              <w:top w:val="nil"/>
              <w:left w:val="nil"/>
              <w:bottom w:val="nil"/>
              <w:right w:val="nil"/>
            </w:tcBorders>
            <w:shd w:val="clear" w:color="auto" w:fill="auto"/>
            <w:noWrap/>
            <w:hideMark/>
          </w:tcPr>
          <w:p w14:paraId="4591730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1.56</w:t>
            </w:r>
          </w:p>
        </w:tc>
      </w:tr>
      <w:tr w:rsidR="00436CD0" w:rsidRPr="00C44D8C" w14:paraId="4DC30522" w14:textId="77777777" w:rsidTr="00436CD0">
        <w:trPr>
          <w:trHeight w:val="290"/>
        </w:trPr>
        <w:tc>
          <w:tcPr>
            <w:tcW w:w="1561" w:type="dxa"/>
            <w:tcBorders>
              <w:top w:val="nil"/>
              <w:left w:val="nil"/>
              <w:bottom w:val="nil"/>
              <w:right w:val="nil"/>
            </w:tcBorders>
            <w:shd w:val="clear" w:color="auto" w:fill="auto"/>
            <w:noWrap/>
            <w:hideMark/>
          </w:tcPr>
          <w:p w14:paraId="7080060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Mbar_A1615</w:t>
            </w:r>
          </w:p>
        </w:tc>
        <w:tc>
          <w:tcPr>
            <w:tcW w:w="4959" w:type="dxa"/>
            <w:tcBorders>
              <w:top w:val="nil"/>
              <w:left w:val="nil"/>
              <w:bottom w:val="nil"/>
              <w:right w:val="nil"/>
            </w:tcBorders>
            <w:shd w:val="clear" w:color="auto" w:fill="auto"/>
            <w:noWrap/>
            <w:hideMark/>
          </w:tcPr>
          <w:p w14:paraId="7A730F0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Oligopeptide ABC transporter, solute-binding protein</w:t>
            </w:r>
          </w:p>
        </w:tc>
        <w:tc>
          <w:tcPr>
            <w:tcW w:w="1952" w:type="dxa"/>
            <w:tcBorders>
              <w:top w:val="nil"/>
              <w:left w:val="nil"/>
              <w:bottom w:val="nil"/>
              <w:right w:val="nil"/>
            </w:tcBorders>
            <w:shd w:val="clear" w:color="auto" w:fill="auto"/>
            <w:noWrap/>
            <w:hideMark/>
          </w:tcPr>
          <w:p w14:paraId="2B14887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74EFA558" w14:textId="77777777" w:rsidTr="00436CD0">
        <w:trPr>
          <w:trHeight w:val="290"/>
        </w:trPr>
        <w:tc>
          <w:tcPr>
            <w:tcW w:w="1561" w:type="dxa"/>
            <w:tcBorders>
              <w:top w:val="nil"/>
              <w:left w:val="nil"/>
              <w:bottom w:val="nil"/>
              <w:right w:val="nil"/>
            </w:tcBorders>
            <w:shd w:val="clear" w:color="auto" w:fill="auto"/>
            <w:noWrap/>
            <w:hideMark/>
          </w:tcPr>
          <w:p w14:paraId="4DA8B80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Mbar_A3490</w:t>
            </w:r>
          </w:p>
        </w:tc>
        <w:tc>
          <w:tcPr>
            <w:tcW w:w="4959" w:type="dxa"/>
            <w:tcBorders>
              <w:top w:val="nil"/>
              <w:left w:val="nil"/>
              <w:bottom w:val="nil"/>
              <w:right w:val="nil"/>
            </w:tcBorders>
            <w:shd w:val="clear" w:color="auto" w:fill="auto"/>
            <w:noWrap/>
            <w:hideMark/>
          </w:tcPr>
          <w:p w14:paraId="5CA8B3B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ATPase, PilT family</w:t>
            </w:r>
          </w:p>
        </w:tc>
        <w:tc>
          <w:tcPr>
            <w:tcW w:w="1952" w:type="dxa"/>
            <w:tcBorders>
              <w:top w:val="nil"/>
              <w:left w:val="nil"/>
              <w:bottom w:val="nil"/>
              <w:right w:val="nil"/>
            </w:tcBorders>
            <w:shd w:val="clear" w:color="auto" w:fill="auto"/>
            <w:noWrap/>
            <w:hideMark/>
          </w:tcPr>
          <w:p w14:paraId="4F0459A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6AF17DA9" w14:textId="77777777" w:rsidTr="00436CD0">
        <w:trPr>
          <w:trHeight w:val="290"/>
        </w:trPr>
        <w:tc>
          <w:tcPr>
            <w:tcW w:w="1561" w:type="dxa"/>
            <w:tcBorders>
              <w:top w:val="nil"/>
              <w:left w:val="nil"/>
              <w:bottom w:val="nil"/>
              <w:right w:val="nil"/>
            </w:tcBorders>
            <w:shd w:val="clear" w:color="auto" w:fill="auto"/>
            <w:noWrap/>
            <w:hideMark/>
          </w:tcPr>
          <w:p w14:paraId="28A706B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Mbar_A0400</w:t>
            </w:r>
          </w:p>
        </w:tc>
        <w:tc>
          <w:tcPr>
            <w:tcW w:w="4959" w:type="dxa"/>
            <w:tcBorders>
              <w:top w:val="nil"/>
              <w:left w:val="nil"/>
              <w:bottom w:val="nil"/>
              <w:right w:val="nil"/>
            </w:tcBorders>
            <w:shd w:val="clear" w:color="auto" w:fill="auto"/>
            <w:noWrap/>
            <w:hideMark/>
          </w:tcPr>
          <w:p w14:paraId="2AB9B47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Proteasome-activating nucleotidase</w:t>
            </w:r>
          </w:p>
        </w:tc>
        <w:tc>
          <w:tcPr>
            <w:tcW w:w="1952" w:type="dxa"/>
            <w:tcBorders>
              <w:top w:val="nil"/>
              <w:left w:val="nil"/>
              <w:bottom w:val="nil"/>
              <w:right w:val="nil"/>
            </w:tcBorders>
            <w:shd w:val="clear" w:color="auto" w:fill="auto"/>
            <w:noWrap/>
            <w:hideMark/>
          </w:tcPr>
          <w:p w14:paraId="314CD0C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5A6E8878" w14:textId="77777777" w:rsidTr="00436CD0">
        <w:trPr>
          <w:trHeight w:val="290"/>
        </w:trPr>
        <w:tc>
          <w:tcPr>
            <w:tcW w:w="1561" w:type="dxa"/>
            <w:tcBorders>
              <w:top w:val="nil"/>
              <w:left w:val="nil"/>
              <w:bottom w:val="nil"/>
              <w:right w:val="nil"/>
            </w:tcBorders>
            <w:shd w:val="clear" w:color="auto" w:fill="auto"/>
            <w:noWrap/>
            <w:hideMark/>
          </w:tcPr>
          <w:p w14:paraId="4D6EBEC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Mbar_A2900</w:t>
            </w:r>
          </w:p>
        </w:tc>
        <w:tc>
          <w:tcPr>
            <w:tcW w:w="4959" w:type="dxa"/>
            <w:tcBorders>
              <w:top w:val="nil"/>
              <w:left w:val="nil"/>
              <w:bottom w:val="nil"/>
              <w:right w:val="nil"/>
            </w:tcBorders>
            <w:shd w:val="clear" w:color="auto" w:fill="auto"/>
            <w:noWrap/>
            <w:hideMark/>
          </w:tcPr>
          <w:p w14:paraId="2C99678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Diphthine synthase </w:t>
            </w:r>
          </w:p>
        </w:tc>
        <w:tc>
          <w:tcPr>
            <w:tcW w:w="1952" w:type="dxa"/>
            <w:tcBorders>
              <w:top w:val="nil"/>
              <w:left w:val="nil"/>
              <w:bottom w:val="nil"/>
              <w:right w:val="nil"/>
            </w:tcBorders>
            <w:shd w:val="clear" w:color="auto" w:fill="auto"/>
            <w:noWrap/>
            <w:hideMark/>
          </w:tcPr>
          <w:p w14:paraId="142494D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1.77</w:t>
            </w:r>
          </w:p>
        </w:tc>
      </w:tr>
      <w:tr w:rsidR="00436CD0" w:rsidRPr="00C44D8C" w14:paraId="2E7F73BA" w14:textId="77777777" w:rsidTr="00436CD0">
        <w:trPr>
          <w:trHeight w:val="290"/>
        </w:trPr>
        <w:tc>
          <w:tcPr>
            <w:tcW w:w="1561" w:type="dxa"/>
            <w:tcBorders>
              <w:top w:val="nil"/>
              <w:left w:val="nil"/>
              <w:bottom w:val="nil"/>
              <w:right w:val="nil"/>
            </w:tcBorders>
            <w:shd w:val="clear" w:color="auto" w:fill="auto"/>
            <w:noWrap/>
            <w:hideMark/>
          </w:tcPr>
          <w:p w14:paraId="5D763C4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Mbar_A1307</w:t>
            </w:r>
          </w:p>
        </w:tc>
        <w:tc>
          <w:tcPr>
            <w:tcW w:w="4959" w:type="dxa"/>
            <w:tcBorders>
              <w:top w:val="nil"/>
              <w:left w:val="nil"/>
              <w:bottom w:val="nil"/>
              <w:right w:val="nil"/>
            </w:tcBorders>
            <w:shd w:val="clear" w:color="auto" w:fill="auto"/>
            <w:noWrap/>
            <w:hideMark/>
          </w:tcPr>
          <w:p w14:paraId="1BF47EF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Molybdate-binding protein</w:t>
            </w:r>
          </w:p>
        </w:tc>
        <w:tc>
          <w:tcPr>
            <w:tcW w:w="1952" w:type="dxa"/>
            <w:tcBorders>
              <w:top w:val="nil"/>
              <w:left w:val="nil"/>
              <w:bottom w:val="nil"/>
              <w:right w:val="nil"/>
            </w:tcBorders>
            <w:shd w:val="clear" w:color="auto" w:fill="auto"/>
            <w:noWrap/>
            <w:hideMark/>
          </w:tcPr>
          <w:p w14:paraId="0DB687A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1A2D56D1" w14:textId="77777777" w:rsidTr="00436CD0">
        <w:trPr>
          <w:trHeight w:val="290"/>
        </w:trPr>
        <w:tc>
          <w:tcPr>
            <w:tcW w:w="1561" w:type="dxa"/>
            <w:tcBorders>
              <w:top w:val="nil"/>
              <w:left w:val="nil"/>
              <w:bottom w:val="nil"/>
              <w:right w:val="nil"/>
            </w:tcBorders>
            <w:shd w:val="clear" w:color="auto" w:fill="auto"/>
            <w:noWrap/>
            <w:hideMark/>
          </w:tcPr>
          <w:p w14:paraId="6A8780C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Mbar_A2175</w:t>
            </w:r>
          </w:p>
        </w:tc>
        <w:tc>
          <w:tcPr>
            <w:tcW w:w="4959" w:type="dxa"/>
            <w:tcBorders>
              <w:top w:val="nil"/>
              <w:left w:val="nil"/>
              <w:bottom w:val="nil"/>
              <w:right w:val="nil"/>
            </w:tcBorders>
            <w:shd w:val="clear" w:color="auto" w:fill="auto"/>
            <w:noWrap/>
            <w:hideMark/>
          </w:tcPr>
          <w:p w14:paraId="6B646D2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Ketoisovalerate ferredoxin oxidoreductase, gamma subunit </w:t>
            </w:r>
          </w:p>
        </w:tc>
        <w:tc>
          <w:tcPr>
            <w:tcW w:w="1952" w:type="dxa"/>
            <w:tcBorders>
              <w:top w:val="nil"/>
              <w:left w:val="nil"/>
              <w:bottom w:val="nil"/>
              <w:right w:val="nil"/>
            </w:tcBorders>
            <w:shd w:val="clear" w:color="auto" w:fill="auto"/>
            <w:noWrap/>
            <w:hideMark/>
          </w:tcPr>
          <w:p w14:paraId="06BCF5C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71BE2C5F" w14:textId="77777777" w:rsidTr="00436CD0">
        <w:trPr>
          <w:trHeight w:val="290"/>
        </w:trPr>
        <w:tc>
          <w:tcPr>
            <w:tcW w:w="1561" w:type="dxa"/>
            <w:tcBorders>
              <w:top w:val="nil"/>
              <w:left w:val="nil"/>
              <w:bottom w:val="nil"/>
              <w:right w:val="nil"/>
            </w:tcBorders>
            <w:shd w:val="clear" w:color="auto" w:fill="auto"/>
            <w:noWrap/>
            <w:hideMark/>
          </w:tcPr>
          <w:p w14:paraId="5868580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Mbar_A0620</w:t>
            </w:r>
          </w:p>
        </w:tc>
        <w:tc>
          <w:tcPr>
            <w:tcW w:w="4959" w:type="dxa"/>
            <w:tcBorders>
              <w:top w:val="nil"/>
              <w:left w:val="nil"/>
              <w:bottom w:val="nil"/>
              <w:right w:val="nil"/>
            </w:tcBorders>
            <w:shd w:val="clear" w:color="auto" w:fill="auto"/>
            <w:noWrap/>
            <w:hideMark/>
          </w:tcPr>
          <w:p w14:paraId="3605148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Proteasome-activating nucleotidase </w:t>
            </w:r>
          </w:p>
        </w:tc>
        <w:tc>
          <w:tcPr>
            <w:tcW w:w="1952" w:type="dxa"/>
            <w:tcBorders>
              <w:top w:val="nil"/>
              <w:left w:val="nil"/>
              <w:bottom w:val="nil"/>
              <w:right w:val="nil"/>
            </w:tcBorders>
            <w:shd w:val="clear" w:color="auto" w:fill="auto"/>
            <w:noWrap/>
            <w:hideMark/>
          </w:tcPr>
          <w:p w14:paraId="7BF143A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1.67</w:t>
            </w:r>
          </w:p>
        </w:tc>
      </w:tr>
      <w:tr w:rsidR="00436CD0" w:rsidRPr="00C44D8C" w14:paraId="0D33F9CE" w14:textId="77777777" w:rsidTr="00436CD0">
        <w:trPr>
          <w:trHeight w:val="290"/>
        </w:trPr>
        <w:tc>
          <w:tcPr>
            <w:tcW w:w="1561" w:type="dxa"/>
            <w:tcBorders>
              <w:top w:val="nil"/>
              <w:left w:val="nil"/>
              <w:bottom w:val="nil"/>
              <w:right w:val="nil"/>
            </w:tcBorders>
            <w:shd w:val="clear" w:color="auto" w:fill="auto"/>
            <w:noWrap/>
            <w:hideMark/>
          </w:tcPr>
          <w:p w14:paraId="27B9215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Mbar_A1237</w:t>
            </w:r>
          </w:p>
        </w:tc>
        <w:tc>
          <w:tcPr>
            <w:tcW w:w="4959" w:type="dxa"/>
            <w:tcBorders>
              <w:top w:val="nil"/>
              <w:left w:val="nil"/>
              <w:bottom w:val="nil"/>
              <w:right w:val="nil"/>
            </w:tcBorders>
            <w:shd w:val="clear" w:color="auto" w:fill="auto"/>
            <w:noWrap/>
            <w:hideMark/>
          </w:tcPr>
          <w:p w14:paraId="0440BE9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Putative regulatory protein</w:t>
            </w:r>
          </w:p>
        </w:tc>
        <w:tc>
          <w:tcPr>
            <w:tcW w:w="1952" w:type="dxa"/>
            <w:tcBorders>
              <w:top w:val="nil"/>
              <w:left w:val="nil"/>
              <w:bottom w:val="nil"/>
              <w:right w:val="nil"/>
            </w:tcBorders>
            <w:shd w:val="clear" w:color="auto" w:fill="auto"/>
            <w:noWrap/>
            <w:hideMark/>
          </w:tcPr>
          <w:p w14:paraId="42DC018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1.66</w:t>
            </w:r>
          </w:p>
        </w:tc>
      </w:tr>
      <w:tr w:rsidR="00436CD0" w:rsidRPr="00C44D8C" w14:paraId="6F1C4DB6" w14:textId="77777777" w:rsidTr="00436CD0">
        <w:trPr>
          <w:trHeight w:val="290"/>
        </w:trPr>
        <w:tc>
          <w:tcPr>
            <w:tcW w:w="1561" w:type="dxa"/>
            <w:tcBorders>
              <w:top w:val="nil"/>
              <w:left w:val="nil"/>
              <w:bottom w:val="nil"/>
              <w:right w:val="nil"/>
            </w:tcBorders>
            <w:shd w:val="clear" w:color="auto" w:fill="auto"/>
            <w:noWrap/>
            <w:hideMark/>
          </w:tcPr>
          <w:p w14:paraId="1E03122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Mbar_A1238</w:t>
            </w:r>
          </w:p>
        </w:tc>
        <w:tc>
          <w:tcPr>
            <w:tcW w:w="4959" w:type="dxa"/>
            <w:tcBorders>
              <w:top w:val="nil"/>
              <w:left w:val="nil"/>
              <w:bottom w:val="nil"/>
              <w:right w:val="nil"/>
            </w:tcBorders>
            <w:shd w:val="clear" w:color="auto" w:fill="auto"/>
            <w:noWrap/>
            <w:hideMark/>
          </w:tcPr>
          <w:p w14:paraId="76DD26F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4-methyl-5-(Beta-hydroxyethyl)thiazole monophosphate synthesis protein ThiF</w:t>
            </w:r>
          </w:p>
        </w:tc>
        <w:tc>
          <w:tcPr>
            <w:tcW w:w="1952" w:type="dxa"/>
            <w:tcBorders>
              <w:top w:val="nil"/>
              <w:left w:val="nil"/>
              <w:bottom w:val="nil"/>
              <w:right w:val="nil"/>
            </w:tcBorders>
            <w:shd w:val="clear" w:color="auto" w:fill="auto"/>
            <w:noWrap/>
            <w:hideMark/>
          </w:tcPr>
          <w:p w14:paraId="1D2D54D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1.65</w:t>
            </w:r>
          </w:p>
        </w:tc>
      </w:tr>
      <w:tr w:rsidR="00436CD0" w:rsidRPr="00C44D8C" w14:paraId="2520EB57" w14:textId="77777777" w:rsidTr="00436CD0">
        <w:trPr>
          <w:trHeight w:val="290"/>
        </w:trPr>
        <w:tc>
          <w:tcPr>
            <w:tcW w:w="1561" w:type="dxa"/>
            <w:tcBorders>
              <w:top w:val="nil"/>
              <w:left w:val="nil"/>
              <w:bottom w:val="nil"/>
              <w:right w:val="nil"/>
            </w:tcBorders>
            <w:shd w:val="clear" w:color="auto" w:fill="auto"/>
            <w:noWrap/>
            <w:hideMark/>
          </w:tcPr>
          <w:p w14:paraId="2BDE334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Mbar_A1316</w:t>
            </w:r>
          </w:p>
        </w:tc>
        <w:tc>
          <w:tcPr>
            <w:tcW w:w="4959" w:type="dxa"/>
            <w:tcBorders>
              <w:top w:val="nil"/>
              <w:left w:val="nil"/>
              <w:bottom w:val="nil"/>
              <w:right w:val="nil"/>
            </w:tcBorders>
            <w:shd w:val="clear" w:color="auto" w:fill="auto"/>
            <w:noWrap/>
            <w:hideMark/>
          </w:tcPr>
          <w:p w14:paraId="0661337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Methionine aminopeptidase </w:t>
            </w:r>
          </w:p>
        </w:tc>
        <w:tc>
          <w:tcPr>
            <w:tcW w:w="1952" w:type="dxa"/>
            <w:tcBorders>
              <w:top w:val="nil"/>
              <w:left w:val="nil"/>
              <w:bottom w:val="nil"/>
              <w:right w:val="nil"/>
            </w:tcBorders>
            <w:shd w:val="clear" w:color="auto" w:fill="auto"/>
            <w:noWrap/>
            <w:hideMark/>
          </w:tcPr>
          <w:p w14:paraId="59FEF59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1.64</w:t>
            </w:r>
          </w:p>
        </w:tc>
      </w:tr>
      <w:tr w:rsidR="00436CD0" w:rsidRPr="00C44D8C" w14:paraId="15064CB2" w14:textId="77777777" w:rsidTr="00436CD0">
        <w:trPr>
          <w:trHeight w:val="290"/>
        </w:trPr>
        <w:tc>
          <w:tcPr>
            <w:tcW w:w="1561" w:type="dxa"/>
            <w:tcBorders>
              <w:top w:val="nil"/>
              <w:left w:val="nil"/>
              <w:bottom w:val="nil"/>
              <w:right w:val="nil"/>
            </w:tcBorders>
            <w:shd w:val="clear" w:color="auto" w:fill="auto"/>
            <w:noWrap/>
            <w:hideMark/>
          </w:tcPr>
          <w:p w14:paraId="7AF12CA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Mbar_A3650</w:t>
            </w:r>
          </w:p>
        </w:tc>
        <w:tc>
          <w:tcPr>
            <w:tcW w:w="4959" w:type="dxa"/>
            <w:tcBorders>
              <w:top w:val="nil"/>
              <w:left w:val="nil"/>
              <w:bottom w:val="nil"/>
              <w:right w:val="nil"/>
            </w:tcBorders>
            <w:shd w:val="clear" w:color="auto" w:fill="auto"/>
            <w:noWrap/>
            <w:hideMark/>
          </w:tcPr>
          <w:p w14:paraId="114A66B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Nascent polypeptide-associated complex protein</w:t>
            </w:r>
          </w:p>
        </w:tc>
        <w:tc>
          <w:tcPr>
            <w:tcW w:w="1952" w:type="dxa"/>
            <w:tcBorders>
              <w:top w:val="nil"/>
              <w:left w:val="nil"/>
              <w:bottom w:val="nil"/>
              <w:right w:val="nil"/>
            </w:tcBorders>
            <w:shd w:val="clear" w:color="auto" w:fill="auto"/>
            <w:noWrap/>
            <w:hideMark/>
          </w:tcPr>
          <w:p w14:paraId="6E53844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2.25</w:t>
            </w:r>
          </w:p>
        </w:tc>
      </w:tr>
      <w:tr w:rsidR="00436CD0" w:rsidRPr="00C44D8C" w14:paraId="5A692172" w14:textId="77777777" w:rsidTr="002B29E5">
        <w:trPr>
          <w:trHeight w:val="290"/>
        </w:trPr>
        <w:tc>
          <w:tcPr>
            <w:tcW w:w="1561" w:type="dxa"/>
            <w:tcBorders>
              <w:top w:val="nil"/>
              <w:left w:val="nil"/>
              <w:bottom w:val="single" w:sz="4" w:space="0" w:color="auto"/>
              <w:right w:val="nil"/>
            </w:tcBorders>
            <w:shd w:val="clear" w:color="auto" w:fill="auto"/>
            <w:noWrap/>
            <w:hideMark/>
          </w:tcPr>
          <w:p w14:paraId="2DB9056F" w14:textId="77777777" w:rsidR="00436CD0" w:rsidRPr="00C44D8C" w:rsidRDefault="00436CD0" w:rsidP="00436CD0">
            <w:pPr>
              <w:rPr>
                <w:rFonts w:asciiTheme="minorHAnsi" w:hAnsiTheme="minorHAnsi"/>
                <w:color w:val="000000"/>
                <w:sz w:val="22"/>
                <w:szCs w:val="22"/>
                <w:lang w:eastAsia="en-GB"/>
              </w:rPr>
            </w:pPr>
          </w:p>
        </w:tc>
        <w:tc>
          <w:tcPr>
            <w:tcW w:w="4959" w:type="dxa"/>
            <w:tcBorders>
              <w:top w:val="nil"/>
              <w:left w:val="nil"/>
              <w:bottom w:val="single" w:sz="4" w:space="0" w:color="auto"/>
              <w:right w:val="nil"/>
            </w:tcBorders>
            <w:shd w:val="clear" w:color="auto" w:fill="auto"/>
            <w:noWrap/>
            <w:hideMark/>
          </w:tcPr>
          <w:p w14:paraId="2E1232B7" w14:textId="77777777" w:rsidR="00436CD0" w:rsidRPr="00C44D8C" w:rsidRDefault="00436CD0" w:rsidP="00436CD0">
            <w:pPr>
              <w:rPr>
                <w:rFonts w:asciiTheme="minorHAnsi" w:hAnsiTheme="minorHAnsi"/>
                <w:sz w:val="22"/>
                <w:szCs w:val="22"/>
                <w:lang w:eastAsia="en-GB"/>
              </w:rPr>
            </w:pPr>
          </w:p>
        </w:tc>
        <w:tc>
          <w:tcPr>
            <w:tcW w:w="1952" w:type="dxa"/>
            <w:tcBorders>
              <w:top w:val="nil"/>
              <w:left w:val="nil"/>
              <w:bottom w:val="single" w:sz="4" w:space="0" w:color="auto"/>
              <w:right w:val="nil"/>
            </w:tcBorders>
            <w:shd w:val="clear" w:color="auto" w:fill="auto"/>
            <w:noWrap/>
            <w:hideMark/>
          </w:tcPr>
          <w:p w14:paraId="0B306396" w14:textId="77777777" w:rsidR="00436CD0" w:rsidRPr="00C44D8C" w:rsidRDefault="00436CD0" w:rsidP="00436CD0">
            <w:pPr>
              <w:rPr>
                <w:rFonts w:asciiTheme="minorHAnsi" w:hAnsiTheme="minorHAnsi"/>
                <w:sz w:val="22"/>
                <w:szCs w:val="22"/>
                <w:lang w:eastAsia="en-GB"/>
              </w:rPr>
            </w:pPr>
          </w:p>
        </w:tc>
      </w:tr>
      <w:tr w:rsidR="00436CD0" w:rsidRPr="00C44D8C" w14:paraId="20C83ABC" w14:textId="77777777" w:rsidTr="002B29E5">
        <w:trPr>
          <w:trHeight w:val="310"/>
        </w:trPr>
        <w:tc>
          <w:tcPr>
            <w:tcW w:w="8472" w:type="dxa"/>
            <w:gridSpan w:val="3"/>
            <w:tcBorders>
              <w:top w:val="single" w:sz="4" w:space="0" w:color="auto"/>
              <w:bottom w:val="nil"/>
              <w:right w:val="nil"/>
            </w:tcBorders>
            <w:shd w:val="clear" w:color="auto" w:fill="auto"/>
            <w:noWrap/>
            <w:hideMark/>
          </w:tcPr>
          <w:p w14:paraId="0E34F5D9"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Transport</w:t>
            </w:r>
          </w:p>
        </w:tc>
      </w:tr>
      <w:tr w:rsidR="00436CD0" w:rsidRPr="00C44D8C" w14:paraId="2A29DD35" w14:textId="77777777" w:rsidTr="00436CD0">
        <w:trPr>
          <w:trHeight w:val="290"/>
        </w:trPr>
        <w:tc>
          <w:tcPr>
            <w:tcW w:w="1561" w:type="dxa"/>
            <w:tcBorders>
              <w:top w:val="nil"/>
              <w:left w:val="nil"/>
              <w:bottom w:val="nil"/>
              <w:right w:val="nil"/>
            </w:tcBorders>
            <w:shd w:val="clear" w:color="auto" w:fill="auto"/>
            <w:noWrap/>
            <w:hideMark/>
          </w:tcPr>
          <w:p w14:paraId="3C81FAE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Mbar_A1078</w:t>
            </w:r>
          </w:p>
        </w:tc>
        <w:tc>
          <w:tcPr>
            <w:tcW w:w="4959" w:type="dxa"/>
            <w:tcBorders>
              <w:top w:val="nil"/>
              <w:left w:val="nil"/>
              <w:bottom w:val="nil"/>
              <w:right w:val="nil"/>
            </w:tcBorders>
            <w:shd w:val="clear" w:color="auto" w:fill="auto"/>
            <w:noWrap/>
            <w:hideMark/>
          </w:tcPr>
          <w:p w14:paraId="6183BA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Iron-regulated ABC transporter ATPase subunit SufC</w:t>
            </w:r>
          </w:p>
        </w:tc>
        <w:tc>
          <w:tcPr>
            <w:tcW w:w="1952" w:type="dxa"/>
            <w:tcBorders>
              <w:top w:val="nil"/>
              <w:left w:val="nil"/>
              <w:bottom w:val="nil"/>
              <w:right w:val="nil"/>
            </w:tcBorders>
            <w:shd w:val="clear" w:color="auto" w:fill="auto"/>
            <w:noWrap/>
            <w:hideMark/>
          </w:tcPr>
          <w:p w14:paraId="15A3060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2.38</w:t>
            </w:r>
          </w:p>
        </w:tc>
      </w:tr>
      <w:tr w:rsidR="00436CD0" w:rsidRPr="00C44D8C" w14:paraId="48AD8544" w14:textId="77777777" w:rsidTr="00436CD0">
        <w:trPr>
          <w:trHeight w:val="290"/>
        </w:trPr>
        <w:tc>
          <w:tcPr>
            <w:tcW w:w="1561" w:type="dxa"/>
            <w:tcBorders>
              <w:top w:val="nil"/>
              <w:left w:val="nil"/>
              <w:bottom w:val="nil"/>
              <w:right w:val="nil"/>
            </w:tcBorders>
            <w:shd w:val="clear" w:color="auto" w:fill="auto"/>
            <w:noWrap/>
            <w:hideMark/>
          </w:tcPr>
          <w:p w14:paraId="2317FE5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Mbar_A3459</w:t>
            </w:r>
          </w:p>
        </w:tc>
        <w:tc>
          <w:tcPr>
            <w:tcW w:w="4959" w:type="dxa"/>
            <w:tcBorders>
              <w:top w:val="nil"/>
              <w:left w:val="nil"/>
              <w:bottom w:val="nil"/>
              <w:right w:val="nil"/>
            </w:tcBorders>
            <w:shd w:val="clear" w:color="auto" w:fill="auto"/>
            <w:noWrap/>
            <w:hideMark/>
          </w:tcPr>
          <w:p w14:paraId="6A8613E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ABC transporter, ATP-binding protein</w:t>
            </w:r>
          </w:p>
        </w:tc>
        <w:tc>
          <w:tcPr>
            <w:tcW w:w="1952" w:type="dxa"/>
            <w:tcBorders>
              <w:top w:val="nil"/>
              <w:left w:val="nil"/>
              <w:bottom w:val="nil"/>
              <w:right w:val="nil"/>
            </w:tcBorders>
            <w:shd w:val="clear" w:color="auto" w:fill="auto"/>
            <w:noWrap/>
            <w:hideMark/>
          </w:tcPr>
          <w:p w14:paraId="34B6176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2.21</w:t>
            </w:r>
          </w:p>
        </w:tc>
      </w:tr>
      <w:tr w:rsidR="00436CD0" w:rsidRPr="00C44D8C" w14:paraId="055B57AE" w14:textId="77777777" w:rsidTr="00436CD0">
        <w:trPr>
          <w:trHeight w:val="290"/>
        </w:trPr>
        <w:tc>
          <w:tcPr>
            <w:tcW w:w="1561" w:type="dxa"/>
            <w:tcBorders>
              <w:top w:val="nil"/>
              <w:left w:val="nil"/>
              <w:bottom w:val="nil"/>
              <w:right w:val="nil"/>
            </w:tcBorders>
            <w:shd w:val="clear" w:color="auto" w:fill="auto"/>
            <w:noWrap/>
            <w:hideMark/>
          </w:tcPr>
          <w:p w14:paraId="43DE654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Mbar_A1030</w:t>
            </w:r>
          </w:p>
        </w:tc>
        <w:tc>
          <w:tcPr>
            <w:tcW w:w="4959" w:type="dxa"/>
            <w:tcBorders>
              <w:top w:val="nil"/>
              <w:left w:val="nil"/>
              <w:bottom w:val="nil"/>
              <w:right w:val="nil"/>
            </w:tcBorders>
            <w:shd w:val="clear" w:color="auto" w:fill="auto"/>
            <w:noWrap/>
            <w:hideMark/>
          </w:tcPr>
          <w:p w14:paraId="45E0645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ABC transporter, ATP-binding protein</w:t>
            </w:r>
          </w:p>
        </w:tc>
        <w:tc>
          <w:tcPr>
            <w:tcW w:w="1952" w:type="dxa"/>
            <w:tcBorders>
              <w:top w:val="nil"/>
              <w:left w:val="nil"/>
              <w:bottom w:val="nil"/>
              <w:right w:val="nil"/>
            </w:tcBorders>
            <w:shd w:val="clear" w:color="auto" w:fill="auto"/>
            <w:noWrap/>
            <w:hideMark/>
          </w:tcPr>
          <w:p w14:paraId="4C76D1C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2.04</w:t>
            </w:r>
          </w:p>
        </w:tc>
      </w:tr>
      <w:tr w:rsidR="00436CD0" w:rsidRPr="00C44D8C" w14:paraId="2FE364D0" w14:textId="77777777" w:rsidTr="00436CD0">
        <w:trPr>
          <w:trHeight w:val="290"/>
        </w:trPr>
        <w:tc>
          <w:tcPr>
            <w:tcW w:w="1561" w:type="dxa"/>
            <w:tcBorders>
              <w:top w:val="nil"/>
              <w:left w:val="nil"/>
              <w:bottom w:val="nil"/>
              <w:right w:val="nil"/>
            </w:tcBorders>
            <w:shd w:val="clear" w:color="auto" w:fill="auto"/>
            <w:noWrap/>
            <w:hideMark/>
          </w:tcPr>
          <w:p w14:paraId="1C3F562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Mbar_A0995</w:t>
            </w:r>
          </w:p>
        </w:tc>
        <w:tc>
          <w:tcPr>
            <w:tcW w:w="4959" w:type="dxa"/>
            <w:tcBorders>
              <w:top w:val="nil"/>
              <w:left w:val="nil"/>
              <w:bottom w:val="nil"/>
              <w:right w:val="nil"/>
            </w:tcBorders>
            <w:shd w:val="clear" w:color="auto" w:fill="auto"/>
            <w:noWrap/>
            <w:hideMark/>
          </w:tcPr>
          <w:p w14:paraId="44D8C28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Zinc ABC transporter, ATP-binding protein</w:t>
            </w:r>
          </w:p>
        </w:tc>
        <w:tc>
          <w:tcPr>
            <w:tcW w:w="1952" w:type="dxa"/>
            <w:tcBorders>
              <w:top w:val="nil"/>
              <w:left w:val="nil"/>
              <w:bottom w:val="nil"/>
              <w:right w:val="nil"/>
            </w:tcBorders>
            <w:shd w:val="clear" w:color="auto" w:fill="auto"/>
            <w:noWrap/>
            <w:hideMark/>
          </w:tcPr>
          <w:p w14:paraId="4AAB7CE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1ADA7AB0" w14:textId="77777777" w:rsidTr="00436CD0">
        <w:trPr>
          <w:trHeight w:val="290"/>
        </w:trPr>
        <w:tc>
          <w:tcPr>
            <w:tcW w:w="1561" w:type="dxa"/>
            <w:tcBorders>
              <w:top w:val="nil"/>
              <w:left w:val="nil"/>
              <w:bottom w:val="nil"/>
              <w:right w:val="nil"/>
            </w:tcBorders>
            <w:shd w:val="clear" w:color="auto" w:fill="auto"/>
            <w:noWrap/>
            <w:hideMark/>
          </w:tcPr>
          <w:p w14:paraId="419F508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Mbar_A1286</w:t>
            </w:r>
          </w:p>
        </w:tc>
        <w:tc>
          <w:tcPr>
            <w:tcW w:w="4959" w:type="dxa"/>
            <w:tcBorders>
              <w:top w:val="nil"/>
              <w:left w:val="nil"/>
              <w:bottom w:val="nil"/>
              <w:right w:val="nil"/>
            </w:tcBorders>
            <w:shd w:val="clear" w:color="auto" w:fill="auto"/>
            <w:noWrap/>
            <w:hideMark/>
          </w:tcPr>
          <w:p w14:paraId="17E2655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ABC transporter, solute-binding protein</w:t>
            </w:r>
          </w:p>
        </w:tc>
        <w:tc>
          <w:tcPr>
            <w:tcW w:w="1952" w:type="dxa"/>
            <w:tcBorders>
              <w:top w:val="nil"/>
              <w:left w:val="nil"/>
              <w:bottom w:val="nil"/>
              <w:right w:val="nil"/>
            </w:tcBorders>
            <w:shd w:val="clear" w:color="auto" w:fill="auto"/>
            <w:noWrap/>
            <w:hideMark/>
          </w:tcPr>
          <w:p w14:paraId="6356FAA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1.84</w:t>
            </w:r>
          </w:p>
        </w:tc>
      </w:tr>
      <w:tr w:rsidR="00436CD0" w:rsidRPr="00C44D8C" w14:paraId="01DF96EF" w14:textId="77777777" w:rsidTr="00436CD0">
        <w:trPr>
          <w:trHeight w:val="290"/>
        </w:trPr>
        <w:tc>
          <w:tcPr>
            <w:tcW w:w="1561" w:type="dxa"/>
            <w:tcBorders>
              <w:top w:val="nil"/>
              <w:left w:val="nil"/>
              <w:bottom w:val="nil"/>
              <w:right w:val="nil"/>
            </w:tcBorders>
            <w:shd w:val="clear" w:color="auto" w:fill="auto"/>
            <w:noWrap/>
            <w:hideMark/>
          </w:tcPr>
          <w:p w14:paraId="4AA1773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Mbar_A1558</w:t>
            </w:r>
          </w:p>
        </w:tc>
        <w:tc>
          <w:tcPr>
            <w:tcW w:w="4959" w:type="dxa"/>
            <w:tcBorders>
              <w:top w:val="nil"/>
              <w:left w:val="nil"/>
              <w:bottom w:val="nil"/>
              <w:right w:val="nil"/>
            </w:tcBorders>
            <w:shd w:val="clear" w:color="auto" w:fill="auto"/>
            <w:noWrap/>
            <w:hideMark/>
          </w:tcPr>
          <w:p w14:paraId="2F688667" w14:textId="77777777" w:rsidR="00436CD0" w:rsidRPr="00C44D8C" w:rsidRDefault="00436CD0" w:rsidP="00436CD0">
            <w:pPr>
              <w:rPr>
                <w:rFonts w:asciiTheme="minorHAnsi" w:hAnsiTheme="minorHAnsi"/>
                <w:color w:val="000000"/>
                <w:sz w:val="22"/>
                <w:szCs w:val="22"/>
                <w:lang w:val="de-DE" w:eastAsia="en-GB"/>
              </w:rPr>
            </w:pPr>
            <w:r w:rsidRPr="00C44D8C">
              <w:rPr>
                <w:rFonts w:asciiTheme="minorHAnsi" w:hAnsiTheme="minorHAnsi"/>
                <w:color w:val="000000"/>
                <w:sz w:val="22"/>
                <w:szCs w:val="22"/>
                <w:lang w:val="de-DE" w:eastAsia="en-GB"/>
              </w:rPr>
              <w:t xml:space="preserve">Molybdenum ABC transporter, solute-binding </w:t>
            </w:r>
          </w:p>
        </w:tc>
        <w:tc>
          <w:tcPr>
            <w:tcW w:w="1952" w:type="dxa"/>
            <w:tcBorders>
              <w:top w:val="nil"/>
              <w:left w:val="nil"/>
              <w:bottom w:val="nil"/>
              <w:right w:val="nil"/>
            </w:tcBorders>
            <w:shd w:val="clear" w:color="auto" w:fill="auto"/>
            <w:noWrap/>
            <w:hideMark/>
          </w:tcPr>
          <w:p w14:paraId="57F8E11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1.63</w:t>
            </w:r>
          </w:p>
        </w:tc>
      </w:tr>
      <w:tr w:rsidR="00436CD0" w:rsidRPr="00C44D8C" w14:paraId="428150F8" w14:textId="77777777" w:rsidTr="00436CD0">
        <w:trPr>
          <w:trHeight w:val="290"/>
        </w:trPr>
        <w:tc>
          <w:tcPr>
            <w:tcW w:w="1561" w:type="dxa"/>
            <w:tcBorders>
              <w:top w:val="nil"/>
              <w:left w:val="nil"/>
              <w:bottom w:val="nil"/>
              <w:right w:val="nil"/>
            </w:tcBorders>
            <w:shd w:val="clear" w:color="auto" w:fill="auto"/>
            <w:noWrap/>
            <w:hideMark/>
          </w:tcPr>
          <w:p w14:paraId="79ADFA0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Mbar_A1872</w:t>
            </w:r>
          </w:p>
        </w:tc>
        <w:tc>
          <w:tcPr>
            <w:tcW w:w="4959" w:type="dxa"/>
            <w:tcBorders>
              <w:top w:val="nil"/>
              <w:left w:val="nil"/>
              <w:bottom w:val="nil"/>
              <w:right w:val="nil"/>
            </w:tcBorders>
            <w:shd w:val="clear" w:color="auto" w:fill="auto"/>
            <w:noWrap/>
            <w:hideMark/>
          </w:tcPr>
          <w:p w14:paraId="225EE3E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Iron(III) dicitrate transport ATP-binding protein</w:t>
            </w:r>
          </w:p>
        </w:tc>
        <w:tc>
          <w:tcPr>
            <w:tcW w:w="1952" w:type="dxa"/>
            <w:tcBorders>
              <w:top w:val="nil"/>
              <w:left w:val="nil"/>
              <w:bottom w:val="nil"/>
              <w:right w:val="nil"/>
            </w:tcBorders>
            <w:shd w:val="clear" w:color="auto" w:fill="auto"/>
            <w:noWrap/>
            <w:hideMark/>
          </w:tcPr>
          <w:p w14:paraId="2D58CB7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1.63</w:t>
            </w:r>
          </w:p>
        </w:tc>
      </w:tr>
      <w:tr w:rsidR="00436CD0" w:rsidRPr="00C44D8C" w14:paraId="5DB8525D" w14:textId="77777777" w:rsidTr="00436CD0">
        <w:trPr>
          <w:trHeight w:val="290"/>
        </w:trPr>
        <w:tc>
          <w:tcPr>
            <w:tcW w:w="1561" w:type="dxa"/>
            <w:tcBorders>
              <w:top w:val="nil"/>
              <w:left w:val="nil"/>
              <w:bottom w:val="nil"/>
              <w:right w:val="nil"/>
            </w:tcBorders>
            <w:shd w:val="clear" w:color="auto" w:fill="auto"/>
            <w:noWrap/>
            <w:hideMark/>
          </w:tcPr>
          <w:p w14:paraId="760C064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Mbar_A1265</w:t>
            </w:r>
          </w:p>
        </w:tc>
        <w:tc>
          <w:tcPr>
            <w:tcW w:w="4959" w:type="dxa"/>
            <w:tcBorders>
              <w:top w:val="nil"/>
              <w:left w:val="nil"/>
              <w:bottom w:val="nil"/>
              <w:right w:val="nil"/>
            </w:tcBorders>
            <w:shd w:val="clear" w:color="auto" w:fill="auto"/>
            <w:noWrap/>
            <w:hideMark/>
          </w:tcPr>
          <w:p w14:paraId="465A610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Putative molybdenum transport protein ModA</w:t>
            </w:r>
          </w:p>
        </w:tc>
        <w:tc>
          <w:tcPr>
            <w:tcW w:w="1952" w:type="dxa"/>
            <w:tcBorders>
              <w:top w:val="nil"/>
              <w:left w:val="nil"/>
              <w:bottom w:val="nil"/>
              <w:right w:val="nil"/>
            </w:tcBorders>
            <w:shd w:val="clear" w:color="auto" w:fill="auto"/>
            <w:noWrap/>
            <w:hideMark/>
          </w:tcPr>
          <w:p w14:paraId="14495E6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1.62</w:t>
            </w:r>
          </w:p>
        </w:tc>
      </w:tr>
      <w:tr w:rsidR="00436CD0" w:rsidRPr="00C44D8C" w14:paraId="246FB803" w14:textId="77777777" w:rsidTr="00436CD0">
        <w:trPr>
          <w:trHeight w:val="290"/>
        </w:trPr>
        <w:tc>
          <w:tcPr>
            <w:tcW w:w="1561" w:type="dxa"/>
            <w:tcBorders>
              <w:top w:val="nil"/>
              <w:left w:val="nil"/>
              <w:bottom w:val="nil"/>
              <w:right w:val="nil"/>
            </w:tcBorders>
            <w:shd w:val="clear" w:color="auto" w:fill="auto"/>
            <w:noWrap/>
            <w:hideMark/>
          </w:tcPr>
          <w:p w14:paraId="033CA0A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Mbar_A0062</w:t>
            </w:r>
          </w:p>
        </w:tc>
        <w:tc>
          <w:tcPr>
            <w:tcW w:w="4959" w:type="dxa"/>
            <w:tcBorders>
              <w:top w:val="nil"/>
              <w:left w:val="nil"/>
              <w:bottom w:val="nil"/>
              <w:right w:val="nil"/>
            </w:tcBorders>
            <w:shd w:val="clear" w:color="auto" w:fill="auto"/>
            <w:noWrap/>
            <w:hideMark/>
          </w:tcPr>
          <w:p w14:paraId="47EC5C4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ABC transporter, ATP-binding protein</w:t>
            </w:r>
          </w:p>
        </w:tc>
        <w:tc>
          <w:tcPr>
            <w:tcW w:w="1952" w:type="dxa"/>
            <w:tcBorders>
              <w:top w:val="nil"/>
              <w:left w:val="nil"/>
              <w:bottom w:val="nil"/>
              <w:right w:val="nil"/>
            </w:tcBorders>
            <w:shd w:val="clear" w:color="auto" w:fill="auto"/>
            <w:noWrap/>
            <w:hideMark/>
          </w:tcPr>
          <w:p w14:paraId="519D8E7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1.51</w:t>
            </w:r>
          </w:p>
        </w:tc>
      </w:tr>
      <w:tr w:rsidR="00436CD0" w:rsidRPr="00C44D8C" w14:paraId="3703584E" w14:textId="77777777" w:rsidTr="00436CD0">
        <w:trPr>
          <w:trHeight w:val="290"/>
        </w:trPr>
        <w:tc>
          <w:tcPr>
            <w:tcW w:w="1561" w:type="dxa"/>
            <w:tcBorders>
              <w:top w:val="nil"/>
              <w:left w:val="nil"/>
              <w:bottom w:val="nil"/>
              <w:right w:val="nil"/>
            </w:tcBorders>
            <w:shd w:val="clear" w:color="auto" w:fill="auto"/>
            <w:noWrap/>
            <w:hideMark/>
          </w:tcPr>
          <w:p w14:paraId="6CF30ED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Mbar_A2562</w:t>
            </w:r>
          </w:p>
        </w:tc>
        <w:tc>
          <w:tcPr>
            <w:tcW w:w="4959" w:type="dxa"/>
            <w:tcBorders>
              <w:top w:val="nil"/>
              <w:left w:val="nil"/>
              <w:bottom w:val="nil"/>
              <w:right w:val="nil"/>
            </w:tcBorders>
            <w:shd w:val="clear" w:color="auto" w:fill="auto"/>
            <w:noWrap/>
            <w:hideMark/>
          </w:tcPr>
          <w:p w14:paraId="438C964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ABC transporter, ATP-binding protein</w:t>
            </w:r>
          </w:p>
        </w:tc>
        <w:tc>
          <w:tcPr>
            <w:tcW w:w="1952" w:type="dxa"/>
            <w:tcBorders>
              <w:top w:val="nil"/>
              <w:left w:val="nil"/>
              <w:bottom w:val="nil"/>
              <w:right w:val="nil"/>
            </w:tcBorders>
            <w:shd w:val="clear" w:color="auto" w:fill="auto"/>
            <w:noWrap/>
            <w:hideMark/>
          </w:tcPr>
          <w:p w14:paraId="036E3C1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2.01</w:t>
            </w:r>
          </w:p>
        </w:tc>
      </w:tr>
      <w:tr w:rsidR="00436CD0" w:rsidRPr="00C44D8C" w14:paraId="309DA586" w14:textId="77777777" w:rsidTr="00436CD0">
        <w:trPr>
          <w:trHeight w:val="290"/>
        </w:trPr>
        <w:tc>
          <w:tcPr>
            <w:tcW w:w="1561" w:type="dxa"/>
            <w:tcBorders>
              <w:top w:val="nil"/>
              <w:left w:val="nil"/>
              <w:bottom w:val="nil"/>
              <w:right w:val="nil"/>
            </w:tcBorders>
            <w:shd w:val="clear" w:color="auto" w:fill="auto"/>
            <w:noWrap/>
            <w:hideMark/>
          </w:tcPr>
          <w:p w14:paraId="165F730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Mbar_A3677</w:t>
            </w:r>
          </w:p>
        </w:tc>
        <w:tc>
          <w:tcPr>
            <w:tcW w:w="4959" w:type="dxa"/>
            <w:tcBorders>
              <w:top w:val="nil"/>
              <w:left w:val="nil"/>
              <w:bottom w:val="nil"/>
              <w:right w:val="nil"/>
            </w:tcBorders>
            <w:shd w:val="clear" w:color="auto" w:fill="auto"/>
            <w:noWrap/>
            <w:hideMark/>
          </w:tcPr>
          <w:p w14:paraId="66CD2424" w14:textId="77777777" w:rsidR="00436CD0" w:rsidRPr="00C44D8C" w:rsidRDefault="00436CD0" w:rsidP="00436CD0">
            <w:pPr>
              <w:rPr>
                <w:rFonts w:asciiTheme="minorHAnsi" w:hAnsiTheme="minorHAnsi"/>
                <w:color w:val="000000"/>
                <w:sz w:val="22"/>
                <w:szCs w:val="22"/>
                <w:lang w:val="sv-SE" w:eastAsia="en-GB"/>
              </w:rPr>
            </w:pPr>
            <w:r w:rsidRPr="00C44D8C">
              <w:rPr>
                <w:rFonts w:asciiTheme="minorHAnsi" w:hAnsiTheme="minorHAnsi"/>
                <w:color w:val="000000"/>
                <w:sz w:val="22"/>
                <w:szCs w:val="22"/>
                <w:lang w:val="sv-SE" w:eastAsia="en-GB"/>
              </w:rPr>
              <w:t>Oligopeptide ABC transporter, oligopeptide-binding protein</w:t>
            </w:r>
          </w:p>
        </w:tc>
        <w:tc>
          <w:tcPr>
            <w:tcW w:w="1952" w:type="dxa"/>
            <w:tcBorders>
              <w:top w:val="nil"/>
              <w:left w:val="nil"/>
              <w:bottom w:val="nil"/>
              <w:right w:val="nil"/>
            </w:tcBorders>
            <w:shd w:val="clear" w:color="auto" w:fill="auto"/>
            <w:noWrap/>
            <w:hideMark/>
          </w:tcPr>
          <w:p w14:paraId="66F06D4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1.89</w:t>
            </w:r>
          </w:p>
        </w:tc>
      </w:tr>
      <w:tr w:rsidR="00436CD0" w:rsidRPr="00C44D8C" w14:paraId="3A134BB5" w14:textId="77777777" w:rsidTr="00436CD0">
        <w:trPr>
          <w:trHeight w:val="290"/>
        </w:trPr>
        <w:tc>
          <w:tcPr>
            <w:tcW w:w="1561" w:type="dxa"/>
            <w:tcBorders>
              <w:top w:val="nil"/>
              <w:left w:val="nil"/>
              <w:bottom w:val="nil"/>
              <w:right w:val="nil"/>
            </w:tcBorders>
            <w:shd w:val="clear" w:color="auto" w:fill="auto"/>
            <w:noWrap/>
            <w:hideMark/>
          </w:tcPr>
          <w:p w14:paraId="2AE3BFE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Mbar_A1284</w:t>
            </w:r>
          </w:p>
        </w:tc>
        <w:tc>
          <w:tcPr>
            <w:tcW w:w="4959" w:type="dxa"/>
            <w:tcBorders>
              <w:top w:val="nil"/>
              <w:left w:val="nil"/>
              <w:bottom w:val="nil"/>
              <w:right w:val="nil"/>
            </w:tcBorders>
            <w:shd w:val="clear" w:color="auto" w:fill="auto"/>
            <w:noWrap/>
            <w:hideMark/>
          </w:tcPr>
          <w:p w14:paraId="7E45B98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Oligopeptide ABC transporter, solute-binding protein</w:t>
            </w:r>
          </w:p>
        </w:tc>
        <w:tc>
          <w:tcPr>
            <w:tcW w:w="1952" w:type="dxa"/>
            <w:tcBorders>
              <w:top w:val="nil"/>
              <w:left w:val="nil"/>
              <w:bottom w:val="nil"/>
              <w:right w:val="nil"/>
            </w:tcBorders>
            <w:shd w:val="clear" w:color="auto" w:fill="auto"/>
            <w:noWrap/>
            <w:hideMark/>
          </w:tcPr>
          <w:p w14:paraId="53ECAF7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1.83</w:t>
            </w:r>
          </w:p>
        </w:tc>
      </w:tr>
      <w:tr w:rsidR="00436CD0" w:rsidRPr="00C44D8C" w14:paraId="0AE55824" w14:textId="77777777" w:rsidTr="00436CD0">
        <w:trPr>
          <w:trHeight w:val="290"/>
        </w:trPr>
        <w:tc>
          <w:tcPr>
            <w:tcW w:w="1561" w:type="dxa"/>
            <w:tcBorders>
              <w:top w:val="nil"/>
              <w:left w:val="nil"/>
              <w:bottom w:val="nil"/>
              <w:right w:val="nil"/>
            </w:tcBorders>
            <w:shd w:val="clear" w:color="auto" w:fill="auto"/>
            <w:noWrap/>
            <w:hideMark/>
          </w:tcPr>
          <w:p w14:paraId="114C277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Mbar_A3678</w:t>
            </w:r>
          </w:p>
        </w:tc>
        <w:tc>
          <w:tcPr>
            <w:tcW w:w="4959" w:type="dxa"/>
            <w:tcBorders>
              <w:top w:val="nil"/>
              <w:left w:val="nil"/>
              <w:bottom w:val="nil"/>
              <w:right w:val="nil"/>
            </w:tcBorders>
            <w:shd w:val="clear" w:color="auto" w:fill="auto"/>
            <w:noWrap/>
            <w:hideMark/>
          </w:tcPr>
          <w:p w14:paraId="3191AE82" w14:textId="77777777" w:rsidR="00436CD0" w:rsidRPr="00C44D8C" w:rsidRDefault="00436CD0" w:rsidP="00436CD0">
            <w:pPr>
              <w:rPr>
                <w:rFonts w:asciiTheme="minorHAnsi" w:hAnsiTheme="minorHAnsi"/>
                <w:color w:val="000000"/>
                <w:sz w:val="22"/>
                <w:szCs w:val="22"/>
                <w:lang w:val="sv-SE" w:eastAsia="en-GB"/>
              </w:rPr>
            </w:pPr>
            <w:r w:rsidRPr="00C44D8C">
              <w:rPr>
                <w:rFonts w:asciiTheme="minorHAnsi" w:hAnsiTheme="minorHAnsi"/>
                <w:color w:val="000000"/>
                <w:sz w:val="22"/>
                <w:szCs w:val="22"/>
                <w:lang w:val="sv-SE" w:eastAsia="en-GB"/>
              </w:rPr>
              <w:t>Oligopeptide ABC transporter, oligopeptide-binding protein</w:t>
            </w:r>
          </w:p>
        </w:tc>
        <w:tc>
          <w:tcPr>
            <w:tcW w:w="1952" w:type="dxa"/>
            <w:tcBorders>
              <w:top w:val="nil"/>
              <w:left w:val="nil"/>
              <w:bottom w:val="nil"/>
              <w:right w:val="nil"/>
            </w:tcBorders>
            <w:shd w:val="clear" w:color="auto" w:fill="auto"/>
            <w:noWrap/>
            <w:hideMark/>
          </w:tcPr>
          <w:p w14:paraId="3CE07B4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49A20A7C" w14:textId="77777777" w:rsidTr="00436CD0">
        <w:trPr>
          <w:trHeight w:val="290"/>
        </w:trPr>
        <w:tc>
          <w:tcPr>
            <w:tcW w:w="1561" w:type="dxa"/>
            <w:tcBorders>
              <w:top w:val="nil"/>
              <w:left w:val="nil"/>
              <w:bottom w:val="nil"/>
              <w:right w:val="nil"/>
            </w:tcBorders>
            <w:shd w:val="clear" w:color="auto" w:fill="auto"/>
            <w:noWrap/>
            <w:hideMark/>
          </w:tcPr>
          <w:p w14:paraId="1B73034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Mbar_A1269</w:t>
            </w:r>
          </w:p>
        </w:tc>
        <w:tc>
          <w:tcPr>
            <w:tcW w:w="4959" w:type="dxa"/>
            <w:tcBorders>
              <w:top w:val="nil"/>
              <w:left w:val="nil"/>
              <w:bottom w:val="nil"/>
              <w:right w:val="nil"/>
            </w:tcBorders>
            <w:shd w:val="clear" w:color="auto" w:fill="auto"/>
            <w:noWrap/>
            <w:hideMark/>
          </w:tcPr>
          <w:p w14:paraId="2652202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Transporter, RND superfamily</w:t>
            </w:r>
          </w:p>
        </w:tc>
        <w:tc>
          <w:tcPr>
            <w:tcW w:w="1952" w:type="dxa"/>
            <w:tcBorders>
              <w:top w:val="nil"/>
              <w:left w:val="nil"/>
              <w:bottom w:val="nil"/>
              <w:right w:val="nil"/>
            </w:tcBorders>
            <w:shd w:val="clear" w:color="auto" w:fill="auto"/>
            <w:noWrap/>
            <w:hideMark/>
          </w:tcPr>
          <w:p w14:paraId="37A82BB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1.74</w:t>
            </w:r>
          </w:p>
        </w:tc>
      </w:tr>
      <w:tr w:rsidR="00436CD0" w:rsidRPr="00C44D8C" w14:paraId="3BA5CBAA" w14:textId="77777777" w:rsidTr="00436CD0">
        <w:trPr>
          <w:trHeight w:val="290"/>
        </w:trPr>
        <w:tc>
          <w:tcPr>
            <w:tcW w:w="1561" w:type="dxa"/>
            <w:tcBorders>
              <w:top w:val="nil"/>
              <w:left w:val="nil"/>
              <w:bottom w:val="nil"/>
              <w:right w:val="nil"/>
            </w:tcBorders>
            <w:shd w:val="clear" w:color="auto" w:fill="auto"/>
            <w:noWrap/>
            <w:hideMark/>
          </w:tcPr>
          <w:p w14:paraId="68790C5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Mbar_A0473</w:t>
            </w:r>
          </w:p>
        </w:tc>
        <w:tc>
          <w:tcPr>
            <w:tcW w:w="4959" w:type="dxa"/>
            <w:tcBorders>
              <w:top w:val="nil"/>
              <w:left w:val="nil"/>
              <w:bottom w:val="nil"/>
              <w:right w:val="nil"/>
            </w:tcBorders>
            <w:shd w:val="clear" w:color="auto" w:fill="auto"/>
            <w:noWrap/>
            <w:hideMark/>
          </w:tcPr>
          <w:p w14:paraId="06DA4E08" w14:textId="77777777" w:rsidR="00436CD0" w:rsidRPr="00C44D8C" w:rsidRDefault="00436CD0" w:rsidP="00436CD0">
            <w:pPr>
              <w:rPr>
                <w:rFonts w:asciiTheme="minorHAnsi" w:hAnsiTheme="minorHAnsi"/>
                <w:color w:val="000000"/>
                <w:sz w:val="22"/>
                <w:szCs w:val="22"/>
                <w:lang w:val="de-DE" w:eastAsia="en-GB"/>
              </w:rPr>
            </w:pPr>
            <w:r w:rsidRPr="00C44D8C">
              <w:rPr>
                <w:rFonts w:asciiTheme="minorHAnsi" w:hAnsiTheme="minorHAnsi"/>
                <w:color w:val="000000"/>
                <w:sz w:val="22"/>
                <w:szCs w:val="22"/>
                <w:lang w:val="de-DE" w:eastAsia="en-GB"/>
              </w:rPr>
              <w:t>Nickel ABC transporter, solute-binding protein</w:t>
            </w:r>
          </w:p>
        </w:tc>
        <w:tc>
          <w:tcPr>
            <w:tcW w:w="1952" w:type="dxa"/>
            <w:tcBorders>
              <w:top w:val="nil"/>
              <w:left w:val="nil"/>
              <w:bottom w:val="nil"/>
              <w:right w:val="nil"/>
            </w:tcBorders>
            <w:shd w:val="clear" w:color="auto" w:fill="auto"/>
            <w:noWrap/>
            <w:hideMark/>
          </w:tcPr>
          <w:p w14:paraId="7FF02AC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3524B8EC" w14:textId="77777777" w:rsidTr="00436CD0">
        <w:trPr>
          <w:trHeight w:val="290"/>
        </w:trPr>
        <w:tc>
          <w:tcPr>
            <w:tcW w:w="1561" w:type="dxa"/>
            <w:tcBorders>
              <w:top w:val="nil"/>
              <w:left w:val="nil"/>
              <w:bottom w:val="nil"/>
              <w:right w:val="nil"/>
            </w:tcBorders>
            <w:shd w:val="clear" w:color="auto" w:fill="auto"/>
            <w:noWrap/>
            <w:hideMark/>
          </w:tcPr>
          <w:p w14:paraId="62831B9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Mbar_A2811</w:t>
            </w:r>
          </w:p>
        </w:tc>
        <w:tc>
          <w:tcPr>
            <w:tcW w:w="4959" w:type="dxa"/>
            <w:tcBorders>
              <w:top w:val="nil"/>
              <w:left w:val="nil"/>
              <w:bottom w:val="nil"/>
              <w:right w:val="nil"/>
            </w:tcBorders>
            <w:shd w:val="clear" w:color="auto" w:fill="auto"/>
            <w:noWrap/>
            <w:hideMark/>
          </w:tcPr>
          <w:p w14:paraId="5AC639B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Potassium channel protein</w:t>
            </w:r>
          </w:p>
        </w:tc>
        <w:tc>
          <w:tcPr>
            <w:tcW w:w="1952" w:type="dxa"/>
            <w:tcBorders>
              <w:top w:val="nil"/>
              <w:left w:val="nil"/>
              <w:bottom w:val="nil"/>
              <w:right w:val="nil"/>
            </w:tcBorders>
            <w:shd w:val="clear" w:color="auto" w:fill="auto"/>
            <w:noWrap/>
            <w:hideMark/>
          </w:tcPr>
          <w:p w14:paraId="01A1BEE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7D7E0802" w14:textId="77777777" w:rsidTr="00436CD0">
        <w:trPr>
          <w:trHeight w:val="290"/>
        </w:trPr>
        <w:tc>
          <w:tcPr>
            <w:tcW w:w="1561" w:type="dxa"/>
            <w:tcBorders>
              <w:top w:val="nil"/>
              <w:left w:val="nil"/>
              <w:bottom w:val="nil"/>
              <w:right w:val="nil"/>
            </w:tcBorders>
            <w:shd w:val="clear" w:color="auto" w:fill="auto"/>
            <w:noWrap/>
            <w:hideMark/>
          </w:tcPr>
          <w:p w14:paraId="5CD700E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Mbar_A0707</w:t>
            </w:r>
          </w:p>
        </w:tc>
        <w:tc>
          <w:tcPr>
            <w:tcW w:w="4959" w:type="dxa"/>
            <w:tcBorders>
              <w:top w:val="nil"/>
              <w:left w:val="nil"/>
              <w:bottom w:val="nil"/>
              <w:right w:val="nil"/>
            </w:tcBorders>
            <w:shd w:val="clear" w:color="auto" w:fill="auto"/>
            <w:noWrap/>
            <w:hideMark/>
          </w:tcPr>
          <w:p w14:paraId="3F49F0E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ABC transporter, ATP-binding protein</w:t>
            </w:r>
          </w:p>
        </w:tc>
        <w:tc>
          <w:tcPr>
            <w:tcW w:w="1952" w:type="dxa"/>
            <w:tcBorders>
              <w:top w:val="nil"/>
              <w:left w:val="nil"/>
              <w:bottom w:val="nil"/>
              <w:right w:val="nil"/>
            </w:tcBorders>
            <w:shd w:val="clear" w:color="auto" w:fill="auto"/>
            <w:noWrap/>
            <w:hideMark/>
          </w:tcPr>
          <w:p w14:paraId="12AC77D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1.67</w:t>
            </w:r>
          </w:p>
        </w:tc>
      </w:tr>
      <w:tr w:rsidR="00436CD0" w:rsidRPr="00C44D8C" w14:paraId="372D56B9" w14:textId="77777777" w:rsidTr="00436CD0">
        <w:trPr>
          <w:trHeight w:val="290"/>
        </w:trPr>
        <w:tc>
          <w:tcPr>
            <w:tcW w:w="1561" w:type="dxa"/>
            <w:tcBorders>
              <w:top w:val="nil"/>
              <w:left w:val="nil"/>
              <w:bottom w:val="nil"/>
              <w:right w:val="nil"/>
            </w:tcBorders>
            <w:shd w:val="clear" w:color="auto" w:fill="auto"/>
            <w:noWrap/>
            <w:hideMark/>
          </w:tcPr>
          <w:p w14:paraId="6706289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Mbar_A0851</w:t>
            </w:r>
          </w:p>
        </w:tc>
        <w:tc>
          <w:tcPr>
            <w:tcW w:w="4959" w:type="dxa"/>
            <w:tcBorders>
              <w:top w:val="nil"/>
              <w:left w:val="nil"/>
              <w:bottom w:val="nil"/>
              <w:right w:val="nil"/>
            </w:tcBorders>
            <w:shd w:val="clear" w:color="auto" w:fill="auto"/>
            <w:noWrap/>
            <w:hideMark/>
          </w:tcPr>
          <w:p w14:paraId="724F159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Protein-export membrane protein SecD</w:t>
            </w:r>
          </w:p>
        </w:tc>
        <w:tc>
          <w:tcPr>
            <w:tcW w:w="1952" w:type="dxa"/>
            <w:tcBorders>
              <w:top w:val="nil"/>
              <w:left w:val="nil"/>
              <w:bottom w:val="nil"/>
              <w:right w:val="nil"/>
            </w:tcBorders>
            <w:shd w:val="clear" w:color="auto" w:fill="auto"/>
            <w:noWrap/>
            <w:hideMark/>
          </w:tcPr>
          <w:p w14:paraId="5EFD518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2.25</w:t>
            </w:r>
          </w:p>
        </w:tc>
      </w:tr>
      <w:tr w:rsidR="00436CD0" w:rsidRPr="00C44D8C" w14:paraId="6F18B1A9" w14:textId="77777777" w:rsidTr="00436CD0">
        <w:trPr>
          <w:trHeight w:val="290"/>
        </w:trPr>
        <w:tc>
          <w:tcPr>
            <w:tcW w:w="1561" w:type="dxa"/>
            <w:tcBorders>
              <w:top w:val="nil"/>
              <w:left w:val="nil"/>
              <w:bottom w:val="nil"/>
              <w:right w:val="nil"/>
            </w:tcBorders>
            <w:shd w:val="clear" w:color="auto" w:fill="auto"/>
            <w:noWrap/>
            <w:hideMark/>
          </w:tcPr>
          <w:p w14:paraId="6164D74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Mbar_A2548</w:t>
            </w:r>
          </w:p>
        </w:tc>
        <w:tc>
          <w:tcPr>
            <w:tcW w:w="4959" w:type="dxa"/>
            <w:tcBorders>
              <w:top w:val="nil"/>
              <w:left w:val="nil"/>
              <w:bottom w:val="nil"/>
              <w:right w:val="nil"/>
            </w:tcBorders>
            <w:shd w:val="clear" w:color="auto" w:fill="auto"/>
            <w:noWrap/>
            <w:hideMark/>
          </w:tcPr>
          <w:p w14:paraId="74A3204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Sec-independent protein translocase protein TatA</w:t>
            </w:r>
          </w:p>
        </w:tc>
        <w:tc>
          <w:tcPr>
            <w:tcW w:w="1952" w:type="dxa"/>
            <w:tcBorders>
              <w:top w:val="nil"/>
              <w:left w:val="nil"/>
              <w:bottom w:val="nil"/>
              <w:right w:val="nil"/>
            </w:tcBorders>
            <w:shd w:val="clear" w:color="auto" w:fill="auto"/>
            <w:noWrap/>
            <w:hideMark/>
          </w:tcPr>
          <w:p w14:paraId="311AE03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2.17</w:t>
            </w:r>
          </w:p>
        </w:tc>
      </w:tr>
      <w:tr w:rsidR="00436CD0" w:rsidRPr="00C44D8C" w14:paraId="1859EBCB" w14:textId="77777777" w:rsidTr="00436CD0">
        <w:trPr>
          <w:trHeight w:val="290"/>
        </w:trPr>
        <w:tc>
          <w:tcPr>
            <w:tcW w:w="1561" w:type="dxa"/>
            <w:tcBorders>
              <w:top w:val="nil"/>
              <w:left w:val="nil"/>
              <w:right w:val="nil"/>
            </w:tcBorders>
            <w:shd w:val="clear" w:color="auto" w:fill="auto"/>
            <w:noWrap/>
            <w:hideMark/>
          </w:tcPr>
          <w:p w14:paraId="2164A12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Mbar_A1889</w:t>
            </w:r>
          </w:p>
        </w:tc>
        <w:tc>
          <w:tcPr>
            <w:tcW w:w="4959" w:type="dxa"/>
            <w:tcBorders>
              <w:top w:val="nil"/>
              <w:left w:val="nil"/>
              <w:right w:val="nil"/>
            </w:tcBorders>
            <w:shd w:val="clear" w:color="auto" w:fill="auto"/>
            <w:noWrap/>
            <w:hideMark/>
          </w:tcPr>
          <w:p w14:paraId="2C85FE8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P-type copper-transporting ATPase</w:t>
            </w:r>
          </w:p>
        </w:tc>
        <w:tc>
          <w:tcPr>
            <w:tcW w:w="1952" w:type="dxa"/>
            <w:tcBorders>
              <w:top w:val="nil"/>
              <w:left w:val="nil"/>
              <w:right w:val="nil"/>
            </w:tcBorders>
            <w:shd w:val="clear" w:color="auto" w:fill="auto"/>
            <w:noWrap/>
            <w:hideMark/>
          </w:tcPr>
          <w:p w14:paraId="2B813EF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1.84</w:t>
            </w:r>
          </w:p>
        </w:tc>
      </w:tr>
      <w:tr w:rsidR="00436CD0" w:rsidRPr="00C44D8C" w14:paraId="75D7CBB9" w14:textId="77777777" w:rsidTr="00436CD0">
        <w:trPr>
          <w:trHeight w:val="290"/>
        </w:trPr>
        <w:tc>
          <w:tcPr>
            <w:tcW w:w="1561" w:type="dxa"/>
            <w:tcBorders>
              <w:top w:val="nil"/>
              <w:left w:val="nil"/>
              <w:bottom w:val="single" w:sz="4" w:space="0" w:color="auto"/>
              <w:right w:val="nil"/>
            </w:tcBorders>
            <w:shd w:val="clear" w:color="auto" w:fill="auto"/>
            <w:noWrap/>
            <w:hideMark/>
          </w:tcPr>
          <w:p w14:paraId="4CB77E9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Mbar_A2549</w:t>
            </w:r>
          </w:p>
        </w:tc>
        <w:tc>
          <w:tcPr>
            <w:tcW w:w="4959" w:type="dxa"/>
            <w:tcBorders>
              <w:top w:val="nil"/>
              <w:left w:val="nil"/>
              <w:bottom w:val="single" w:sz="4" w:space="0" w:color="auto"/>
              <w:right w:val="nil"/>
            </w:tcBorders>
            <w:shd w:val="clear" w:color="auto" w:fill="auto"/>
            <w:noWrap/>
            <w:hideMark/>
          </w:tcPr>
          <w:p w14:paraId="368081B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Sec-independent protein translocase protein TatA</w:t>
            </w:r>
          </w:p>
        </w:tc>
        <w:tc>
          <w:tcPr>
            <w:tcW w:w="1952" w:type="dxa"/>
            <w:tcBorders>
              <w:top w:val="nil"/>
              <w:left w:val="nil"/>
              <w:bottom w:val="single" w:sz="4" w:space="0" w:color="auto"/>
              <w:right w:val="nil"/>
            </w:tcBorders>
            <w:shd w:val="clear" w:color="auto" w:fill="auto"/>
            <w:noWrap/>
            <w:hideMark/>
          </w:tcPr>
          <w:p w14:paraId="7AFDCE1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bl>
    <w:p w14:paraId="51ADDA40" w14:textId="77777777" w:rsidR="00436CD0" w:rsidRPr="00C44D8C" w:rsidRDefault="00436CD0" w:rsidP="00436CD0">
      <w:pPr>
        <w:spacing w:line="360" w:lineRule="auto"/>
        <w:rPr>
          <w:rFonts w:asciiTheme="minorHAnsi" w:hAnsiTheme="minorHAnsi"/>
          <w:color w:val="000000"/>
          <w:sz w:val="22"/>
          <w:szCs w:val="22"/>
          <w:lang w:eastAsia="en-GB"/>
        </w:rPr>
      </w:pPr>
    </w:p>
    <w:p w14:paraId="159AB66C" w14:textId="78DF1933"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Archaea have a similar chaperonin system to bacteria for the folding of newly synthesised polypeptides and proteins </w:t>
      </w:r>
      <w:r w:rsidR="009C6F0F">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"10.1042/BJ20090999", "ISBN" : "0264-6021", "ISSN" : "1470-8728", "PMID" : "19761441", "abstract" : "The euryarchaeon Methanosarcina acetivorans has no homologues of the first three enzymes that produce the essential methanogenic coenzyme M (2-mercaptoethanesulfonate) in Methanocaldococcus jannaschii. A single M. acetivorans gene was heterologously expressed to produce a functional sulfopyruvate decarboxylase protein, the fourth canonical enzyme in this biosynthetic pathway. An adjacent gene, at locus MA3297, encodes one of the organism's two threonine synthase homologues. When both paralogues from this organism were expressed in an Escherichia coli threonine synthase mutant, the MA1610 gene complemented the thrC mutation, whereas the MA3297 gene did not. Both PLP (pyridoxal 5'-phosphate)-dependent proteins were heterologously expressed and purified, but only the MA1610 protein catalysed the canonical threonine synthase reaction. The MA3297 protein specifically catalysed a new beta-replacement reaction that converted L-phosphoserine and sulfite into L-cysteate and inorganic phosphate. This oxygen-independent mode of sulfonate biosynthesis exploits the facile nucleophilic addition of sulfite to an alpha,beta-unsaturated intermediate (PLP-bound dehydroalanine). An amino acid sequence comparison indicates that cysteate synthase evolved from an ancestral threonine synthase through gene duplication, and the remodelling of active site loop regions by amino acid insertion and substitutions. The cysteate product can be converted into sulfopyruvate by an aspartate aminotransferase enzyme, establishing a new convergent pathway for coenzyme M biosynthesis that appears to function in members of the orders Methanosarcinales and Methanomicrobiales. These differences in coenzyme M biosynthesis afford the opportunity to develop methanogen inhibitors that discriminate between the classes of methanogenic archaea.", "author" : [ { "dropping-particle" : "", "family" : "Graham", "given" : "David E", "non-dropping-particle" : "", "parse-names" : false, "suffix" : "" }, { "dropping-particle" : "", "family" : "Taylor", "given" : "Stephanie M", "non-dropping-particle" : "", "parse-names" : false, "suffix" : "" }, { "dropping-particle" : "", "family" : "Wolf", "given" : "Rachel Z", "non-dropping-particle" : "", "parse-names" : false, "suffix" : "" }, { "dropping-particle" : "", "family" : "Namboori", "given" : "Seema C", "non-dropping-particle" : "", "parse-names" : false, "suffix" : "" } ], "container-title" : "The Biochemical journal", "id" : "ITEM-1", "issue" : "3", "issued" : { "date-parts" : [ [ "2009" ] ] }, "page" : "467-78", "title" : "Convergent evolution of coenzyme M biosynthesis in the Methanosarcinales: cysteate synthase evolved from an ancestral threonine synthase.", "type" : "article-journal", "volume" : "424" }, "uris" : [ "http://www.mendeley.com/documents/?uuid=7b461742-ba77-4b21-8bfb-21cb3cf3d5ca" ] } ], "mendeley" : { "formattedCitation" : "[202]", "plainTextFormattedCitation" : "[202]", "previouslyFormattedCitation" : "[202]"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[202]</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The heat shock protein 70 (DnaK) system ensures that newly synthesised nascent polypeptides do not aggregate before or after translation, and are finally folded by the GroEL/GroS system </w:t>
      </w:r>
      <w:r w:rsidR="009C6F0F">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"10.1007/s10295-006-0114-3", "ISBN" : "1367-5435", "ISSN" : "13675435", "PMID" : "16604357", "abstract" : "Methanosarcina barkeri is a methanogenic archaeon that can digest cellulose and other polysaccharides to produce methane. It can only grow under strictly anoxic conditions, but which can survive air exposure. To obtain further knowledge of cellular changes occurring in M. barkeri in response to air exposure and other environmental stresses, we constructed the first oligonucleotide microarray for M. barkeri and used it to investigate the global transcriptomic responses of M. barkeri to air exposure and heat shock at 45 degrees C for 1 h. The results showed that various house-keeping genes, such as genes involved in DNA replication recombination and repair, energy production and conversion, and protein turnover were regulated by environmental stimuli. In response to air exposure, up-regulation of a large number of transposase encoding genes was observed. However, no differential expression of genes encoding superoxide dismutase, catalase, nonspecific peroxidases or thioredoxin reductase was observed in response to air exposure, implying that no significant level of reactive oxygen species has been formed under air exposure. In response to heat shock, both Hsp70 (DnaK-DnaJ-GrpE chaperone system) the Hsp60 (GroEL) systems were up-regulated, suggesting that they may play an important role in protein biogenesis in M. barkeri during heat stress.", "author" : [ { "dropping-particle" : "", "family" : "Zhang", "given" : "Weiwen", "non-dropping-particle" : "", "parse-names" : false, "suffix" : "" }, { "dropping-particle" : "", "family" : "Culley", "given" : "David E.", "non-dropping-particle" : "", "parse-names" : false, "suffix" : "" }, { "dropping-particle" : "", "family" : "Nie", "given" : "Lei", "non-dropping-particle" : "", "parse-names" : false, "suffix" : "" }, { "dropping-particle" : "", "family" : "Brockman", "given" : "Fred J.", "non-dropping-particle" : "", "parse-names" : false, "suffix" : "" } ], "container-title" : "Journal of Industrial Microbiology and Biotechnology", "id" : "ITEM-1", "issued" : { "date-parts" : [ [ "2006" ] ] }, "page" : "784-790", "title" : "DNA microarray analysis of anaerobic Methanosarcina barkeri reveals responses to heat shock and air exposure", "type" : "article-journal", "volume" : "33" }, "uris" : [ "http://www.mendeley.com/documents/?uuid=8ac1869d-62df-4da7-bbe7-77279d5c403e" ] }, { "id" : "ITEM-2", "itemData" : { "abstract" : "Protein folding in the cell requires molecular chaperones. The chaperone proteins of the hsp70 and hsp60 (chaperonin) classes stabilize unfolded or partially folded polypeptides, thereby preventing aggregation, and mediate folding to the native state in ATP-dependent reactions. Recent advances include a more detailed understanding of the mechanistic principles of hsp70 and hsp60 action, the solution of the crystal structure of the chaperonin GroEL, and the definition of pathways of chaperone-mediated protein folding.", "author" : [ { "dropping-particle" : "", "family" : "Hartl", "given" : "F Ulrich", "non-dropping-particle" : "", "parse-names" : false, "suffix" : "" }, { "dropping-particle" : "", "family" : "Martin", "given" : "Jsrg", "non-dropping-particle" : "", "parse-names" : false, "suffix" : "" } ], "container-title" : "Current Opinion in Structural Biology", "id" : "ITEM-2", "issued" : { "date-parts" : [ [ "1995" ] ] }, "page" : "92-102", "title" : "Molecular chaperones in cellular protein folding", "type" : "article-journal", "volume" : "5" }, "uris" : [ "http://www.mendeley.com/documents/?uuid=23f6023c-ef7d-36c5-affe-ba8b74747927" ] } ], "mendeley" : { "formattedCitation" : "[223,226]", "plainTextFormattedCitation" : "[223,226]", "previouslyFormattedCitation" : "[223,226]"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[223,226]</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In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there was an observed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heat shock protein 70 (Mbar_A3433), GroEL protein (Mbar_A1543) and GroES protein (Mbar_A1542) chaperonins, as well as other chaperonins for protein folding, such as heat shock protein 20 (Mbar_A3433, Mbar_A0859). </w:t>
      </w:r>
    </w:p>
    <w:p w14:paraId="6B5519A9" w14:textId="21D6B862"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color w:val="000000"/>
          <w:sz w:val="22"/>
          <w:szCs w:val="22"/>
          <w:lang w:eastAsia="en-GB"/>
        </w:rPr>
        <w:t xml:space="preserve">Furthermore, peptidyl-prolyl cis-trans isomerase (Mbar_A2249) and a nascent polypeptide-associated complex protein (Mbar_A3650) were also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These proteins are also involved in the folding of newly synthesised proteins and polypeptides </w:t>
      </w:r>
      <w:r w:rsidR="009C6F0F">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"10.1016/j.mib.2005.10.006", "ISBN" : "1369-5274 (Print)\\r1369-5274 (Linking)", "ISSN" : "13695274", "PMID" : "16257258", "abstract" : "The transport of proteins into and across hydrophobic membranes is an essential cellular process. The majority of proteins that are translocated in an unfolded conformation traverse the membrane by way of the universally conserved Sec pathway, whereas the twin arginine translocation pathway is responsible for the transport of folded proteins across the membrane. Structural, biochemical and genetic analyses of these processes in Archaea have revealed unique archaeal features, and have also provided a better understanding of these pathways in organisms of all domains. Further study of these pathways in Archaea might elucidate fundamental principles involved in each type of transport and could help determine their relative costs and benefits as well as evolutionary adaptations in protein secretion strategies. \u00a9 2005 Elsevier Ltd. All rights reserved.", "author" : [ { "dropping-particle" : "", "family" : "Pohlschr\u00f6der", "given" : "Mechthild", "non-dropping-particle" : "", "parse-names" : false, "suffix" : "" }, { "dropping-particle" : "", "family" : "Gim\u00e9nez", "given" : "M. I.", "non-dropping-particle" : "", "parse-names" : false, "suffix" : "" }, { "dropping-particle" : "", "family" : "Jarrell", "given" : "Ken F.", "non-dropping-particle" : "", "parse-names" : false, "suffix" : "" } ], "container-title" : "Current Opinion in Microbiology", "id" : "ITEM-1", "issue" : "6", "issued" : { "date-parts" : [ [ "2005" ] ] }, "page" : "713-719", "title" : "Protein transport in Archaea: Sec and twin arginine translocation pathways", "type" : "article-journal", "volume" : "8" }, "uris" : [ "http://www.mendeley.com/documents/?uuid=86791c51-61a4-47dd-a061-c33ac9008714" ] } ], "mendeley" : { "formattedCitation" : "[216]", "plainTextFormattedCitation" : "[216]", "previouslyFormattedCitation" : "[216]"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[216]</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Their expression in response to attachment to PVC could suggest a necessity for elevated levels of protein synthesis to keep up with increased growth rates as cells grow and irreversibly attach to PVC as a biofilm. </w:t>
      </w:r>
    </w:p>
    <w:p w14:paraId="3AC64CB9" w14:textId="4E3958ED"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In association with the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various proteins involved in the folding of newly synthesised proteins and polypeptides, was the</w:t>
      </w:r>
      <w:r w:rsidR="00BA6EB9">
        <w:rPr>
          <w:rFonts w:asciiTheme="minorHAnsi" w:hAnsiTheme="minorHAnsi"/>
          <w:color w:val="000000"/>
          <w:sz w:val="22"/>
          <w:szCs w:val="22"/>
          <w:lang w:eastAsia="en-GB"/>
        </w:rPr>
        <w:t xml:space="preserve"> higher relative abundance</w:t>
      </w:r>
      <w:r w:rsidRPr="00C44D8C">
        <w:rPr>
          <w:rFonts w:asciiTheme="minorHAnsi" w:hAnsiTheme="minorHAnsi"/>
          <w:color w:val="000000"/>
          <w:sz w:val="22"/>
          <w:szCs w:val="22"/>
          <w:lang w:eastAsia="en-GB"/>
        </w:rPr>
        <w:t xml:space="preserve"> of numerous transmembrane enzymes specific for protein export across the cytoplasmic membrane (Table 5.5) in cells attached to PVC. The ability to transport proteins across membranes is vital for cell viability and is regulated by the external environment </w:t>
      </w:r>
      <w:r w:rsidR="009C6F0F">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"10.1155/2010/608243", "ISBN" : "1472-3654 (Electronic)", "ISSN" : "14723646", "PMID" : "20671907", "abstract" : "Although archaea have a similar cellular organization as other prokaryotes, the lipid composition of their membranes and their cell surface is unique. Here we discuss recent developments in our understanding of the archaeal protein secretion mechanisms, the assembly of macromolecular cell surface structures, and the release of S-layer-coated vesicles from the archaeal membrane.", "author" : [ { "dropping-particle" : "", "family" : "Ellen", "given" : "Albert F.", "non-dropping-particle" : "", "parse-names" : false, "suffix" : "" }, { "dropping-particle" : "", "family" : "Zolghadr", "given" : "Behnam", "non-dropping-particle" : "", "parse-names" : false, "suffix" : "" }, { "dropping-particle" : "", "family" : "Driessen", "given" : "Arnold M J", "non-dropping-particle" : "", "parse-names" : false, "suffix" : "" }, { "dropping-particle" : "", "family" : "Albers", "given" : "Sonja Verena", "non-dropping-particle" : "", "parse-names" : false, "suffix" : "" } ], "container-title" : "Archaea", "id" : "ITEM-1", "issued" : { "date-parts" : [ [ "2010" ] ] }, "page" : "1-13", "title" : "Shaping the archaeal cell envelope", "type" : "article-journal" }, "uris" : [ "http://www.mendeley.com/documents/?uuid=61938022-9e1a-38e1-87c9-1cd208c0acd4" ] } ], "mendeley" : { "formattedCitation" : "[217]", "plainTextFormattedCitation" : "[217]", "previouslyFormattedCitation" : "[217]"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[217]</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Various ABC transporters and Sec proteins for translocation were </w:t>
      </w:r>
      <w:r w:rsidR="003D18AD">
        <w:rPr>
          <w:rFonts w:asciiTheme="minorHAnsi" w:hAnsiTheme="minorHAnsi"/>
          <w:color w:val="000000"/>
          <w:sz w:val="22"/>
          <w:szCs w:val="22"/>
          <w:lang w:eastAsia="en-GB"/>
        </w:rPr>
        <w:t>found in</w:t>
      </w:r>
      <w:r w:rsidR="003D18AD"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two-fold</w:t>
      </w:r>
      <w:r w:rsidR="003D18AD">
        <w:rPr>
          <w:rFonts w:asciiTheme="minorHAnsi" w:hAnsiTheme="minorHAnsi"/>
          <w:color w:val="000000"/>
          <w:sz w:val="22"/>
          <w:szCs w:val="22"/>
          <w:lang w:eastAsia="en-GB"/>
        </w:rPr>
        <w:t xml:space="preserve"> higher levels of abundance</w:t>
      </w:r>
      <w:r w:rsidRPr="00C44D8C">
        <w:rPr>
          <w:rFonts w:asciiTheme="minorHAnsi" w:hAnsiTheme="minorHAnsi"/>
          <w:color w:val="000000"/>
          <w:sz w:val="22"/>
          <w:szCs w:val="22"/>
          <w:lang w:eastAsia="en-GB"/>
        </w:rPr>
        <w:t xml:space="preserve">. Therefore, the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numerous protein and polypeptide folding and transport proteins in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suggests an important role of these proteins in the production and secretion of EPS and biofilm components during biofilm formation on PVC. </w:t>
      </w:r>
    </w:p>
    <w:p w14:paraId="647A3770" w14:textId="77777777" w:rsidR="00436CD0" w:rsidRPr="00C44D8C" w:rsidRDefault="00436CD0" w:rsidP="00436CD0">
      <w:pPr>
        <w:spacing w:line="360" w:lineRule="auto"/>
        <w:rPr>
          <w:rFonts w:asciiTheme="minorHAnsi" w:hAnsiTheme="minorHAnsi"/>
          <w:sz w:val="22"/>
          <w:szCs w:val="22"/>
          <w:lang w:eastAsia="en-GB"/>
        </w:rPr>
      </w:pPr>
    </w:p>
    <w:p w14:paraId="3FADA28C" w14:textId="77777777" w:rsidR="00436CD0" w:rsidRPr="00C44D8C" w:rsidRDefault="00436CD0" w:rsidP="002B29E5">
      <w:pPr>
        <w:pStyle w:val="Heading7"/>
        <w:rPr>
          <w:lang w:eastAsia="en-GB"/>
        </w:rPr>
      </w:pPr>
      <w:bookmarkStart w:id="155" w:name="_Toc462575364"/>
      <w:r w:rsidRPr="00C44D8C">
        <w:rPr>
          <w:lang w:eastAsia="en-GB"/>
        </w:rPr>
        <w:t>5.3.5.6. Metabolism</w:t>
      </w:r>
      <w:bookmarkEnd w:id="155"/>
    </w:p>
    <w:p w14:paraId="0341AD0E" w14:textId="13CADBA3"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 large abundance of proteins (comprising 32% of the identified proteome in this study) involved in central metabolic processes for amino acid, lipid, nucleotide, energy and cofactor transport and synthesis were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cells attached to PVC compared to PETG. These proteins can be seen in Table 5.6. </w:t>
      </w:r>
    </w:p>
    <w:p w14:paraId="3EE0C4D3" w14:textId="77777777" w:rsidR="00436CD0" w:rsidRDefault="00436CD0" w:rsidP="00436CD0">
      <w:pPr>
        <w:spacing w:line="360" w:lineRule="auto"/>
        <w:rPr>
          <w:rFonts w:asciiTheme="minorHAnsi" w:hAnsiTheme="minorHAnsi"/>
          <w:color w:val="000000"/>
          <w:sz w:val="22"/>
          <w:szCs w:val="22"/>
          <w:lang w:eastAsia="en-GB"/>
        </w:rPr>
      </w:pPr>
    </w:p>
    <w:p w14:paraId="6007940D" w14:textId="77777777" w:rsidR="009C6F0F" w:rsidRDefault="009C6F0F" w:rsidP="00436CD0">
      <w:pPr>
        <w:spacing w:line="360" w:lineRule="auto"/>
        <w:rPr>
          <w:rFonts w:asciiTheme="minorHAnsi" w:hAnsiTheme="minorHAnsi"/>
          <w:color w:val="000000"/>
          <w:sz w:val="22"/>
          <w:szCs w:val="22"/>
          <w:lang w:eastAsia="en-GB"/>
        </w:rPr>
      </w:pPr>
    </w:p>
    <w:p w14:paraId="1DC7A4DF" w14:textId="77777777" w:rsidR="009C6F0F" w:rsidRDefault="009C6F0F" w:rsidP="00436CD0">
      <w:pPr>
        <w:spacing w:line="360" w:lineRule="auto"/>
        <w:rPr>
          <w:rFonts w:asciiTheme="minorHAnsi" w:hAnsiTheme="minorHAnsi"/>
          <w:color w:val="000000"/>
          <w:sz w:val="22"/>
          <w:szCs w:val="22"/>
          <w:lang w:eastAsia="en-GB"/>
        </w:rPr>
      </w:pPr>
    </w:p>
    <w:p w14:paraId="0F0CB2F1" w14:textId="77777777" w:rsidR="009C6F0F" w:rsidRDefault="009C6F0F" w:rsidP="00436CD0">
      <w:pPr>
        <w:spacing w:line="360" w:lineRule="auto"/>
        <w:rPr>
          <w:rFonts w:asciiTheme="minorHAnsi" w:hAnsiTheme="minorHAnsi"/>
          <w:color w:val="000000"/>
          <w:sz w:val="22"/>
          <w:szCs w:val="22"/>
          <w:lang w:eastAsia="en-GB"/>
        </w:rPr>
      </w:pPr>
    </w:p>
    <w:p w14:paraId="7539764E" w14:textId="77777777" w:rsidR="009C6F0F" w:rsidRDefault="009C6F0F" w:rsidP="00436CD0">
      <w:pPr>
        <w:spacing w:line="360" w:lineRule="auto"/>
        <w:rPr>
          <w:rFonts w:asciiTheme="minorHAnsi" w:hAnsiTheme="minorHAnsi"/>
          <w:color w:val="000000"/>
          <w:sz w:val="22"/>
          <w:szCs w:val="22"/>
          <w:lang w:eastAsia="en-GB"/>
        </w:rPr>
      </w:pPr>
    </w:p>
    <w:p w14:paraId="387C755D" w14:textId="77777777" w:rsidR="009C6F0F" w:rsidRDefault="009C6F0F" w:rsidP="00436CD0">
      <w:pPr>
        <w:spacing w:line="360" w:lineRule="auto"/>
        <w:rPr>
          <w:rFonts w:asciiTheme="minorHAnsi" w:hAnsiTheme="minorHAnsi"/>
          <w:color w:val="000000"/>
          <w:sz w:val="22"/>
          <w:szCs w:val="22"/>
          <w:lang w:eastAsia="en-GB"/>
        </w:rPr>
      </w:pPr>
    </w:p>
    <w:p w14:paraId="4FEBAFA1" w14:textId="6858B648"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b/>
          <w:color w:val="000000"/>
          <w:sz w:val="22"/>
          <w:szCs w:val="22"/>
          <w:lang w:eastAsia="en-GB"/>
        </w:rPr>
        <w:t xml:space="preserve">Table 5.6 </w:t>
      </w:r>
      <w:r w:rsidRPr="00C44D8C">
        <w:rPr>
          <w:rFonts w:asciiTheme="minorHAnsi" w:hAnsiTheme="minorHAnsi"/>
          <w:color w:val="000000"/>
          <w:sz w:val="22"/>
          <w:szCs w:val="22"/>
          <w:lang w:eastAsia="en-GB"/>
        </w:rPr>
        <w:t xml:space="preserve">Proteins involved in metabolism and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on PVC with significant fold change (p ≤ 0.05).</w:t>
      </w:r>
    </w:p>
    <w:tbl>
      <w:tblPr>
        <w:tblW w:w="4695" w:type="pct"/>
        <w:tblLayout w:type="fixed"/>
        <w:tblLook w:val="04A0" w:firstRow="1" w:lastRow="0" w:firstColumn="1" w:lastColumn="0" w:noHBand="0" w:noVBand="1"/>
      </w:tblPr>
      <w:tblGrid>
        <w:gridCol w:w="1507"/>
        <w:gridCol w:w="4795"/>
        <w:gridCol w:w="1417"/>
      </w:tblGrid>
      <w:tr w:rsidR="00436CD0" w:rsidRPr="00C44D8C" w14:paraId="15357012" w14:textId="77777777" w:rsidTr="002B29E5">
        <w:trPr>
          <w:trHeight w:val="310"/>
        </w:trPr>
        <w:tc>
          <w:tcPr>
            <w:tcW w:w="976" w:type="pct"/>
            <w:tcBorders>
              <w:top w:val="nil"/>
              <w:left w:val="nil"/>
              <w:bottom w:val="single" w:sz="4" w:space="0" w:color="auto"/>
              <w:right w:val="nil"/>
            </w:tcBorders>
            <w:shd w:val="clear" w:color="auto" w:fill="auto"/>
            <w:hideMark/>
          </w:tcPr>
          <w:p w14:paraId="1FBD8E01"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Loci</w:t>
            </w:r>
          </w:p>
        </w:tc>
        <w:tc>
          <w:tcPr>
            <w:tcW w:w="3106" w:type="pct"/>
            <w:tcBorders>
              <w:top w:val="nil"/>
              <w:left w:val="nil"/>
              <w:bottom w:val="single" w:sz="4" w:space="0" w:color="auto"/>
              <w:right w:val="nil"/>
            </w:tcBorders>
            <w:shd w:val="clear" w:color="auto" w:fill="auto"/>
            <w:hideMark/>
          </w:tcPr>
          <w:p w14:paraId="45FD8006"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Protein</w:t>
            </w:r>
          </w:p>
        </w:tc>
        <w:tc>
          <w:tcPr>
            <w:tcW w:w="918" w:type="pct"/>
            <w:tcBorders>
              <w:top w:val="nil"/>
              <w:left w:val="nil"/>
              <w:bottom w:val="single" w:sz="4" w:space="0" w:color="auto"/>
              <w:right w:val="nil"/>
            </w:tcBorders>
            <w:shd w:val="clear" w:color="auto" w:fill="auto"/>
            <w:hideMark/>
          </w:tcPr>
          <w:p w14:paraId="292540D8" w14:textId="77777777" w:rsidR="00436CD0" w:rsidRPr="00C44D8C" w:rsidRDefault="00436CD0" w:rsidP="00436CD0">
            <w:pPr>
              <w:rPr>
                <w:rFonts w:asciiTheme="minorHAnsi" w:hAnsiTheme="minorHAnsi"/>
                <w:b/>
                <w:bCs/>
                <w:color w:val="000000"/>
                <w:sz w:val="22"/>
                <w:szCs w:val="22"/>
                <w:lang w:eastAsia="en-GB"/>
              </w:rPr>
            </w:pPr>
            <w:r w:rsidRPr="00C44D8C">
              <w:rPr>
                <w:rFonts w:asciiTheme="minorHAnsi" w:hAnsiTheme="minorHAnsi"/>
                <w:b/>
                <w:bCs/>
                <w:color w:val="000000"/>
                <w:sz w:val="22"/>
                <w:szCs w:val="22"/>
                <w:lang w:eastAsia="en-GB"/>
              </w:rPr>
              <w:t>Fold change</w:t>
            </w:r>
          </w:p>
        </w:tc>
      </w:tr>
      <w:tr w:rsidR="00436CD0" w:rsidRPr="00C44D8C" w14:paraId="6251D5ED" w14:textId="77777777" w:rsidTr="002B29E5">
        <w:trPr>
          <w:trHeight w:val="310"/>
        </w:trPr>
        <w:tc>
          <w:tcPr>
            <w:tcW w:w="5000" w:type="pct"/>
            <w:gridSpan w:val="3"/>
            <w:tcBorders>
              <w:top w:val="single" w:sz="4" w:space="0" w:color="auto"/>
              <w:bottom w:val="nil"/>
              <w:right w:val="nil"/>
            </w:tcBorders>
            <w:shd w:val="clear" w:color="auto" w:fill="auto"/>
            <w:noWrap/>
            <w:hideMark/>
          </w:tcPr>
          <w:p w14:paraId="3E190E99"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Amino acid transport and metabolism</w:t>
            </w:r>
          </w:p>
        </w:tc>
      </w:tr>
      <w:tr w:rsidR="00436CD0" w:rsidRPr="00C44D8C" w14:paraId="41EF46D7" w14:textId="77777777" w:rsidTr="00436CD0">
        <w:trPr>
          <w:trHeight w:val="290"/>
        </w:trPr>
        <w:tc>
          <w:tcPr>
            <w:tcW w:w="976" w:type="pct"/>
            <w:tcBorders>
              <w:top w:val="nil"/>
              <w:left w:val="nil"/>
              <w:bottom w:val="nil"/>
              <w:right w:val="nil"/>
            </w:tcBorders>
            <w:shd w:val="clear" w:color="auto" w:fill="auto"/>
            <w:noWrap/>
            <w:hideMark/>
          </w:tcPr>
          <w:p w14:paraId="7888D6D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Mbar_A1100</w:t>
            </w:r>
          </w:p>
        </w:tc>
        <w:tc>
          <w:tcPr>
            <w:tcW w:w="3106" w:type="pct"/>
            <w:tcBorders>
              <w:top w:val="nil"/>
              <w:left w:val="nil"/>
              <w:bottom w:val="nil"/>
              <w:right w:val="nil"/>
            </w:tcBorders>
            <w:shd w:val="clear" w:color="auto" w:fill="auto"/>
            <w:noWrap/>
            <w:hideMark/>
          </w:tcPr>
          <w:p w14:paraId="34A6C59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Phosphoribosylformimino-5-aminoimidazole carboxamide ribotide isomerase</w:t>
            </w:r>
          </w:p>
        </w:tc>
        <w:tc>
          <w:tcPr>
            <w:tcW w:w="918" w:type="pct"/>
            <w:tcBorders>
              <w:top w:val="nil"/>
              <w:left w:val="nil"/>
              <w:bottom w:val="nil"/>
              <w:right w:val="nil"/>
            </w:tcBorders>
            <w:shd w:val="clear" w:color="auto" w:fill="auto"/>
            <w:noWrap/>
            <w:hideMark/>
          </w:tcPr>
          <w:p w14:paraId="7CF79A8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2.47</w:t>
            </w:r>
          </w:p>
        </w:tc>
      </w:tr>
      <w:tr w:rsidR="00436CD0" w:rsidRPr="00C44D8C" w14:paraId="2902A479" w14:textId="77777777" w:rsidTr="00436CD0">
        <w:trPr>
          <w:trHeight w:val="290"/>
        </w:trPr>
        <w:tc>
          <w:tcPr>
            <w:tcW w:w="976" w:type="pct"/>
            <w:tcBorders>
              <w:top w:val="nil"/>
              <w:left w:val="nil"/>
              <w:bottom w:val="nil"/>
              <w:right w:val="nil"/>
            </w:tcBorders>
            <w:shd w:val="clear" w:color="auto" w:fill="auto"/>
            <w:noWrap/>
            <w:hideMark/>
          </w:tcPr>
          <w:p w14:paraId="137D893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Mbar_A2320</w:t>
            </w:r>
          </w:p>
        </w:tc>
        <w:tc>
          <w:tcPr>
            <w:tcW w:w="3106" w:type="pct"/>
            <w:tcBorders>
              <w:top w:val="nil"/>
              <w:left w:val="nil"/>
              <w:bottom w:val="nil"/>
              <w:right w:val="nil"/>
            </w:tcBorders>
            <w:shd w:val="clear" w:color="auto" w:fill="auto"/>
            <w:noWrap/>
            <w:hideMark/>
          </w:tcPr>
          <w:p w14:paraId="5206A88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NH(3)-dependent NAD(+) synthetase </w:t>
            </w:r>
          </w:p>
        </w:tc>
        <w:tc>
          <w:tcPr>
            <w:tcW w:w="918" w:type="pct"/>
            <w:tcBorders>
              <w:top w:val="nil"/>
              <w:left w:val="nil"/>
              <w:bottom w:val="nil"/>
              <w:right w:val="nil"/>
            </w:tcBorders>
            <w:shd w:val="clear" w:color="auto" w:fill="auto"/>
            <w:noWrap/>
            <w:hideMark/>
          </w:tcPr>
          <w:p w14:paraId="647CF65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2.40</w:t>
            </w:r>
          </w:p>
        </w:tc>
      </w:tr>
      <w:tr w:rsidR="00436CD0" w:rsidRPr="00C44D8C" w14:paraId="444F1CB9" w14:textId="77777777" w:rsidTr="00436CD0">
        <w:trPr>
          <w:trHeight w:val="290"/>
        </w:trPr>
        <w:tc>
          <w:tcPr>
            <w:tcW w:w="976" w:type="pct"/>
            <w:tcBorders>
              <w:top w:val="nil"/>
              <w:left w:val="nil"/>
              <w:bottom w:val="nil"/>
              <w:right w:val="nil"/>
            </w:tcBorders>
            <w:shd w:val="clear" w:color="auto" w:fill="auto"/>
            <w:noWrap/>
            <w:hideMark/>
          </w:tcPr>
          <w:p w14:paraId="656C730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Mbar_A1514</w:t>
            </w:r>
          </w:p>
        </w:tc>
        <w:tc>
          <w:tcPr>
            <w:tcW w:w="3106" w:type="pct"/>
            <w:tcBorders>
              <w:top w:val="nil"/>
              <w:left w:val="nil"/>
              <w:bottom w:val="nil"/>
              <w:right w:val="nil"/>
            </w:tcBorders>
            <w:shd w:val="clear" w:color="auto" w:fill="auto"/>
            <w:noWrap/>
            <w:hideMark/>
          </w:tcPr>
          <w:p w14:paraId="0C85887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Imidazole glycerol phosphate synthase subunit HisF subunit HisF)</w:t>
            </w:r>
          </w:p>
        </w:tc>
        <w:tc>
          <w:tcPr>
            <w:tcW w:w="918" w:type="pct"/>
            <w:tcBorders>
              <w:top w:val="nil"/>
              <w:left w:val="nil"/>
              <w:bottom w:val="nil"/>
              <w:right w:val="nil"/>
            </w:tcBorders>
            <w:shd w:val="clear" w:color="auto" w:fill="auto"/>
            <w:noWrap/>
            <w:hideMark/>
          </w:tcPr>
          <w:p w14:paraId="79D03A0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2.25</w:t>
            </w:r>
          </w:p>
        </w:tc>
      </w:tr>
      <w:tr w:rsidR="00436CD0" w:rsidRPr="00C44D8C" w14:paraId="26B48ABF" w14:textId="77777777" w:rsidTr="00436CD0">
        <w:trPr>
          <w:trHeight w:val="290"/>
        </w:trPr>
        <w:tc>
          <w:tcPr>
            <w:tcW w:w="976" w:type="pct"/>
            <w:tcBorders>
              <w:top w:val="nil"/>
              <w:left w:val="nil"/>
              <w:bottom w:val="nil"/>
              <w:right w:val="nil"/>
            </w:tcBorders>
            <w:shd w:val="clear" w:color="auto" w:fill="auto"/>
            <w:noWrap/>
            <w:hideMark/>
          </w:tcPr>
          <w:p w14:paraId="2A0DBA8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Mbar_A0753</w:t>
            </w:r>
          </w:p>
        </w:tc>
        <w:tc>
          <w:tcPr>
            <w:tcW w:w="3106" w:type="pct"/>
            <w:tcBorders>
              <w:top w:val="nil"/>
              <w:left w:val="nil"/>
              <w:bottom w:val="nil"/>
              <w:right w:val="nil"/>
            </w:tcBorders>
            <w:shd w:val="clear" w:color="auto" w:fill="auto"/>
            <w:noWrap/>
            <w:hideMark/>
          </w:tcPr>
          <w:p w14:paraId="6BBA88C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2-amino-3,7-dideoxy-D-threo-hept-6-ulosonate synthase </w:t>
            </w:r>
          </w:p>
        </w:tc>
        <w:tc>
          <w:tcPr>
            <w:tcW w:w="918" w:type="pct"/>
            <w:tcBorders>
              <w:top w:val="nil"/>
              <w:left w:val="nil"/>
              <w:bottom w:val="nil"/>
              <w:right w:val="nil"/>
            </w:tcBorders>
            <w:shd w:val="clear" w:color="auto" w:fill="auto"/>
            <w:noWrap/>
            <w:hideMark/>
          </w:tcPr>
          <w:p w14:paraId="6E1E97D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2.23</w:t>
            </w:r>
          </w:p>
        </w:tc>
      </w:tr>
      <w:tr w:rsidR="00436CD0" w:rsidRPr="00C44D8C" w14:paraId="6F462D93" w14:textId="77777777" w:rsidTr="00436CD0">
        <w:trPr>
          <w:trHeight w:val="290"/>
        </w:trPr>
        <w:tc>
          <w:tcPr>
            <w:tcW w:w="976" w:type="pct"/>
            <w:tcBorders>
              <w:top w:val="nil"/>
              <w:left w:val="nil"/>
              <w:bottom w:val="nil"/>
              <w:right w:val="nil"/>
            </w:tcBorders>
            <w:shd w:val="clear" w:color="auto" w:fill="auto"/>
            <w:noWrap/>
            <w:hideMark/>
          </w:tcPr>
          <w:p w14:paraId="773B814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Mbar_A0921</w:t>
            </w:r>
          </w:p>
        </w:tc>
        <w:tc>
          <w:tcPr>
            <w:tcW w:w="3106" w:type="pct"/>
            <w:tcBorders>
              <w:top w:val="nil"/>
              <w:left w:val="nil"/>
              <w:bottom w:val="nil"/>
              <w:right w:val="nil"/>
            </w:tcBorders>
            <w:shd w:val="clear" w:color="auto" w:fill="auto"/>
            <w:noWrap/>
            <w:hideMark/>
          </w:tcPr>
          <w:p w14:paraId="40DC3E7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3-dehydroquinate synthase </w:t>
            </w:r>
          </w:p>
        </w:tc>
        <w:tc>
          <w:tcPr>
            <w:tcW w:w="918" w:type="pct"/>
            <w:tcBorders>
              <w:top w:val="nil"/>
              <w:left w:val="nil"/>
              <w:bottom w:val="nil"/>
              <w:right w:val="nil"/>
            </w:tcBorders>
            <w:shd w:val="clear" w:color="auto" w:fill="auto"/>
            <w:noWrap/>
            <w:hideMark/>
          </w:tcPr>
          <w:p w14:paraId="5C56213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2.18</w:t>
            </w:r>
          </w:p>
        </w:tc>
      </w:tr>
      <w:tr w:rsidR="00436CD0" w:rsidRPr="00C44D8C" w14:paraId="68D46187" w14:textId="77777777" w:rsidTr="00436CD0">
        <w:trPr>
          <w:trHeight w:val="290"/>
        </w:trPr>
        <w:tc>
          <w:tcPr>
            <w:tcW w:w="976" w:type="pct"/>
            <w:tcBorders>
              <w:top w:val="nil"/>
              <w:left w:val="nil"/>
              <w:bottom w:val="nil"/>
              <w:right w:val="nil"/>
            </w:tcBorders>
            <w:shd w:val="clear" w:color="auto" w:fill="auto"/>
            <w:noWrap/>
            <w:hideMark/>
          </w:tcPr>
          <w:p w14:paraId="724F496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Mbar_A0482</w:t>
            </w:r>
          </w:p>
        </w:tc>
        <w:tc>
          <w:tcPr>
            <w:tcW w:w="3106" w:type="pct"/>
            <w:tcBorders>
              <w:top w:val="nil"/>
              <w:left w:val="nil"/>
              <w:bottom w:val="nil"/>
              <w:right w:val="nil"/>
            </w:tcBorders>
            <w:shd w:val="clear" w:color="auto" w:fill="auto"/>
            <w:noWrap/>
            <w:hideMark/>
          </w:tcPr>
          <w:p w14:paraId="66BED42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Gamma-glutamyl phosphate reductase </w:t>
            </w:r>
          </w:p>
        </w:tc>
        <w:tc>
          <w:tcPr>
            <w:tcW w:w="918" w:type="pct"/>
            <w:tcBorders>
              <w:top w:val="nil"/>
              <w:left w:val="nil"/>
              <w:bottom w:val="nil"/>
              <w:right w:val="nil"/>
            </w:tcBorders>
            <w:shd w:val="clear" w:color="auto" w:fill="auto"/>
            <w:noWrap/>
            <w:hideMark/>
          </w:tcPr>
          <w:p w14:paraId="41DD7B6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2.15</w:t>
            </w:r>
          </w:p>
        </w:tc>
      </w:tr>
      <w:tr w:rsidR="00436CD0" w:rsidRPr="00C44D8C" w14:paraId="38428C05" w14:textId="77777777" w:rsidTr="00436CD0">
        <w:trPr>
          <w:trHeight w:val="290"/>
        </w:trPr>
        <w:tc>
          <w:tcPr>
            <w:tcW w:w="976" w:type="pct"/>
            <w:tcBorders>
              <w:top w:val="nil"/>
              <w:left w:val="nil"/>
              <w:bottom w:val="nil"/>
              <w:right w:val="nil"/>
            </w:tcBorders>
            <w:shd w:val="clear" w:color="auto" w:fill="auto"/>
            <w:noWrap/>
            <w:hideMark/>
          </w:tcPr>
          <w:p w14:paraId="36AE77F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Mbar_A0920</w:t>
            </w:r>
          </w:p>
        </w:tc>
        <w:tc>
          <w:tcPr>
            <w:tcW w:w="3106" w:type="pct"/>
            <w:tcBorders>
              <w:top w:val="nil"/>
              <w:left w:val="nil"/>
              <w:bottom w:val="nil"/>
              <w:right w:val="nil"/>
            </w:tcBorders>
            <w:shd w:val="clear" w:color="auto" w:fill="auto"/>
            <w:noWrap/>
            <w:hideMark/>
          </w:tcPr>
          <w:p w14:paraId="5E3C5B1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2-amino-3,7-dideoxy-D-threo-hept-6-ulosonate synthase </w:t>
            </w:r>
          </w:p>
        </w:tc>
        <w:tc>
          <w:tcPr>
            <w:tcW w:w="918" w:type="pct"/>
            <w:tcBorders>
              <w:top w:val="nil"/>
              <w:left w:val="nil"/>
              <w:bottom w:val="nil"/>
              <w:right w:val="nil"/>
            </w:tcBorders>
            <w:shd w:val="clear" w:color="auto" w:fill="auto"/>
            <w:noWrap/>
            <w:hideMark/>
          </w:tcPr>
          <w:p w14:paraId="4C7ED1C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2.13</w:t>
            </w:r>
          </w:p>
        </w:tc>
      </w:tr>
      <w:tr w:rsidR="00436CD0" w:rsidRPr="00C44D8C" w14:paraId="37A287A0" w14:textId="77777777" w:rsidTr="00436CD0">
        <w:trPr>
          <w:trHeight w:val="290"/>
        </w:trPr>
        <w:tc>
          <w:tcPr>
            <w:tcW w:w="976" w:type="pct"/>
            <w:tcBorders>
              <w:top w:val="nil"/>
              <w:left w:val="nil"/>
              <w:bottom w:val="nil"/>
              <w:right w:val="nil"/>
            </w:tcBorders>
            <w:shd w:val="clear" w:color="auto" w:fill="auto"/>
            <w:noWrap/>
            <w:hideMark/>
          </w:tcPr>
          <w:p w14:paraId="6C0275A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Mbar_A1023</w:t>
            </w:r>
          </w:p>
        </w:tc>
        <w:tc>
          <w:tcPr>
            <w:tcW w:w="3106" w:type="pct"/>
            <w:tcBorders>
              <w:top w:val="nil"/>
              <w:left w:val="nil"/>
              <w:bottom w:val="nil"/>
              <w:right w:val="nil"/>
            </w:tcBorders>
            <w:shd w:val="clear" w:color="auto" w:fill="auto"/>
            <w:noWrap/>
            <w:hideMark/>
          </w:tcPr>
          <w:p w14:paraId="35687FB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5-methyltetrahydropteroyltriglutamate--homocysteine methyltransferase</w:t>
            </w:r>
          </w:p>
        </w:tc>
        <w:tc>
          <w:tcPr>
            <w:tcW w:w="918" w:type="pct"/>
            <w:tcBorders>
              <w:top w:val="nil"/>
              <w:left w:val="nil"/>
              <w:bottom w:val="nil"/>
              <w:right w:val="nil"/>
            </w:tcBorders>
            <w:shd w:val="clear" w:color="auto" w:fill="auto"/>
            <w:noWrap/>
            <w:hideMark/>
          </w:tcPr>
          <w:p w14:paraId="04F7F5E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2.12</w:t>
            </w:r>
          </w:p>
        </w:tc>
      </w:tr>
      <w:tr w:rsidR="00436CD0" w:rsidRPr="00C44D8C" w14:paraId="453F3200" w14:textId="77777777" w:rsidTr="00436CD0">
        <w:trPr>
          <w:trHeight w:val="290"/>
        </w:trPr>
        <w:tc>
          <w:tcPr>
            <w:tcW w:w="976" w:type="pct"/>
            <w:tcBorders>
              <w:top w:val="nil"/>
              <w:left w:val="nil"/>
              <w:bottom w:val="nil"/>
              <w:right w:val="nil"/>
            </w:tcBorders>
            <w:shd w:val="clear" w:color="auto" w:fill="auto"/>
            <w:noWrap/>
            <w:hideMark/>
          </w:tcPr>
          <w:p w14:paraId="7139C8A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Mbar_A1041</w:t>
            </w:r>
          </w:p>
        </w:tc>
        <w:tc>
          <w:tcPr>
            <w:tcW w:w="3106" w:type="pct"/>
            <w:tcBorders>
              <w:top w:val="nil"/>
              <w:left w:val="nil"/>
              <w:bottom w:val="nil"/>
              <w:right w:val="nil"/>
            </w:tcBorders>
            <w:shd w:val="clear" w:color="auto" w:fill="auto"/>
            <w:noWrap/>
            <w:hideMark/>
          </w:tcPr>
          <w:p w14:paraId="50D2E1F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Putative methylthioribose-1-phosphate isomerase </w:t>
            </w:r>
          </w:p>
        </w:tc>
        <w:tc>
          <w:tcPr>
            <w:tcW w:w="918" w:type="pct"/>
            <w:tcBorders>
              <w:top w:val="nil"/>
              <w:left w:val="nil"/>
              <w:bottom w:val="nil"/>
              <w:right w:val="nil"/>
            </w:tcBorders>
            <w:shd w:val="clear" w:color="auto" w:fill="auto"/>
            <w:noWrap/>
            <w:hideMark/>
          </w:tcPr>
          <w:p w14:paraId="4532B46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2.12</w:t>
            </w:r>
          </w:p>
        </w:tc>
      </w:tr>
      <w:tr w:rsidR="00436CD0" w:rsidRPr="00C44D8C" w14:paraId="29BE6596" w14:textId="77777777" w:rsidTr="00436CD0">
        <w:trPr>
          <w:trHeight w:val="290"/>
        </w:trPr>
        <w:tc>
          <w:tcPr>
            <w:tcW w:w="976" w:type="pct"/>
            <w:tcBorders>
              <w:top w:val="nil"/>
              <w:left w:val="nil"/>
              <w:bottom w:val="nil"/>
              <w:right w:val="nil"/>
            </w:tcBorders>
            <w:shd w:val="clear" w:color="auto" w:fill="auto"/>
            <w:noWrap/>
            <w:hideMark/>
          </w:tcPr>
          <w:p w14:paraId="246E036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Mbar_A3512</w:t>
            </w:r>
          </w:p>
        </w:tc>
        <w:tc>
          <w:tcPr>
            <w:tcW w:w="3106" w:type="pct"/>
            <w:tcBorders>
              <w:top w:val="nil"/>
              <w:left w:val="nil"/>
              <w:bottom w:val="nil"/>
              <w:right w:val="nil"/>
            </w:tcBorders>
            <w:shd w:val="clear" w:color="auto" w:fill="auto"/>
            <w:noWrap/>
            <w:hideMark/>
          </w:tcPr>
          <w:p w14:paraId="2B84E18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Ornithine carbamoyltransferase</w:t>
            </w:r>
          </w:p>
        </w:tc>
        <w:tc>
          <w:tcPr>
            <w:tcW w:w="918" w:type="pct"/>
            <w:tcBorders>
              <w:top w:val="nil"/>
              <w:left w:val="nil"/>
              <w:bottom w:val="nil"/>
              <w:right w:val="nil"/>
            </w:tcBorders>
            <w:shd w:val="clear" w:color="auto" w:fill="auto"/>
            <w:noWrap/>
            <w:hideMark/>
          </w:tcPr>
          <w:p w14:paraId="23CDD05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2.11</w:t>
            </w:r>
          </w:p>
        </w:tc>
      </w:tr>
      <w:tr w:rsidR="00436CD0" w:rsidRPr="00C44D8C" w14:paraId="6247C981" w14:textId="77777777" w:rsidTr="00436CD0">
        <w:trPr>
          <w:trHeight w:val="290"/>
        </w:trPr>
        <w:tc>
          <w:tcPr>
            <w:tcW w:w="976" w:type="pct"/>
            <w:tcBorders>
              <w:top w:val="nil"/>
              <w:left w:val="nil"/>
              <w:bottom w:val="nil"/>
              <w:right w:val="nil"/>
            </w:tcBorders>
            <w:shd w:val="clear" w:color="auto" w:fill="auto"/>
            <w:noWrap/>
            <w:hideMark/>
          </w:tcPr>
          <w:p w14:paraId="084BE60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Mbar_A1565</w:t>
            </w:r>
          </w:p>
        </w:tc>
        <w:tc>
          <w:tcPr>
            <w:tcW w:w="3106" w:type="pct"/>
            <w:tcBorders>
              <w:top w:val="nil"/>
              <w:left w:val="nil"/>
              <w:bottom w:val="nil"/>
              <w:right w:val="nil"/>
            </w:tcBorders>
            <w:shd w:val="clear" w:color="auto" w:fill="auto"/>
            <w:noWrap/>
            <w:hideMark/>
          </w:tcPr>
          <w:p w14:paraId="62C3D59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3-isopropylmalate dehydratase</w:t>
            </w:r>
          </w:p>
        </w:tc>
        <w:tc>
          <w:tcPr>
            <w:tcW w:w="918" w:type="pct"/>
            <w:tcBorders>
              <w:top w:val="nil"/>
              <w:left w:val="nil"/>
              <w:bottom w:val="nil"/>
              <w:right w:val="nil"/>
            </w:tcBorders>
            <w:shd w:val="clear" w:color="auto" w:fill="auto"/>
            <w:noWrap/>
            <w:hideMark/>
          </w:tcPr>
          <w:p w14:paraId="0DE6975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2.11</w:t>
            </w:r>
          </w:p>
        </w:tc>
      </w:tr>
      <w:tr w:rsidR="00436CD0" w:rsidRPr="00C44D8C" w14:paraId="35B97E86" w14:textId="77777777" w:rsidTr="00436CD0">
        <w:trPr>
          <w:trHeight w:val="290"/>
        </w:trPr>
        <w:tc>
          <w:tcPr>
            <w:tcW w:w="976" w:type="pct"/>
            <w:tcBorders>
              <w:top w:val="nil"/>
              <w:left w:val="nil"/>
              <w:bottom w:val="nil"/>
              <w:right w:val="nil"/>
            </w:tcBorders>
            <w:shd w:val="clear" w:color="auto" w:fill="auto"/>
            <w:noWrap/>
            <w:hideMark/>
          </w:tcPr>
          <w:p w14:paraId="770A33D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Mbar_A1294</w:t>
            </w:r>
          </w:p>
        </w:tc>
        <w:tc>
          <w:tcPr>
            <w:tcW w:w="3106" w:type="pct"/>
            <w:tcBorders>
              <w:top w:val="nil"/>
              <w:left w:val="nil"/>
              <w:bottom w:val="nil"/>
              <w:right w:val="nil"/>
            </w:tcBorders>
            <w:shd w:val="clear" w:color="auto" w:fill="auto"/>
            <w:noWrap/>
            <w:hideMark/>
          </w:tcPr>
          <w:p w14:paraId="5D7411C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Phosphoserine aminotransferase </w:t>
            </w:r>
          </w:p>
        </w:tc>
        <w:tc>
          <w:tcPr>
            <w:tcW w:w="918" w:type="pct"/>
            <w:tcBorders>
              <w:top w:val="nil"/>
              <w:left w:val="nil"/>
              <w:bottom w:val="nil"/>
              <w:right w:val="nil"/>
            </w:tcBorders>
            <w:shd w:val="clear" w:color="auto" w:fill="auto"/>
            <w:noWrap/>
            <w:hideMark/>
          </w:tcPr>
          <w:p w14:paraId="48DBDCF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2.10</w:t>
            </w:r>
          </w:p>
        </w:tc>
      </w:tr>
      <w:tr w:rsidR="00436CD0" w:rsidRPr="00C44D8C" w14:paraId="07DA5119" w14:textId="77777777" w:rsidTr="00436CD0">
        <w:trPr>
          <w:trHeight w:val="290"/>
        </w:trPr>
        <w:tc>
          <w:tcPr>
            <w:tcW w:w="976" w:type="pct"/>
            <w:tcBorders>
              <w:top w:val="nil"/>
              <w:left w:val="nil"/>
              <w:bottom w:val="nil"/>
              <w:right w:val="nil"/>
            </w:tcBorders>
            <w:shd w:val="clear" w:color="auto" w:fill="auto"/>
            <w:noWrap/>
            <w:hideMark/>
          </w:tcPr>
          <w:p w14:paraId="28379F6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Mbar_A1641</w:t>
            </w:r>
          </w:p>
        </w:tc>
        <w:tc>
          <w:tcPr>
            <w:tcW w:w="3106" w:type="pct"/>
            <w:tcBorders>
              <w:top w:val="nil"/>
              <w:left w:val="nil"/>
              <w:bottom w:val="nil"/>
              <w:right w:val="nil"/>
            </w:tcBorders>
            <w:shd w:val="clear" w:color="auto" w:fill="auto"/>
            <w:noWrap/>
            <w:hideMark/>
          </w:tcPr>
          <w:p w14:paraId="78EA887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Diaminopimelate decarboxylase </w:t>
            </w:r>
          </w:p>
        </w:tc>
        <w:tc>
          <w:tcPr>
            <w:tcW w:w="918" w:type="pct"/>
            <w:tcBorders>
              <w:top w:val="nil"/>
              <w:left w:val="nil"/>
              <w:bottom w:val="nil"/>
              <w:right w:val="nil"/>
            </w:tcBorders>
            <w:shd w:val="clear" w:color="auto" w:fill="auto"/>
            <w:noWrap/>
            <w:hideMark/>
          </w:tcPr>
          <w:p w14:paraId="5881D52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2.09</w:t>
            </w:r>
          </w:p>
        </w:tc>
      </w:tr>
      <w:tr w:rsidR="00436CD0" w:rsidRPr="00C44D8C" w14:paraId="3E13625F" w14:textId="77777777" w:rsidTr="00436CD0">
        <w:trPr>
          <w:trHeight w:val="290"/>
        </w:trPr>
        <w:tc>
          <w:tcPr>
            <w:tcW w:w="976" w:type="pct"/>
            <w:tcBorders>
              <w:top w:val="nil"/>
              <w:left w:val="nil"/>
              <w:bottom w:val="nil"/>
              <w:right w:val="nil"/>
            </w:tcBorders>
            <w:shd w:val="clear" w:color="auto" w:fill="auto"/>
            <w:noWrap/>
            <w:hideMark/>
          </w:tcPr>
          <w:p w14:paraId="5D65D41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Mbar_A3654</w:t>
            </w:r>
          </w:p>
        </w:tc>
        <w:tc>
          <w:tcPr>
            <w:tcW w:w="3106" w:type="pct"/>
            <w:tcBorders>
              <w:top w:val="nil"/>
              <w:left w:val="nil"/>
              <w:bottom w:val="nil"/>
              <w:right w:val="nil"/>
            </w:tcBorders>
            <w:shd w:val="clear" w:color="auto" w:fill="auto"/>
            <w:noWrap/>
            <w:hideMark/>
          </w:tcPr>
          <w:p w14:paraId="2686766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Phosphoribosyl-AMP cyclohydrolase </w:t>
            </w:r>
          </w:p>
        </w:tc>
        <w:tc>
          <w:tcPr>
            <w:tcW w:w="918" w:type="pct"/>
            <w:tcBorders>
              <w:top w:val="nil"/>
              <w:left w:val="nil"/>
              <w:bottom w:val="nil"/>
              <w:right w:val="nil"/>
            </w:tcBorders>
            <w:shd w:val="clear" w:color="auto" w:fill="auto"/>
            <w:noWrap/>
            <w:hideMark/>
          </w:tcPr>
          <w:p w14:paraId="0F795DE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2.08</w:t>
            </w:r>
          </w:p>
        </w:tc>
      </w:tr>
      <w:tr w:rsidR="00436CD0" w:rsidRPr="00C44D8C" w14:paraId="456A4BE7" w14:textId="77777777" w:rsidTr="00436CD0">
        <w:trPr>
          <w:trHeight w:val="290"/>
        </w:trPr>
        <w:tc>
          <w:tcPr>
            <w:tcW w:w="976" w:type="pct"/>
            <w:tcBorders>
              <w:top w:val="nil"/>
              <w:left w:val="nil"/>
              <w:bottom w:val="nil"/>
              <w:right w:val="nil"/>
            </w:tcBorders>
            <w:shd w:val="clear" w:color="auto" w:fill="auto"/>
            <w:noWrap/>
            <w:hideMark/>
          </w:tcPr>
          <w:p w14:paraId="08B1A3F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Mbar_A2049</w:t>
            </w:r>
          </w:p>
        </w:tc>
        <w:tc>
          <w:tcPr>
            <w:tcW w:w="3106" w:type="pct"/>
            <w:tcBorders>
              <w:top w:val="nil"/>
              <w:left w:val="nil"/>
              <w:bottom w:val="nil"/>
              <w:right w:val="nil"/>
            </w:tcBorders>
            <w:shd w:val="clear" w:color="auto" w:fill="auto"/>
            <w:noWrap/>
            <w:hideMark/>
          </w:tcPr>
          <w:p w14:paraId="21ECF3B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Threonine synthase </w:t>
            </w:r>
          </w:p>
        </w:tc>
        <w:tc>
          <w:tcPr>
            <w:tcW w:w="918" w:type="pct"/>
            <w:tcBorders>
              <w:top w:val="nil"/>
              <w:left w:val="nil"/>
              <w:bottom w:val="nil"/>
              <w:right w:val="nil"/>
            </w:tcBorders>
            <w:shd w:val="clear" w:color="auto" w:fill="auto"/>
            <w:noWrap/>
            <w:hideMark/>
          </w:tcPr>
          <w:p w14:paraId="1A4E359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2.07</w:t>
            </w:r>
          </w:p>
        </w:tc>
      </w:tr>
      <w:tr w:rsidR="00436CD0" w:rsidRPr="00C44D8C" w14:paraId="1BD4F67B" w14:textId="77777777" w:rsidTr="00436CD0">
        <w:trPr>
          <w:trHeight w:val="290"/>
        </w:trPr>
        <w:tc>
          <w:tcPr>
            <w:tcW w:w="976" w:type="pct"/>
            <w:tcBorders>
              <w:top w:val="nil"/>
              <w:left w:val="nil"/>
              <w:bottom w:val="nil"/>
              <w:right w:val="nil"/>
            </w:tcBorders>
            <w:shd w:val="clear" w:color="auto" w:fill="auto"/>
            <w:noWrap/>
            <w:hideMark/>
          </w:tcPr>
          <w:p w14:paraId="19EEAE4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Mbar_A1339</w:t>
            </w:r>
          </w:p>
        </w:tc>
        <w:tc>
          <w:tcPr>
            <w:tcW w:w="3106" w:type="pct"/>
            <w:tcBorders>
              <w:top w:val="nil"/>
              <w:left w:val="nil"/>
              <w:bottom w:val="nil"/>
              <w:right w:val="nil"/>
            </w:tcBorders>
            <w:shd w:val="clear" w:color="auto" w:fill="auto"/>
            <w:noWrap/>
            <w:hideMark/>
          </w:tcPr>
          <w:p w14:paraId="74A130C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3-isopropylmalate dehydrogenase </w:t>
            </w:r>
          </w:p>
        </w:tc>
        <w:tc>
          <w:tcPr>
            <w:tcW w:w="918" w:type="pct"/>
            <w:tcBorders>
              <w:top w:val="nil"/>
              <w:left w:val="nil"/>
              <w:bottom w:val="nil"/>
              <w:right w:val="nil"/>
            </w:tcBorders>
            <w:shd w:val="clear" w:color="auto" w:fill="auto"/>
            <w:noWrap/>
            <w:hideMark/>
          </w:tcPr>
          <w:p w14:paraId="66D8878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2.04</w:t>
            </w:r>
          </w:p>
        </w:tc>
      </w:tr>
      <w:tr w:rsidR="00436CD0" w:rsidRPr="00C44D8C" w14:paraId="75FFB502" w14:textId="77777777" w:rsidTr="00436CD0">
        <w:trPr>
          <w:trHeight w:val="290"/>
        </w:trPr>
        <w:tc>
          <w:tcPr>
            <w:tcW w:w="976" w:type="pct"/>
            <w:tcBorders>
              <w:top w:val="nil"/>
              <w:left w:val="nil"/>
              <w:bottom w:val="nil"/>
              <w:right w:val="nil"/>
            </w:tcBorders>
            <w:shd w:val="clear" w:color="auto" w:fill="auto"/>
            <w:noWrap/>
            <w:hideMark/>
          </w:tcPr>
          <w:p w14:paraId="5400806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Mbar_A2427</w:t>
            </w:r>
          </w:p>
        </w:tc>
        <w:tc>
          <w:tcPr>
            <w:tcW w:w="3106" w:type="pct"/>
            <w:tcBorders>
              <w:top w:val="nil"/>
              <w:left w:val="nil"/>
              <w:bottom w:val="nil"/>
              <w:right w:val="nil"/>
            </w:tcBorders>
            <w:shd w:val="clear" w:color="auto" w:fill="auto"/>
            <w:noWrap/>
            <w:hideMark/>
          </w:tcPr>
          <w:p w14:paraId="324A162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O-acetylhomoserine sulfhydrolase </w:t>
            </w:r>
          </w:p>
        </w:tc>
        <w:tc>
          <w:tcPr>
            <w:tcW w:w="918" w:type="pct"/>
            <w:tcBorders>
              <w:top w:val="nil"/>
              <w:left w:val="nil"/>
              <w:bottom w:val="nil"/>
              <w:right w:val="nil"/>
            </w:tcBorders>
            <w:shd w:val="clear" w:color="auto" w:fill="auto"/>
            <w:noWrap/>
            <w:hideMark/>
          </w:tcPr>
          <w:p w14:paraId="5F41AFB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2.03</w:t>
            </w:r>
          </w:p>
        </w:tc>
      </w:tr>
      <w:tr w:rsidR="00436CD0" w:rsidRPr="00C44D8C" w14:paraId="48C61231" w14:textId="77777777" w:rsidTr="00436CD0">
        <w:trPr>
          <w:trHeight w:val="290"/>
        </w:trPr>
        <w:tc>
          <w:tcPr>
            <w:tcW w:w="976" w:type="pct"/>
            <w:tcBorders>
              <w:top w:val="nil"/>
              <w:left w:val="nil"/>
              <w:bottom w:val="nil"/>
              <w:right w:val="nil"/>
            </w:tcBorders>
            <w:shd w:val="clear" w:color="auto" w:fill="auto"/>
            <w:noWrap/>
            <w:hideMark/>
          </w:tcPr>
          <w:p w14:paraId="6DCFF54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Mbar_A3624</w:t>
            </w:r>
          </w:p>
        </w:tc>
        <w:tc>
          <w:tcPr>
            <w:tcW w:w="3106" w:type="pct"/>
            <w:tcBorders>
              <w:top w:val="nil"/>
              <w:left w:val="nil"/>
              <w:bottom w:val="nil"/>
              <w:right w:val="nil"/>
            </w:tcBorders>
            <w:shd w:val="clear" w:color="auto" w:fill="auto"/>
            <w:noWrap/>
            <w:hideMark/>
          </w:tcPr>
          <w:p w14:paraId="5E017FD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Anthranilate phosphoribosyltransferase</w:t>
            </w:r>
          </w:p>
        </w:tc>
        <w:tc>
          <w:tcPr>
            <w:tcW w:w="918" w:type="pct"/>
            <w:tcBorders>
              <w:top w:val="nil"/>
              <w:left w:val="nil"/>
              <w:bottom w:val="nil"/>
              <w:right w:val="nil"/>
            </w:tcBorders>
            <w:shd w:val="clear" w:color="auto" w:fill="auto"/>
            <w:noWrap/>
            <w:hideMark/>
          </w:tcPr>
          <w:p w14:paraId="7A91DC8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7356AB96" w14:textId="77777777" w:rsidTr="00436CD0">
        <w:trPr>
          <w:trHeight w:val="290"/>
        </w:trPr>
        <w:tc>
          <w:tcPr>
            <w:tcW w:w="976" w:type="pct"/>
            <w:tcBorders>
              <w:top w:val="nil"/>
              <w:left w:val="nil"/>
              <w:bottom w:val="nil"/>
              <w:right w:val="nil"/>
            </w:tcBorders>
            <w:shd w:val="clear" w:color="auto" w:fill="auto"/>
            <w:noWrap/>
            <w:hideMark/>
          </w:tcPr>
          <w:p w14:paraId="71B4B20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Mbar_A0220</w:t>
            </w:r>
          </w:p>
        </w:tc>
        <w:tc>
          <w:tcPr>
            <w:tcW w:w="3106" w:type="pct"/>
            <w:tcBorders>
              <w:top w:val="nil"/>
              <w:left w:val="nil"/>
              <w:bottom w:val="nil"/>
              <w:right w:val="nil"/>
            </w:tcBorders>
            <w:shd w:val="clear" w:color="auto" w:fill="auto"/>
            <w:noWrap/>
            <w:hideMark/>
          </w:tcPr>
          <w:p w14:paraId="3C1F64C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Ketol-acid reductoisomerase</w:t>
            </w:r>
          </w:p>
        </w:tc>
        <w:tc>
          <w:tcPr>
            <w:tcW w:w="918" w:type="pct"/>
            <w:tcBorders>
              <w:top w:val="nil"/>
              <w:left w:val="nil"/>
              <w:bottom w:val="nil"/>
              <w:right w:val="nil"/>
            </w:tcBorders>
            <w:shd w:val="clear" w:color="auto" w:fill="auto"/>
            <w:noWrap/>
            <w:hideMark/>
          </w:tcPr>
          <w:p w14:paraId="1B6B02C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00E7A769" w14:textId="77777777" w:rsidTr="00436CD0">
        <w:trPr>
          <w:trHeight w:val="290"/>
        </w:trPr>
        <w:tc>
          <w:tcPr>
            <w:tcW w:w="976" w:type="pct"/>
            <w:tcBorders>
              <w:top w:val="nil"/>
              <w:left w:val="nil"/>
              <w:bottom w:val="nil"/>
              <w:right w:val="nil"/>
            </w:tcBorders>
            <w:shd w:val="clear" w:color="auto" w:fill="auto"/>
            <w:noWrap/>
            <w:hideMark/>
          </w:tcPr>
          <w:p w14:paraId="5F01A02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Mbar_A1638</w:t>
            </w:r>
          </w:p>
        </w:tc>
        <w:tc>
          <w:tcPr>
            <w:tcW w:w="3106" w:type="pct"/>
            <w:tcBorders>
              <w:top w:val="nil"/>
              <w:left w:val="nil"/>
              <w:bottom w:val="nil"/>
              <w:right w:val="nil"/>
            </w:tcBorders>
            <w:shd w:val="clear" w:color="auto" w:fill="auto"/>
            <w:noWrap/>
            <w:hideMark/>
          </w:tcPr>
          <w:p w14:paraId="5C69484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O-phospho-L-seryl-tRNA:Cys-tRNA synthase</w:t>
            </w:r>
          </w:p>
        </w:tc>
        <w:tc>
          <w:tcPr>
            <w:tcW w:w="918" w:type="pct"/>
            <w:tcBorders>
              <w:top w:val="nil"/>
              <w:left w:val="nil"/>
              <w:bottom w:val="nil"/>
              <w:right w:val="nil"/>
            </w:tcBorders>
            <w:shd w:val="clear" w:color="auto" w:fill="auto"/>
            <w:noWrap/>
            <w:hideMark/>
          </w:tcPr>
          <w:p w14:paraId="4E07161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1.99</w:t>
            </w:r>
          </w:p>
        </w:tc>
      </w:tr>
      <w:tr w:rsidR="00436CD0" w:rsidRPr="00C44D8C" w14:paraId="32905AC4" w14:textId="77777777" w:rsidTr="00436CD0">
        <w:trPr>
          <w:trHeight w:val="290"/>
        </w:trPr>
        <w:tc>
          <w:tcPr>
            <w:tcW w:w="976" w:type="pct"/>
            <w:tcBorders>
              <w:top w:val="nil"/>
              <w:left w:val="nil"/>
              <w:bottom w:val="nil"/>
              <w:right w:val="nil"/>
            </w:tcBorders>
            <w:shd w:val="clear" w:color="auto" w:fill="auto"/>
            <w:noWrap/>
            <w:hideMark/>
          </w:tcPr>
          <w:p w14:paraId="520E10F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Mbar_A3476</w:t>
            </w:r>
          </w:p>
        </w:tc>
        <w:tc>
          <w:tcPr>
            <w:tcW w:w="3106" w:type="pct"/>
            <w:tcBorders>
              <w:top w:val="nil"/>
              <w:left w:val="nil"/>
              <w:bottom w:val="nil"/>
              <w:right w:val="nil"/>
            </w:tcBorders>
            <w:shd w:val="clear" w:color="auto" w:fill="auto"/>
            <w:noWrap/>
            <w:hideMark/>
          </w:tcPr>
          <w:p w14:paraId="00AD481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Imidazole glycerol phosphate synthase subunit HisH </w:t>
            </w:r>
          </w:p>
        </w:tc>
        <w:tc>
          <w:tcPr>
            <w:tcW w:w="918" w:type="pct"/>
            <w:tcBorders>
              <w:top w:val="nil"/>
              <w:left w:val="nil"/>
              <w:bottom w:val="nil"/>
              <w:right w:val="nil"/>
            </w:tcBorders>
            <w:shd w:val="clear" w:color="auto" w:fill="auto"/>
            <w:noWrap/>
            <w:hideMark/>
          </w:tcPr>
          <w:p w14:paraId="12B4864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1.99</w:t>
            </w:r>
          </w:p>
        </w:tc>
      </w:tr>
      <w:tr w:rsidR="00436CD0" w:rsidRPr="00C44D8C" w14:paraId="6247EE3E" w14:textId="77777777" w:rsidTr="00436CD0">
        <w:trPr>
          <w:trHeight w:val="290"/>
        </w:trPr>
        <w:tc>
          <w:tcPr>
            <w:tcW w:w="976" w:type="pct"/>
            <w:tcBorders>
              <w:top w:val="nil"/>
              <w:left w:val="nil"/>
              <w:bottom w:val="nil"/>
              <w:right w:val="nil"/>
            </w:tcBorders>
            <w:shd w:val="clear" w:color="auto" w:fill="auto"/>
            <w:noWrap/>
            <w:hideMark/>
          </w:tcPr>
          <w:p w14:paraId="66F6D1A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Mbar_A2257</w:t>
            </w:r>
          </w:p>
        </w:tc>
        <w:tc>
          <w:tcPr>
            <w:tcW w:w="3106" w:type="pct"/>
            <w:tcBorders>
              <w:top w:val="nil"/>
              <w:left w:val="nil"/>
              <w:bottom w:val="nil"/>
              <w:right w:val="nil"/>
            </w:tcBorders>
            <w:shd w:val="clear" w:color="auto" w:fill="auto"/>
            <w:noWrap/>
            <w:hideMark/>
          </w:tcPr>
          <w:p w14:paraId="25D6D27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Asparagine synthetase </w:t>
            </w:r>
          </w:p>
        </w:tc>
        <w:tc>
          <w:tcPr>
            <w:tcW w:w="918" w:type="pct"/>
            <w:tcBorders>
              <w:top w:val="nil"/>
              <w:left w:val="nil"/>
              <w:bottom w:val="nil"/>
              <w:right w:val="nil"/>
            </w:tcBorders>
            <w:shd w:val="clear" w:color="auto" w:fill="auto"/>
            <w:noWrap/>
            <w:hideMark/>
          </w:tcPr>
          <w:p w14:paraId="3D54337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1.99</w:t>
            </w:r>
          </w:p>
        </w:tc>
      </w:tr>
      <w:tr w:rsidR="00436CD0" w:rsidRPr="00C44D8C" w14:paraId="22CF7242" w14:textId="77777777" w:rsidTr="00436CD0">
        <w:trPr>
          <w:trHeight w:val="290"/>
        </w:trPr>
        <w:tc>
          <w:tcPr>
            <w:tcW w:w="976" w:type="pct"/>
            <w:tcBorders>
              <w:top w:val="nil"/>
              <w:left w:val="nil"/>
              <w:bottom w:val="nil"/>
              <w:right w:val="nil"/>
            </w:tcBorders>
            <w:shd w:val="clear" w:color="auto" w:fill="auto"/>
            <w:noWrap/>
            <w:hideMark/>
          </w:tcPr>
          <w:p w14:paraId="7C8BA45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Mbar_A1067</w:t>
            </w:r>
          </w:p>
        </w:tc>
        <w:tc>
          <w:tcPr>
            <w:tcW w:w="3106" w:type="pct"/>
            <w:tcBorders>
              <w:top w:val="nil"/>
              <w:left w:val="nil"/>
              <w:bottom w:val="nil"/>
              <w:right w:val="nil"/>
            </w:tcBorders>
            <w:shd w:val="clear" w:color="auto" w:fill="auto"/>
            <w:noWrap/>
            <w:hideMark/>
          </w:tcPr>
          <w:p w14:paraId="142C024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Hydantoinase</w:t>
            </w:r>
          </w:p>
        </w:tc>
        <w:tc>
          <w:tcPr>
            <w:tcW w:w="918" w:type="pct"/>
            <w:tcBorders>
              <w:top w:val="nil"/>
              <w:left w:val="nil"/>
              <w:bottom w:val="nil"/>
              <w:right w:val="nil"/>
            </w:tcBorders>
            <w:shd w:val="clear" w:color="auto" w:fill="auto"/>
            <w:noWrap/>
            <w:hideMark/>
          </w:tcPr>
          <w:p w14:paraId="775F6C6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1.96</w:t>
            </w:r>
          </w:p>
        </w:tc>
      </w:tr>
      <w:tr w:rsidR="00436CD0" w:rsidRPr="00C44D8C" w14:paraId="07AA4420" w14:textId="77777777" w:rsidTr="00436CD0">
        <w:trPr>
          <w:trHeight w:val="290"/>
        </w:trPr>
        <w:tc>
          <w:tcPr>
            <w:tcW w:w="976" w:type="pct"/>
            <w:tcBorders>
              <w:top w:val="nil"/>
              <w:left w:val="nil"/>
              <w:bottom w:val="nil"/>
              <w:right w:val="nil"/>
            </w:tcBorders>
            <w:shd w:val="clear" w:color="auto" w:fill="auto"/>
            <w:noWrap/>
            <w:hideMark/>
          </w:tcPr>
          <w:p w14:paraId="0B5F0DB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Mbar_A0004</w:t>
            </w:r>
          </w:p>
        </w:tc>
        <w:tc>
          <w:tcPr>
            <w:tcW w:w="3106" w:type="pct"/>
            <w:tcBorders>
              <w:top w:val="nil"/>
              <w:left w:val="nil"/>
              <w:bottom w:val="nil"/>
              <w:right w:val="nil"/>
            </w:tcBorders>
            <w:shd w:val="clear" w:color="auto" w:fill="auto"/>
            <w:noWrap/>
            <w:hideMark/>
          </w:tcPr>
          <w:p w14:paraId="589EFB9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Argininosuccinate lyase</w:t>
            </w:r>
          </w:p>
        </w:tc>
        <w:tc>
          <w:tcPr>
            <w:tcW w:w="918" w:type="pct"/>
            <w:tcBorders>
              <w:top w:val="nil"/>
              <w:left w:val="nil"/>
              <w:bottom w:val="nil"/>
              <w:right w:val="nil"/>
            </w:tcBorders>
            <w:shd w:val="clear" w:color="auto" w:fill="auto"/>
            <w:noWrap/>
            <w:hideMark/>
          </w:tcPr>
          <w:p w14:paraId="66272B0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1.96</w:t>
            </w:r>
          </w:p>
        </w:tc>
      </w:tr>
      <w:tr w:rsidR="00436CD0" w:rsidRPr="00C44D8C" w14:paraId="7E38DF62" w14:textId="77777777" w:rsidTr="00436CD0">
        <w:trPr>
          <w:trHeight w:val="290"/>
        </w:trPr>
        <w:tc>
          <w:tcPr>
            <w:tcW w:w="976" w:type="pct"/>
            <w:tcBorders>
              <w:top w:val="nil"/>
              <w:left w:val="nil"/>
              <w:bottom w:val="nil"/>
              <w:right w:val="nil"/>
            </w:tcBorders>
            <w:shd w:val="clear" w:color="auto" w:fill="auto"/>
            <w:noWrap/>
            <w:hideMark/>
          </w:tcPr>
          <w:p w14:paraId="2A0422E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Mbar_A3625</w:t>
            </w:r>
          </w:p>
        </w:tc>
        <w:tc>
          <w:tcPr>
            <w:tcW w:w="3106" w:type="pct"/>
            <w:tcBorders>
              <w:top w:val="nil"/>
              <w:left w:val="nil"/>
              <w:bottom w:val="nil"/>
              <w:right w:val="nil"/>
            </w:tcBorders>
            <w:shd w:val="clear" w:color="auto" w:fill="auto"/>
            <w:noWrap/>
            <w:hideMark/>
          </w:tcPr>
          <w:p w14:paraId="7BBC5A0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N-(5'-phosphoribosyl)anthranilate isomerase </w:t>
            </w:r>
          </w:p>
        </w:tc>
        <w:tc>
          <w:tcPr>
            <w:tcW w:w="918" w:type="pct"/>
            <w:tcBorders>
              <w:top w:val="nil"/>
              <w:left w:val="nil"/>
              <w:bottom w:val="nil"/>
              <w:right w:val="nil"/>
            </w:tcBorders>
            <w:shd w:val="clear" w:color="auto" w:fill="auto"/>
            <w:noWrap/>
            <w:hideMark/>
          </w:tcPr>
          <w:p w14:paraId="03D785E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1.96</w:t>
            </w:r>
          </w:p>
        </w:tc>
      </w:tr>
      <w:tr w:rsidR="00436CD0" w:rsidRPr="00C44D8C" w14:paraId="00745486" w14:textId="77777777" w:rsidTr="00436CD0">
        <w:trPr>
          <w:trHeight w:val="290"/>
        </w:trPr>
        <w:tc>
          <w:tcPr>
            <w:tcW w:w="976" w:type="pct"/>
            <w:tcBorders>
              <w:top w:val="nil"/>
              <w:left w:val="nil"/>
              <w:bottom w:val="nil"/>
              <w:right w:val="nil"/>
            </w:tcBorders>
            <w:shd w:val="clear" w:color="auto" w:fill="auto"/>
            <w:noWrap/>
            <w:hideMark/>
          </w:tcPr>
          <w:p w14:paraId="66DEA51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Mbar_A3626</w:t>
            </w:r>
          </w:p>
        </w:tc>
        <w:tc>
          <w:tcPr>
            <w:tcW w:w="3106" w:type="pct"/>
            <w:tcBorders>
              <w:top w:val="nil"/>
              <w:left w:val="nil"/>
              <w:bottom w:val="nil"/>
              <w:right w:val="nil"/>
            </w:tcBorders>
            <w:shd w:val="clear" w:color="auto" w:fill="auto"/>
            <w:noWrap/>
            <w:hideMark/>
          </w:tcPr>
          <w:p w14:paraId="0670522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Anthranilate synthase, component I</w:t>
            </w:r>
          </w:p>
        </w:tc>
        <w:tc>
          <w:tcPr>
            <w:tcW w:w="918" w:type="pct"/>
            <w:tcBorders>
              <w:top w:val="nil"/>
              <w:left w:val="nil"/>
              <w:bottom w:val="nil"/>
              <w:right w:val="nil"/>
            </w:tcBorders>
            <w:shd w:val="clear" w:color="auto" w:fill="auto"/>
            <w:noWrap/>
            <w:hideMark/>
          </w:tcPr>
          <w:p w14:paraId="1E0D54A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1.95</w:t>
            </w:r>
          </w:p>
        </w:tc>
      </w:tr>
      <w:tr w:rsidR="00436CD0" w:rsidRPr="00C44D8C" w14:paraId="41E7097D" w14:textId="77777777" w:rsidTr="00436CD0">
        <w:trPr>
          <w:trHeight w:val="290"/>
        </w:trPr>
        <w:tc>
          <w:tcPr>
            <w:tcW w:w="976" w:type="pct"/>
            <w:tcBorders>
              <w:top w:val="nil"/>
              <w:left w:val="nil"/>
              <w:bottom w:val="nil"/>
              <w:right w:val="nil"/>
            </w:tcBorders>
            <w:shd w:val="clear" w:color="auto" w:fill="auto"/>
            <w:noWrap/>
            <w:hideMark/>
          </w:tcPr>
          <w:p w14:paraId="09DB365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Mbar_A0942</w:t>
            </w:r>
          </w:p>
        </w:tc>
        <w:tc>
          <w:tcPr>
            <w:tcW w:w="3106" w:type="pct"/>
            <w:tcBorders>
              <w:top w:val="nil"/>
              <w:left w:val="nil"/>
              <w:bottom w:val="nil"/>
              <w:right w:val="nil"/>
            </w:tcBorders>
            <w:shd w:val="clear" w:color="auto" w:fill="auto"/>
            <w:noWrap/>
            <w:hideMark/>
          </w:tcPr>
          <w:p w14:paraId="39C0F1D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2-isopropylmalate synthase </w:t>
            </w:r>
          </w:p>
        </w:tc>
        <w:tc>
          <w:tcPr>
            <w:tcW w:w="918" w:type="pct"/>
            <w:tcBorders>
              <w:top w:val="nil"/>
              <w:left w:val="nil"/>
              <w:bottom w:val="nil"/>
              <w:right w:val="nil"/>
            </w:tcBorders>
            <w:shd w:val="clear" w:color="auto" w:fill="auto"/>
            <w:noWrap/>
            <w:hideMark/>
          </w:tcPr>
          <w:p w14:paraId="3A0A8D9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1.94</w:t>
            </w:r>
          </w:p>
        </w:tc>
      </w:tr>
      <w:tr w:rsidR="00436CD0" w:rsidRPr="00C44D8C" w14:paraId="649CE684" w14:textId="77777777" w:rsidTr="00436CD0">
        <w:trPr>
          <w:trHeight w:val="290"/>
        </w:trPr>
        <w:tc>
          <w:tcPr>
            <w:tcW w:w="976" w:type="pct"/>
            <w:tcBorders>
              <w:top w:val="nil"/>
              <w:left w:val="nil"/>
              <w:bottom w:val="nil"/>
              <w:right w:val="nil"/>
            </w:tcBorders>
            <w:shd w:val="clear" w:color="auto" w:fill="auto"/>
            <w:noWrap/>
            <w:hideMark/>
          </w:tcPr>
          <w:p w14:paraId="5763D14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Mbar_A3252</w:t>
            </w:r>
          </w:p>
        </w:tc>
        <w:tc>
          <w:tcPr>
            <w:tcW w:w="3106" w:type="pct"/>
            <w:tcBorders>
              <w:top w:val="nil"/>
              <w:left w:val="nil"/>
              <w:bottom w:val="nil"/>
              <w:right w:val="nil"/>
            </w:tcBorders>
            <w:shd w:val="clear" w:color="auto" w:fill="auto"/>
            <w:noWrap/>
            <w:hideMark/>
          </w:tcPr>
          <w:p w14:paraId="2B5FAA7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5'-deoxyadenosine deaminase </w:t>
            </w:r>
          </w:p>
        </w:tc>
        <w:tc>
          <w:tcPr>
            <w:tcW w:w="918" w:type="pct"/>
            <w:tcBorders>
              <w:top w:val="nil"/>
              <w:left w:val="nil"/>
              <w:bottom w:val="nil"/>
              <w:right w:val="nil"/>
            </w:tcBorders>
            <w:shd w:val="clear" w:color="auto" w:fill="auto"/>
            <w:noWrap/>
            <w:hideMark/>
          </w:tcPr>
          <w:p w14:paraId="101A863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1.93</w:t>
            </w:r>
          </w:p>
        </w:tc>
      </w:tr>
      <w:tr w:rsidR="00436CD0" w:rsidRPr="00C44D8C" w14:paraId="062785A1" w14:textId="77777777" w:rsidTr="00436CD0">
        <w:trPr>
          <w:trHeight w:val="290"/>
        </w:trPr>
        <w:tc>
          <w:tcPr>
            <w:tcW w:w="976" w:type="pct"/>
            <w:tcBorders>
              <w:top w:val="nil"/>
              <w:left w:val="nil"/>
              <w:bottom w:val="nil"/>
              <w:right w:val="nil"/>
            </w:tcBorders>
            <w:shd w:val="clear" w:color="auto" w:fill="auto"/>
            <w:noWrap/>
            <w:hideMark/>
          </w:tcPr>
          <w:p w14:paraId="724448A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Mbar_A3503</w:t>
            </w:r>
          </w:p>
        </w:tc>
        <w:tc>
          <w:tcPr>
            <w:tcW w:w="3106" w:type="pct"/>
            <w:tcBorders>
              <w:top w:val="nil"/>
              <w:left w:val="nil"/>
              <w:bottom w:val="nil"/>
              <w:right w:val="nil"/>
            </w:tcBorders>
            <w:shd w:val="clear" w:color="auto" w:fill="auto"/>
            <w:noWrap/>
            <w:hideMark/>
          </w:tcPr>
          <w:p w14:paraId="40A4A57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Tryptophan synthase beta chain</w:t>
            </w:r>
          </w:p>
        </w:tc>
        <w:tc>
          <w:tcPr>
            <w:tcW w:w="918" w:type="pct"/>
            <w:tcBorders>
              <w:top w:val="nil"/>
              <w:left w:val="nil"/>
              <w:bottom w:val="nil"/>
              <w:right w:val="nil"/>
            </w:tcBorders>
            <w:shd w:val="clear" w:color="auto" w:fill="auto"/>
            <w:noWrap/>
            <w:hideMark/>
          </w:tcPr>
          <w:p w14:paraId="076D461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1.93</w:t>
            </w:r>
          </w:p>
        </w:tc>
      </w:tr>
      <w:tr w:rsidR="00436CD0" w:rsidRPr="00C44D8C" w14:paraId="15E88658" w14:textId="77777777" w:rsidTr="00436CD0">
        <w:trPr>
          <w:trHeight w:val="290"/>
        </w:trPr>
        <w:tc>
          <w:tcPr>
            <w:tcW w:w="976" w:type="pct"/>
            <w:tcBorders>
              <w:top w:val="nil"/>
              <w:left w:val="nil"/>
              <w:bottom w:val="nil"/>
              <w:right w:val="nil"/>
            </w:tcBorders>
            <w:shd w:val="clear" w:color="auto" w:fill="auto"/>
            <w:noWrap/>
            <w:hideMark/>
          </w:tcPr>
          <w:p w14:paraId="353E22B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Mbar_A2069</w:t>
            </w:r>
          </w:p>
        </w:tc>
        <w:tc>
          <w:tcPr>
            <w:tcW w:w="3106" w:type="pct"/>
            <w:tcBorders>
              <w:top w:val="nil"/>
              <w:left w:val="nil"/>
              <w:bottom w:val="nil"/>
              <w:right w:val="nil"/>
            </w:tcBorders>
            <w:shd w:val="clear" w:color="auto" w:fill="auto"/>
            <w:noWrap/>
            <w:hideMark/>
          </w:tcPr>
          <w:p w14:paraId="2BC6AD4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Dihydroxy-acid dehydratase </w:t>
            </w:r>
          </w:p>
        </w:tc>
        <w:tc>
          <w:tcPr>
            <w:tcW w:w="918" w:type="pct"/>
            <w:tcBorders>
              <w:top w:val="nil"/>
              <w:left w:val="nil"/>
              <w:bottom w:val="nil"/>
              <w:right w:val="nil"/>
            </w:tcBorders>
            <w:shd w:val="clear" w:color="auto" w:fill="auto"/>
            <w:noWrap/>
            <w:hideMark/>
          </w:tcPr>
          <w:p w14:paraId="7FF2851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1.92</w:t>
            </w:r>
          </w:p>
        </w:tc>
      </w:tr>
      <w:tr w:rsidR="00436CD0" w:rsidRPr="00C44D8C" w14:paraId="2AB3CB62" w14:textId="77777777" w:rsidTr="00436CD0">
        <w:trPr>
          <w:trHeight w:val="290"/>
        </w:trPr>
        <w:tc>
          <w:tcPr>
            <w:tcW w:w="976" w:type="pct"/>
            <w:tcBorders>
              <w:top w:val="nil"/>
              <w:left w:val="nil"/>
              <w:bottom w:val="nil"/>
              <w:right w:val="nil"/>
            </w:tcBorders>
            <w:shd w:val="clear" w:color="auto" w:fill="auto"/>
            <w:noWrap/>
            <w:hideMark/>
          </w:tcPr>
          <w:p w14:paraId="1476A06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Mbar_A2422</w:t>
            </w:r>
          </w:p>
        </w:tc>
        <w:tc>
          <w:tcPr>
            <w:tcW w:w="3106" w:type="pct"/>
            <w:tcBorders>
              <w:top w:val="nil"/>
              <w:left w:val="nil"/>
              <w:bottom w:val="nil"/>
              <w:right w:val="nil"/>
            </w:tcBorders>
            <w:shd w:val="clear" w:color="auto" w:fill="auto"/>
            <w:noWrap/>
            <w:hideMark/>
          </w:tcPr>
          <w:p w14:paraId="25F57A3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Cysteine synthase </w:t>
            </w:r>
          </w:p>
        </w:tc>
        <w:tc>
          <w:tcPr>
            <w:tcW w:w="918" w:type="pct"/>
            <w:tcBorders>
              <w:top w:val="nil"/>
              <w:left w:val="nil"/>
              <w:bottom w:val="nil"/>
              <w:right w:val="nil"/>
            </w:tcBorders>
            <w:shd w:val="clear" w:color="auto" w:fill="auto"/>
            <w:noWrap/>
            <w:hideMark/>
          </w:tcPr>
          <w:p w14:paraId="555EA38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1.92</w:t>
            </w:r>
          </w:p>
        </w:tc>
      </w:tr>
      <w:tr w:rsidR="00436CD0" w:rsidRPr="00C44D8C" w14:paraId="3DCB6261" w14:textId="77777777" w:rsidTr="00436CD0">
        <w:trPr>
          <w:trHeight w:val="290"/>
        </w:trPr>
        <w:tc>
          <w:tcPr>
            <w:tcW w:w="976" w:type="pct"/>
            <w:tcBorders>
              <w:top w:val="nil"/>
              <w:left w:val="nil"/>
              <w:bottom w:val="nil"/>
              <w:right w:val="nil"/>
            </w:tcBorders>
            <w:shd w:val="clear" w:color="auto" w:fill="auto"/>
            <w:noWrap/>
            <w:hideMark/>
          </w:tcPr>
          <w:p w14:paraId="4E8E2C9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Mbar_A2756</w:t>
            </w:r>
          </w:p>
        </w:tc>
        <w:tc>
          <w:tcPr>
            <w:tcW w:w="3106" w:type="pct"/>
            <w:tcBorders>
              <w:top w:val="nil"/>
              <w:left w:val="nil"/>
              <w:bottom w:val="nil"/>
              <w:right w:val="nil"/>
            </w:tcBorders>
            <w:shd w:val="clear" w:color="auto" w:fill="auto"/>
            <w:noWrap/>
            <w:hideMark/>
          </w:tcPr>
          <w:p w14:paraId="3F5098D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Phosphoribosylformylglycinamidine synthase PurS </w:t>
            </w:r>
          </w:p>
        </w:tc>
        <w:tc>
          <w:tcPr>
            <w:tcW w:w="918" w:type="pct"/>
            <w:tcBorders>
              <w:top w:val="nil"/>
              <w:left w:val="nil"/>
              <w:bottom w:val="nil"/>
              <w:right w:val="nil"/>
            </w:tcBorders>
            <w:shd w:val="clear" w:color="auto" w:fill="auto"/>
            <w:noWrap/>
            <w:hideMark/>
          </w:tcPr>
          <w:p w14:paraId="1203FB4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1.91</w:t>
            </w:r>
          </w:p>
        </w:tc>
      </w:tr>
      <w:tr w:rsidR="00436CD0" w:rsidRPr="00C44D8C" w14:paraId="72AFB647" w14:textId="77777777" w:rsidTr="00436CD0">
        <w:trPr>
          <w:trHeight w:val="290"/>
        </w:trPr>
        <w:tc>
          <w:tcPr>
            <w:tcW w:w="976" w:type="pct"/>
            <w:tcBorders>
              <w:top w:val="nil"/>
              <w:left w:val="nil"/>
              <w:bottom w:val="nil"/>
              <w:right w:val="nil"/>
            </w:tcBorders>
            <w:shd w:val="clear" w:color="auto" w:fill="auto"/>
            <w:noWrap/>
            <w:hideMark/>
          </w:tcPr>
          <w:p w14:paraId="3E89F4B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Mbar_A0058</w:t>
            </w:r>
          </w:p>
        </w:tc>
        <w:tc>
          <w:tcPr>
            <w:tcW w:w="3106" w:type="pct"/>
            <w:tcBorders>
              <w:top w:val="nil"/>
              <w:left w:val="nil"/>
              <w:bottom w:val="nil"/>
              <w:right w:val="nil"/>
            </w:tcBorders>
            <w:shd w:val="clear" w:color="auto" w:fill="auto"/>
            <w:noWrap/>
            <w:hideMark/>
          </w:tcPr>
          <w:p w14:paraId="4D7CC86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Indolepyruvate oxidoreductase subunit IorA </w:t>
            </w:r>
          </w:p>
        </w:tc>
        <w:tc>
          <w:tcPr>
            <w:tcW w:w="918" w:type="pct"/>
            <w:tcBorders>
              <w:top w:val="nil"/>
              <w:left w:val="nil"/>
              <w:bottom w:val="nil"/>
              <w:right w:val="nil"/>
            </w:tcBorders>
            <w:shd w:val="clear" w:color="auto" w:fill="auto"/>
            <w:noWrap/>
            <w:hideMark/>
          </w:tcPr>
          <w:p w14:paraId="4721B1D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1.91</w:t>
            </w:r>
          </w:p>
        </w:tc>
      </w:tr>
      <w:tr w:rsidR="00436CD0" w:rsidRPr="00C44D8C" w14:paraId="65C5DE8C" w14:textId="77777777" w:rsidTr="00436CD0">
        <w:trPr>
          <w:trHeight w:val="290"/>
        </w:trPr>
        <w:tc>
          <w:tcPr>
            <w:tcW w:w="976" w:type="pct"/>
            <w:tcBorders>
              <w:top w:val="nil"/>
              <w:left w:val="nil"/>
              <w:bottom w:val="nil"/>
              <w:right w:val="nil"/>
            </w:tcBorders>
            <w:shd w:val="clear" w:color="auto" w:fill="auto"/>
            <w:noWrap/>
            <w:hideMark/>
          </w:tcPr>
          <w:p w14:paraId="59F0BEB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Mbar_A1590</w:t>
            </w:r>
          </w:p>
        </w:tc>
        <w:tc>
          <w:tcPr>
            <w:tcW w:w="3106" w:type="pct"/>
            <w:tcBorders>
              <w:top w:val="nil"/>
              <w:left w:val="nil"/>
              <w:bottom w:val="nil"/>
              <w:right w:val="nil"/>
            </w:tcBorders>
            <w:shd w:val="clear" w:color="auto" w:fill="auto"/>
            <w:noWrap/>
            <w:hideMark/>
          </w:tcPr>
          <w:p w14:paraId="03D0AB1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Phosphoserine phosphatase</w:t>
            </w:r>
          </w:p>
        </w:tc>
        <w:tc>
          <w:tcPr>
            <w:tcW w:w="918" w:type="pct"/>
            <w:tcBorders>
              <w:top w:val="nil"/>
              <w:left w:val="nil"/>
              <w:bottom w:val="nil"/>
              <w:right w:val="nil"/>
            </w:tcBorders>
            <w:shd w:val="clear" w:color="auto" w:fill="auto"/>
            <w:noWrap/>
            <w:hideMark/>
          </w:tcPr>
          <w:p w14:paraId="773FCDC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74BD2010" w14:textId="77777777" w:rsidTr="00436CD0">
        <w:trPr>
          <w:trHeight w:val="290"/>
        </w:trPr>
        <w:tc>
          <w:tcPr>
            <w:tcW w:w="976" w:type="pct"/>
            <w:tcBorders>
              <w:top w:val="nil"/>
              <w:left w:val="nil"/>
              <w:bottom w:val="nil"/>
              <w:right w:val="nil"/>
            </w:tcBorders>
            <w:shd w:val="clear" w:color="auto" w:fill="auto"/>
            <w:noWrap/>
            <w:hideMark/>
          </w:tcPr>
          <w:p w14:paraId="72F794E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Mbar_A3251</w:t>
            </w:r>
          </w:p>
        </w:tc>
        <w:tc>
          <w:tcPr>
            <w:tcW w:w="3106" w:type="pct"/>
            <w:tcBorders>
              <w:top w:val="nil"/>
              <w:left w:val="nil"/>
              <w:bottom w:val="nil"/>
              <w:right w:val="nil"/>
            </w:tcBorders>
            <w:shd w:val="clear" w:color="auto" w:fill="auto"/>
            <w:noWrap/>
            <w:hideMark/>
          </w:tcPr>
          <w:p w14:paraId="1F19097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Adenosylhomocysteinase</w:t>
            </w:r>
          </w:p>
        </w:tc>
        <w:tc>
          <w:tcPr>
            <w:tcW w:w="918" w:type="pct"/>
            <w:tcBorders>
              <w:top w:val="nil"/>
              <w:left w:val="nil"/>
              <w:bottom w:val="nil"/>
              <w:right w:val="nil"/>
            </w:tcBorders>
            <w:shd w:val="clear" w:color="auto" w:fill="auto"/>
            <w:noWrap/>
            <w:hideMark/>
          </w:tcPr>
          <w:p w14:paraId="1E8BD02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394F5011" w14:textId="77777777" w:rsidTr="00436CD0">
        <w:trPr>
          <w:trHeight w:val="290"/>
        </w:trPr>
        <w:tc>
          <w:tcPr>
            <w:tcW w:w="976" w:type="pct"/>
            <w:tcBorders>
              <w:top w:val="nil"/>
              <w:left w:val="nil"/>
              <w:bottom w:val="nil"/>
              <w:right w:val="nil"/>
            </w:tcBorders>
            <w:shd w:val="clear" w:color="auto" w:fill="auto"/>
            <w:noWrap/>
            <w:hideMark/>
          </w:tcPr>
          <w:p w14:paraId="1683F2F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Mbar_A3507</w:t>
            </w:r>
          </w:p>
        </w:tc>
        <w:tc>
          <w:tcPr>
            <w:tcW w:w="3106" w:type="pct"/>
            <w:tcBorders>
              <w:top w:val="nil"/>
              <w:left w:val="nil"/>
              <w:bottom w:val="nil"/>
              <w:right w:val="nil"/>
            </w:tcBorders>
            <w:shd w:val="clear" w:color="auto" w:fill="auto"/>
            <w:noWrap/>
            <w:hideMark/>
          </w:tcPr>
          <w:p w14:paraId="5F0D7A0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Histidinol dehydrogenase </w:t>
            </w:r>
          </w:p>
        </w:tc>
        <w:tc>
          <w:tcPr>
            <w:tcW w:w="918" w:type="pct"/>
            <w:tcBorders>
              <w:top w:val="nil"/>
              <w:left w:val="nil"/>
              <w:bottom w:val="nil"/>
              <w:right w:val="nil"/>
            </w:tcBorders>
            <w:shd w:val="clear" w:color="auto" w:fill="auto"/>
            <w:noWrap/>
            <w:hideMark/>
          </w:tcPr>
          <w:p w14:paraId="231009A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1827156C" w14:textId="77777777" w:rsidTr="00436CD0">
        <w:trPr>
          <w:trHeight w:val="290"/>
        </w:trPr>
        <w:tc>
          <w:tcPr>
            <w:tcW w:w="976" w:type="pct"/>
            <w:tcBorders>
              <w:top w:val="nil"/>
              <w:left w:val="nil"/>
              <w:bottom w:val="nil"/>
              <w:right w:val="nil"/>
            </w:tcBorders>
            <w:shd w:val="clear" w:color="auto" w:fill="auto"/>
            <w:noWrap/>
            <w:hideMark/>
          </w:tcPr>
          <w:p w14:paraId="32BF747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Mbar_A0666</w:t>
            </w:r>
          </w:p>
        </w:tc>
        <w:tc>
          <w:tcPr>
            <w:tcW w:w="3106" w:type="pct"/>
            <w:tcBorders>
              <w:top w:val="nil"/>
              <w:left w:val="nil"/>
              <w:bottom w:val="nil"/>
              <w:right w:val="nil"/>
            </w:tcBorders>
            <w:shd w:val="clear" w:color="auto" w:fill="auto"/>
            <w:noWrap/>
            <w:hideMark/>
          </w:tcPr>
          <w:p w14:paraId="75E2EBD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Glutamine synthetase </w:t>
            </w:r>
          </w:p>
        </w:tc>
        <w:tc>
          <w:tcPr>
            <w:tcW w:w="918" w:type="pct"/>
            <w:tcBorders>
              <w:top w:val="nil"/>
              <w:left w:val="nil"/>
              <w:bottom w:val="nil"/>
              <w:right w:val="nil"/>
            </w:tcBorders>
            <w:shd w:val="clear" w:color="auto" w:fill="auto"/>
            <w:noWrap/>
            <w:hideMark/>
          </w:tcPr>
          <w:p w14:paraId="1D7E7A5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1.87</w:t>
            </w:r>
          </w:p>
        </w:tc>
      </w:tr>
      <w:tr w:rsidR="00436CD0" w:rsidRPr="00C44D8C" w14:paraId="1C240245" w14:textId="77777777" w:rsidTr="00436CD0">
        <w:trPr>
          <w:trHeight w:val="290"/>
        </w:trPr>
        <w:tc>
          <w:tcPr>
            <w:tcW w:w="976" w:type="pct"/>
            <w:tcBorders>
              <w:top w:val="nil"/>
              <w:left w:val="nil"/>
              <w:bottom w:val="nil"/>
              <w:right w:val="nil"/>
            </w:tcBorders>
            <w:shd w:val="clear" w:color="auto" w:fill="auto"/>
            <w:noWrap/>
            <w:hideMark/>
          </w:tcPr>
          <w:p w14:paraId="67CC832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Mbar_A2428</w:t>
            </w:r>
          </w:p>
        </w:tc>
        <w:tc>
          <w:tcPr>
            <w:tcW w:w="3106" w:type="pct"/>
            <w:tcBorders>
              <w:top w:val="nil"/>
              <w:left w:val="nil"/>
              <w:bottom w:val="nil"/>
              <w:right w:val="nil"/>
            </w:tcBorders>
            <w:shd w:val="clear" w:color="auto" w:fill="auto"/>
            <w:noWrap/>
            <w:hideMark/>
          </w:tcPr>
          <w:p w14:paraId="2BD18EA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Homoserine O-acetyltransferase</w:t>
            </w:r>
          </w:p>
        </w:tc>
        <w:tc>
          <w:tcPr>
            <w:tcW w:w="918" w:type="pct"/>
            <w:tcBorders>
              <w:top w:val="nil"/>
              <w:left w:val="nil"/>
              <w:bottom w:val="nil"/>
              <w:right w:val="nil"/>
            </w:tcBorders>
            <w:shd w:val="clear" w:color="auto" w:fill="auto"/>
            <w:noWrap/>
            <w:hideMark/>
          </w:tcPr>
          <w:p w14:paraId="215A315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32CBE8B6" w14:textId="77777777" w:rsidTr="00436CD0">
        <w:trPr>
          <w:trHeight w:val="290"/>
        </w:trPr>
        <w:tc>
          <w:tcPr>
            <w:tcW w:w="976" w:type="pct"/>
            <w:tcBorders>
              <w:top w:val="nil"/>
              <w:left w:val="nil"/>
              <w:bottom w:val="nil"/>
              <w:right w:val="nil"/>
            </w:tcBorders>
            <w:shd w:val="clear" w:color="auto" w:fill="auto"/>
            <w:noWrap/>
            <w:hideMark/>
          </w:tcPr>
          <w:p w14:paraId="2C77C9D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Mbar_A0624</w:t>
            </w:r>
          </w:p>
        </w:tc>
        <w:tc>
          <w:tcPr>
            <w:tcW w:w="3106" w:type="pct"/>
            <w:tcBorders>
              <w:top w:val="nil"/>
              <w:left w:val="nil"/>
              <w:bottom w:val="nil"/>
              <w:right w:val="nil"/>
            </w:tcBorders>
            <w:shd w:val="clear" w:color="auto" w:fill="auto"/>
            <w:noWrap/>
            <w:hideMark/>
          </w:tcPr>
          <w:p w14:paraId="0A87F0F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2-isopropylmalate synthase</w:t>
            </w:r>
          </w:p>
        </w:tc>
        <w:tc>
          <w:tcPr>
            <w:tcW w:w="918" w:type="pct"/>
            <w:tcBorders>
              <w:top w:val="nil"/>
              <w:left w:val="nil"/>
              <w:bottom w:val="nil"/>
              <w:right w:val="nil"/>
            </w:tcBorders>
            <w:shd w:val="clear" w:color="auto" w:fill="auto"/>
            <w:noWrap/>
            <w:hideMark/>
          </w:tcPr>
          <w:p w14:paraId="1C34DB4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4F432759" w14:textId="77777777" w:rsidTr="00436CD0">
        <w:trPr>
          <w:trHeight w:val="290"/>
        </w:trPr>
        <w:tc>
          <w:tcPr>
            <w:tcW w:w="976" w:type="pct"/>
            <w:tcBorders>
              <w:top w:val="nil"/>
              <w:left w:val="nil"/>
              <w:bottom w:val="nil"/>
              <w:right w:val="nil"/>
            </w:tcBorders>
            <w:shd w:val="clear" w:color="auto" w:fill="auto"/>
            <w:noWrap/>
            <w:hideMark/>
          </w:tcPr>
          <w:p w14:paraId="53AB6C6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Mbar_A3140</w:t>
            </w:r>
          </w:p>
        </w:tc>
        <w:tc>
          <w:tcPr>
            <w:tcW w:w="3106" w:type="pct"/>
            <w:tcBorders>
              <w:top w:val="nil"/>
              <w:left w:val="nil"/>
              <w:bottom w:val="nil"/>
              <w:right w:val="nil"/>
            </w:tcBorders>
            <w:shd w:val="clear" w:color="auto" w:fill="auto"/>
            <w:noWrap/>
            <w:hideMark/>
          </w:tcPr>
          <w:p w14:paraId="72698C0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Mannose-6-phosphate isomerase, type 2 </w:t>
            </w:r>
          </w:p>
        </w:tc>
        <w:tc>
          <w:tcPr>
            <w:tcW w:w="918" w:type="pct"/>
            <w:tcBorders>
              <w:top w:val="nil"/>
              <w:left w:val="nil"/>
              <w:bottom w:val="nil"/>
              <w:right w:val="nil"/>
            </w:tcBorders>
            <w:shd w:val="clear" w:color="auto" w:fill="auto"/>
            <w:noWrap/>
            <w:hideMark/>
          </w:tcPr>
          <w:p w14:paraId="562E74C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203129F8" w14:textId="77777777" w:rsidTr="00436CD0">
        <w:trPr>
          <w:trHeight w:val="290"/>
        </w:trPr>
        <w:tc>
          <w:tcPr>
            <w:tcW w:w="976" w:type="pct"/>
            <w:tcBorders>
              <w:top w:val="nil"/>
              <w:left w:val="nil"/>
              <w:bottom w:val="nil"/>
              <w:right w:val="nil"/>
            </w:tcBorders>
            <w:shd w:val="clear" w:color="auto" w:fill="auto"/>
            <w:noWrap/>
            <w:hideMark/>
          </w:tcPr>
          <w:p w14:paraId="5E49637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Mbar_A2192</w:t>
            </w:r>
          </w:p>
        </w:tc>
        <w:tc>
          <w:tcPr>
            <w:tcW w:w="3106" w:type="pct"/>
            <w:tcBorders>
              <w:top w:val="nil"/>
              <w:left w:val="nil"/>
              <w:bottom w:val="nil"/>
              <w:right w:val="nil"/>
            </w:tcBorders>
            <w:shd w:val="clear" w:color="auto" w:fill="auto"/>
            <w:noWrap/>
            <w:hideMark/>
          </w:tcPr>
          <w:p w14:paraId="407A8A4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2-isopropylmalate synthase</w:t>
            </w:r>
          </w:p>
        </w:tc>
        <w:tc>
          <w:tcPr>
            <w:tcW w:w="918" w:type="pct"/>
            <w:tcBorders>
              <w:top w:val="nil"/>
              <w:left w:val="nil"/>
              <w:bottom w:val="nil"/>
              <w:right w:val="nil"/>
            </w:tcBorders>
            <w:shd w:val="clear" w:color="auto" w:fill="auto"/>
            <w:noWrap/>
            <w:hideMark/>
          </w:tcPr>
          <w:p w14:paraId="3818884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1.83</w:t>
            </w:r>
          </w:p>
        </w:tc>
      </w:tr>
      <w:tr w:rsidR="00436CD0" w:rsidRPr="00C44D8C" w14:paraId="66E3367A" w14:textId="77777777" w:rsidTr="00436CD0">
        <w:trPr>
          <w:trHeight w:val="290"/>
        </w:trPr>
        <w:tc>
          <w:tcPr>
            <w:tcW w:w="976" w:type="pct"/>
            <w:tcBorders>
              <w:top w:val="nil"/>
              <w:left w:val="nil"/>
              <w:bottom w:val="nil"/>
              <w:right w:val="nil"/>
            </w:tcBorders>
            <w:shd w:val="clear" w:color="auto" w:fill="auto"/>
            <w:noWrap/>
            <w:hideMark/>
          </w:tcPr>
          <w:p w14:paraId="1923D39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Mbar_A0760</w:t>
            </w:r>
          </w:p>
        </w:tc>
        <w:tc>
          <w:tcPr>
            <w:tcW w:w="3106" w:type="pct"/>
            <w:tcBorders>
              <w:top w:val="nil"/>
              <w:left w:val="nil"/>
              <w:bottom w:val="nil"/>
              <w:right w:val="nil"/>
            </w:tcBorders>
            <w:shd w:val="clear" w:color="auto" w:fill="auto"/>
            <w:noWrap/>
            <w:hideMark/>
          </w:tcPr>
          <w:p w14:paraId="0E78AF5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Aspartate-semialdehyde dehydrogenase</w:t>
            </w:r>
          </w:p>
        </w:tc>
        <w:tc>
          <w:tcPr>
            <w:tcW w:w="918" w:type="pct"/>
            <w:tcBorders>
              <w:top w:val="nil"/>
              <w:left w:val="nil"/>
              <w:bottom w:val="nil"/>
              <w:right w:val="nil"/>
            </w:tcBorders>
            <w:shd w:val="clear" w:color="auto" w:fill="auto"/>
            <w:noWrap/>
            <w:hideMark/>
          </w:tcPr>
          <w:p w14:paraId="46EC00B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1.82</w:t>
            </w:r>
          </w:p>
        </w:tc>
      </w:tr>
      <w:tr w:rsidR="00436CD0" w:rsidRPr="00C44D8C" w14:paraId="2CD086EE" w14:textId="77777777" w:rsidTr="00436CD0">
        <w:trPr>
          <w:trHeight w:val="290"/>
        </w:trPr>
        <w:tc>
          <w:tcPr>
            <w:tcW w:w="976" w:type="pct"/>
            <w:tcBorders>
              <w:top w:val="nil"/>
              <w:left w:val="nil"/>
              <w:bottom w:val="nil"/>
              <w:right w:val="nil"/>
            </w:tcBorders>
            <w:shd w:val="clear" w:color="auto" w:fill="auto"/>
            <w:noWrap/>
            <w:hideMark/>
          </w:tcPr>
          <w:p w14:paraId="35ADDEA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Mbar_A0210</w:t>
            </w:r>
          </w:p>
        </w:tc>
        <w:tc>
          <w:tcPr>
            <w:tcW w:w="3106" w:type="pct"/>
            <w:tcBorders>
              <w:top w:val="nil"/>
              <w:left w:val="nil"/>
              <w:bottom w:val="nil"/>
              <w:right w:val="nil"/>
            </w:tcBorders>
            <w:shd w:val="clear" w:color="auto" w:fill="auto"/>
            <w:noWrap/>
            <w:hideMark/>
          </w:tcPr>
          <w:p w14:paraId="6A43A1E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ACT domain protein</w:t>
            </w:r>
          </w:p>
        </w:tc>
        <w:tc>
          <w:tcPr>
            <w:tcW w:w="918" w:type="pct"/>
            <w:tcBorders>
              <w:top w:val="nil"/>
              <w:left w:val="nil"/>
              <w:bottom w:val="nil"/>
              <w:right w:val="nil"/>
            </w:tcBorders>
            <w:shd w:val="clear" w:color="auto" w:fill="auto"/>
            <w:noWrap/>
            <w:hideMark/>
          </w:tcPr>
          <w:p w14:paraId="3FA80B9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1.82</w:t>
            </w:r>
          </w:p>
        </w:tc>
      </w:tr>
      <w:tr w:rsidR="00436CD0" w:rsidRPr="00C44D8C" w14:paraId="5AE98379" w14:textId="77777777" w:rsidTr="00436CD0">
        <w:trPr>
          <w:trHeight w:val="290"/>
        </w:trPr>
        <w:tc>
          <w:tcPr>
            <w:tcW w:w="976" w:type="pct"/>
            <w:tcBorders>
              <w:top w:val="nil"/>
              <w:left w:val="nil"/>
              <w:bottom w:val="nil"/>
              <w:right w:val="nil"/>
            </w:tcBorders>
            <w:shd w:val="clear" w:color="auto" w:fill="auto"/>
            <w:noWrap/>
            <w:hideMark/>
          </w:tcPr>
          <w:p w14:paraId="56D5165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Mbar_A3627</w:t>
            </w:r>
          </w:p>
        </w:tc>
        <w:tc>
          <w:tcPr>
            <w:tcW w:w="3106" w:type="pct"/>
            <w:tcBorders>
              <w:top w:val="nil"/>
              <w:left w:val="nil"/>
              <w:bottom w:val="nil"/>
              <w:right w:val="nil"/>
            </w:tcBorders>
            <w:shd w:val="clear" w:color="auto" w:fill="auto"/>
            <w:noWrap/>
            <w:hideMark/>
          </w:tcPr>
          <w:p w14:paraId="47C755E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Anthranilate synthase, component II </w:t>
            </w:r>
          </w:p>
        </w:tc>
        <w:tc>
          <w:tcPr>
            <w:tcW w:w="918" w:type="pct"/>
            <w:tcBorders>
              <w:top w:val="nil"/>
              <w:left w:val="nil"/>
              <w:bottom w:val="nil"/>
              <w:right w:val="nil"/>
            </w:tcBorders>
            <w:shd w:val="clear" w:color="auto" w:fill="auto"/>
            <w:noWrap/>
            <w:hideMark/>
          </w:tcPr>
          <w:p w14:paraId="45369B1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1.81</w:t>
            </w:r>
          </w:p>
        </w:tc>
      </w:tr>
      <w:tr w:rsidR="00436CD0" w:rsidRPr="00C44D8C" w14:paraId="619C1C67" w14:textId="77777777" w:rsidTr="00436CD0">
        <w:trPr>
          <w:trHeight w:val="290"/>
        </w:trPr>
        <w:tc>
          <w:tcPr>
            <w:tcW w:w="976" w:type="pct"/>
            <w:tcBorders>
              <w:top w:val="nil"/>
              <w:left w:val="nil"/>
              <w:bottom w:val="nil"/>
              <w:right w:val="nil"/>
            </w:tcBorders>
            <w:shd w:val="clear" w:color="auto" w:fill="auto"/>
            <w:noWrap/>
            <w:hideMark/>
          </w:tcPr>
          <w:p w14:paraId="4B658DE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Mbar_A1312</w:t>
            </w:r>
          </w:p>
        </w:tc>
        <w:tc>
          <w:tcPr>
            <w:tcW w:w="3106" w:type="pct"/>
            <w:tcBorders>
              <w:top w:val="nil"/>
              <w:left w:val="nil"/>
              <w:bottom w:val="nil"/>
              <w:right w:val="nil"/>
            </w:tcBorders>
            <w:shd w:val="clear" w:color="auto" w:fill="auto"/>
            <w:noWrap/>
            <w:hideMark/>
          </w:tcPr>
          <w:p w14:paraId="1202963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ATP phosphoribosyltransferase </w:t>
            </w:r>
          </w:p>
        </w:tc>
        <w:tc>
          <w:tcPr>
            <w:tcW w:w="918" w:type="pct"/>
            <w:tcBorders>
              <w:top w:val="nil"/>
              <w:left w:val="nil"/>
              <w:bottom w:val="nil"/>
              <w:right w:val="nil"/>
            </w:tcBorders>
            <w:shd w:val="clear" w:color="auto" w:fill="auto"/>
            <w:noWrap/>
            <w:hideMark/>
          </w:tcPr>
          <w:p w14:paraId="0848882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64974423" w14:textId="77777777" w:rsidTr="00436CD0">
        <w:trPr>
          <w:trHeight w:val="290"/>
        </w:trPr>
        <w:tc>
          <w:tcPr>
            <w:tcW w:w="976" w:type="pct"/>
            <w:tcBorders>
              <w:top w:val="nil"/>
              <w:left w:val="nil"/>
              <w:bottom w:val="nil"/>
              <w:right w:val="nil"/>
            </w:tcBorders>
            <w:shd w:val="clear" w:color="auto" w:fill="auto"/>
            <w:noWrap/>
            <w:hideMark/>
          </w:tcPr>
          <w:p w14:paraId="3CFA8C4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Mbar_A0872</w:t>
            </w:r>
          </w:p>
        </w:tc>
        <w:tc>
          <w:tcPr>
            <w:tcW w:w="3106" w:type="pct"/>
            <w:tcBorders>
              <w:top w:val="nil"/>
              <w:left w:val="nil"/>
              <w:bottom w:val="nil"/>
              <w:right w:val="nil"/>
            </w:tcBorders>
            <w:shd w:val="clear" w:color="auto" w:fill="auto"/>
            <w:noWrap/>
            <w:hideMark/>
          </w:tcPr>
          <w:p w14:paraId="72E3AEF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Histidinol-phosphate aminotransferase </w:t>
            </w:r>
          </w:p>
        </w:tc>
        <w:tc>
          <w:tcPr>
            <w:tcW w:w="918" w:type="pct"/>
            <w:tcBorders>
              <w:top w:val="nil"/>
              <w:left w:val="nil"/>
              <w:bottom w:val="nil"/>
              <w:right w:val="nil"/>
            </w:tcBorders>
            <w:shd w:val="clear" w:color="auto" w:fill="auto"/>
            <w:noWrap/>
            <w:hideMark/>
          </w:tcPr>
          <w:p w14:paraId="23BB542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5B778936" w14:textId="77777777" w:rsidTr="00436CD0">
        <w:trPr>
          <w:trHeight w:val="290"/>
        </w:trPr>
        <w:tc>
          <w:tcPr>
            <w:tcW w:w="976" w:type="pct"/>
            <w:tcBorders>
              <w:top w:val="nil"/>
              <w:left w:val="nil"/>
              <w:bottom w:val="nil"/>
              <w:right w:val="nil"/>
            </w:tcBorders>
            <w:shd w:val="clear" w:color="auto" w:fill="auto"/>
            <w:noWrap/>
            <w:hideMark/>
          </w:tcPr>
          <w:p w14:paraId="1A1DDDD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Mbar_A2375</w:t>
            </w:r>
          </w:p>
        </w:tc>
        <w:tc>
          <w:tcPr>
            <w:tcW w:w="3106" w:type="pct"/>
            <w:tcBorders>
              <w:top w:val="nil"/>
              <w:left w:val="nil"/>
              <w:bottom w:val="nil"/>
              <w:right w:val="nil"/>
            </w:tcBorders>
            <w:shd w:val="clear" w:color="auto" w:fill="auto"/>
            <w:noWrap/>
            <w:hideMark/>
          </w:tcPr>
          <w:p w14:paraId="06D5376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Carbamoyl-phosphate synthase small chain</w:t>
            </w:r>
          </w:p>
        </w:tc>
        <w:tc>
          <w:tcPr>
            <w:tcW w:w="918" w:type="pct"/>
            <w:tcBorders>
              <w:top w:val="nil"/>
              <w:left w:val="nil"/>
              <w:bottom w:val="nil"/>
              <w:right w:val="nil"/>
            </w:tcBorders>
            <w:shd w:val="clear" w:color="auto" w:fill="auto"/>
            <w:noWrap/>
            <w:hideMark/>
          </w:tcPr>
          <w:p w14:paraId="3CBA8B1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70A6D04A" w14:textId="77777777" w:rsidTr="00436CD0">
        <w:trPr>
          <w:trHeight w:val="290"/>
        </w:trPr>
        <w:tc>
          <w:tcPr>
            <w:tcW w:w="976" w:type="pct"/>
            <w:tcBorders>
              <w:top w:val="nil"/>
              <w:left w:val="nil"/>
              <w:bottom w:val="nil"/>
              <w:right w:val="nil"/>
            </w:tcBorders>
            <w:shd w:val="clear" w:color="auto" w:fill="auto"/>
            <w:noWrap/>
            <w:hideMark/>
          </w:tcPr>
          <w:p w14:paraId="13D7C6D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Mbar_A2421</w:t>
            </w:r>
          </w:p>
        </w:tc>
        <w:tc>
          <w:tcPr>
            <w:tcW w:w="3106" w:type="pct"/>
            <w:tcBorders>
              <w:top w:val="nil"/>
              <w:left w:val="nil"/>
              <w:bottom w:val="nil"/>
              <w:right w:val="nil"/>
            </w:tcBorders>
            <w:shd w:val="clear" w:color="auto" w:fill="auto"/>
            <w:noWrap/>
            <w:hideMark/>
          </w:tcPr>
          <w:p w14:paraId="57F4FBD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Serine O-acetyltransferase</w:t>
            </w:r>
          </w:p>
        </w:tc>
        <w:tc>
          <w:tcPr>
            <w:tcW w:w="918" w:type="pct"/>
            <w:tcBorders>
              <w:top w:val="nil"/>
              <w:left w:val="nil"/>
              <w:bottom w:val="nil"/>
              <w:right w:val="nil"/>
            </w:tcBorders>
            <w:shd w:val="clear" w:color="auto" w:fill="auto"/>
            <w:noWrap/>
            <w:hideMark/>
          </w:tcPr>
          <w:p w14:paraId="6C6EC5C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2B6BE842" w14:textId="77777777" w:rsidTr="00436CD0">
        <w:trPr>
          <w:trHeight w:val="290"/>
        </w:trPr>
        <w:tc>
          <w:tcPr>
            <w:tcW w:w="976" w:type="pct"/>
            <w:tcBorders>
              <w:top w:val="nil"/>
              <w:left w:val="nil"/>
              <w:bottom w:val="nil"/>
              <w:right w:val="nil"/>
            </w:tcBorders>
            <w:shd w:val="clear" w:color="auto" w:fill="auto"/>
            <w:noWrap/>
            <w:hideMark/>
          </w:tcPr>
          <w:p w14:paraId="4A91951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Mbar_A2177</w:t>
            </w:r>
          </w:p>
        </w:tc>
        <w:tc>
          <w:tcPr>
            <w:tcW w:w="3106" w:type="pct"/>
            <w:tcBorders>
              <w:top w:val="nil"/>
              <w:left w:val="nil"/>
              <w:bottom w:val="nil"/>
              <w:right w:val="nil"/>
            </w:tcBorders>
            <w:shd w:val="clear" w:color="auto" w:fill="auto"/>
            <w:noWrap/>
            <w:hideMark/>
          </w:tcPr>
          <w:p w14:paraId="4E11E7C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Ornithine decarboxylase </w:t>
            </w:r>
          </w:p>
        </w:tc>
        <w:tc>
          <w:tcPr>
            <w:tcW w:w="918" w:type="pct"/>
            <w:tcBorders>
              <w:top w:val="nil"/>
              <w:left w:val="nil"/>
              <w:bottom w:val="nil"/>
              <w:right w:val="nil"/>
            </w:tcBorders>
            <w:shd w:val="clear" w:color="auto" w:fill="auto"/>
            <w:noWrap/>
            <w:hideMark/>
          </w:tcPr>
          <w:p w14:paraId="1FF5954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17D54ED3" w14:textId="77777777" w:rsidTr="00436CD0">
        <w:trPr>
          <w:trHeight w:val="290"/>
        </w:trPr>
        <w:tc>
          <w:tcPr>
            <w:tcW w:w="976" w:type="pct"/>
            <w:tcBorders>
              <w:top w:val="nil"/>
              <w:left w:val="nil"/>
              <w:bottom w:val="nil"/>
              <w:right w:val="nil"/>
            </w:tcBorders>
            <w:shd w:val="clear" w:color="auto" w:fill="auto"/>
            <w:noWrap/>
            <w:hideMark/>
          </w:tcPr>
          <w:p w14:paraId="65B9F94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Mbar_A2933</w:t>
            </w:r>
          </w:p>
        </w:tc>
        <w:tc>
          <w:tcPr>
            <w:tcW w:w="3106" w:type="pct"/>
            <w:tcBorders>
              <w:top w:val="nil"/>
              <w:left w:val="nil"/>
              <w:bottom w:val="nil"/>
              <w:right w:val="nil"/>
            </w:tcBorders>
            <w:shd w:val="clear" w:color="auto" w:fill="auto"/>
            <w:noWrap/>
            <w:hideMark/>
          </w:tcPr>
          <w:p w14:paraId="2A9DEA3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Hydantoinase/oxoprolinase</w:t>
            </w:r>
          </w:p>
        </w:tc>
        <w:tc>
          <w:tcPr>
            <w:tcW w:w="918" w:type="pct"/>
            <w:tcBorders>
              <w:top w:val="nil"/>
              <w:left w:val="nil"/>
              <w:bottom w:val="nil"/>
              <w:right w:val="nil"/>
            </w:tcBorders>
            <w:shd w:val="clear" w:color="auto" w:fill="auto"/>
            <w:noWrap/>
            <w:hideMark/>
          </w:tcPr>
          <w:p w14:paraId="072E573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04473857" w14:textId="77777777" w:rsidTr="00436CD0">
        <w:trPr>
          <w:trHeight w:val="290"/>
        </w:trPr>
        <w:tc>
          <w:tcPr>
            <w:tcW w:w="976" w:type="pct"/>
            <w:tcBorders>
              <w:top w:val="nil"/>
              <w:left w:val="nil"/>
              <w:bottom w:val="nil"/>
              <w:right w:val="nil"/>
            </w:tcBorders>
            <w:shd w:val="clear" w:color="auto" w:fill="auto"/>
            <w:noWrap/>
            <w:hideMark/>
          </w:tcPr>
          <w:p w14:paraId="6D3DA6B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Mbar_A2083</w:t>
            </w:r>
          </w:p>
        </w:tc>
        <w:tc>
          <w:tcPr>
            <w:tcW w:w="3106" w:type="pct"/>
            <w:tcBorders>
              <w:top w:val="nil"/>
              <w:left w:val="nil"/>
              <w:bottom w:val="nil"/>
              <w:right w:val="nil"/>
            </w:tcBorders>
            <w:shd w:val="clear" w:color="auto" w:fill="auto"/>
            <w:noWrap/>
            <w:hideMark/>
          </w:tcPr>
          <w:p w14:paraId="71312E1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Aminotransferase</w:t>
            </w:r>
          </w:p>
        </w:tc>
        <w:tc>
          <w:tcPr>
            <w:tcW w:w="918" w:type="pct"/>
            <w:tcBorders>
              <w:top w:val="nil"/>
              <w:left w:val="nil"/>
              <w:bottom w:val="nil"/>
              <w:right w:val="nil"/>
            </w:tcBorders>
            <w:shd w:val="clear" w:color="auto" w:fill="auto"/>
            <w:noWrap/>
            <w:hideMark/>
          </w:tcPr>
          <w:p w14:paraId="06C30FF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1.74</w:t>
            </w:r>
          </w:p>
        </w:tc>
      </w:tr>
      <w:tr w:rsidR="00436CD0" w:rsidRPr="00C44D8C" w14:paraId="6D3E6BD9" w14:textId="77777777" w:rsidTr="00436CD0">
        <w:trPr>
          <w:trHeight w:val="290"/>
        </w:trPr>
        <w:tc>
          <w:tcPr>
            <w:tcW w:w="976" w:type="pct"/>
            <w:tcBorders>
              <w:top w:val="nil"/>
              <w:left w:val="nil"/>
              <w:bottom w:val="nil"/>
              <w:right w:val="nil"/>
            </w:tcBorders>
            <w:shd w:val="clear" w:color="auto" w:fill="auto"/>
            <w:noWrap/>
            <w:hideMark/>
          </w:tcPr>
          <w:p w14:paraId="3B49266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Mbar_A0861</w:t>
            </w:r>
          </w:p>
        </w:tc>
        <w:tc>
          <w:tcPr>
            <w:tcW w:w="3106" w:type="pct"/>
            <w:tcBorders>
              <w:top w:val="nil"/>
              <w:left w:val="nil"/>
              <w:bottom w:val="nil"/>
              <w:right w:val="nil"/>
            </w:tcBorders>
            <w:shd w:val="clear" w:color="auto" w:fill="auto"/>
            <w:noWrap/>
            <w:hideMark/>
          </w:tcPr>
          <w:p w14:paraId="00529A6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Aspartokinase </w:t>
            </w:r>
          </w:p>
        </w:tc>
        <w:tc>
          <w:tcPr>
            <w:tcW w:w="918" w:type="pct"/>
            <w:tcBorders>
              <w:top w:val="nil"/>
              <w:left w:val="nil"/>
              <w:bottom w:val="nil"/>
              <w:right w:val="nil"/>
            </w:tcBorders>
            <w:shd w:val="clear" w:color="auto" w:fill="auto"/>
            <w:noWrap/>
            <w:hideMark/>
          </w:tcPr>
          <w:p w14:paraId="7BFB281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51E44D8A" w14:textId="77777777" w:rsidTr="00436CD0">
        <w:trPr>
          <w:trHeight w:val="290"/>
        </w:trPr>
        <w:tc>
          <w:tcPr>
            <w:tcW w:w="976" w:type="pct"/>
            <w:tcBorders>
              <w:top w:val="nil"/>
              <w:left w:val="nil"/>
              <w:bottom w:val="nil"/>
              <w:right w:val="nil"/>
            </w:tcBorders>
            <w:shd w:val="clear" w:color="auto" w:fill="auto"/>
            <w:noWrap/>
            <w:hideMark/>
          </w:tcPr>
          <w:p w14:paraId="0EBC5C8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Mbar_A3622</w:t>
            </w:r>
          </w:p>
        </w:tc>
        <w:tc>
          <w:tcPr>
            <w:tcW w:w="3106" w:type="pct"/>
            <w:tcBorders>
              <w:top w:val="nil"/>
              <w:left w:val="nil"/>
              <w:bottom w:val="nil"/>
              <w:right w:val="nil"/>
            </w:tcBorders>
            <w:shd w:val="clear" w:color="auto" w:fill="auto"/>
            <w:noWrap/>
            <w:hideMark/>
          </w:tcPr>
          <w:p w14:paraId="6B370BF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Tryptophan synthase beta chain </w:t>
            </w:r>
          </w:p>
        </w:tc>
        <w:tc>
          <w:tcPr>
            <w:tcW w:w="918" w:type="pct"/>
            <w:tcBorders>
              <w:top w:val="nil"/>
              <w:left w:val="nil"/>
              <w:bottom w:val="nil"/>
              <w:right w:val="nil"/>
            </w:tcBorders>
            <w:shd w:val="clear" w:color="auto" w:fill="auto"/>
            <w:noWrap/>
            <w:hideMark/>
          </w:tcPr>
          <w:p w14:paraId="39D23FB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5DFA0BBA" w14:textId="77777777" w:rsidTr="00436CD0">
        <w:trPr>
          <w:trHeight w:val="290"/>
        </w:trPr>
        <w:tc>
          <w:tcPr>
            <w:tcW w:w="976" w:type="pct"/>
            <w:tcBorders>
              <w:top w:val="nil"/>
              <w:left w:val="nil"/>
              <w:bottom w:val="nil"/>
              <w:right w:val="nil"/>
            </w:tcBorders>
            <w:shd w:val="clear" w:color="auto" w:fill="auto"/>
            <w:noWrap/>
            <w:hideMark/>
          </w:tcPr>
          <w:p w14:paraId="3E7F881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Mbar_A2080</w:t>
            </w:r>
          </w:p>
        </w:tc>
        <w:tc>
          <w:tcPr>
            <w:tcW w:w="3106" w:type="pct"/>
            <w:tcBorders>
              <w:top w:val="nil"/>
              <w:left w:val="nil"/>
              <w:bottom w:val="nil"/>
              <w:right w:val="nil"/>
            </w:tcBorders>
            <w:shd w:val="clear" w:color="auto" w:fill="auto"/>
            <w:noWrap/>
            <w:hideMark/>
          </w:tcPr>
          <w:p w14:paraId="3D94B5D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Phosphoserine aminotransferase apoenzyme/L-aspartate aminotransferase apoenzyme</w:t>
            </w:r>
          </w:p>
        </w:tc>
        <w:tc>
          <w:tcPr>
            <w:tcW w:w="918" w:type="pct"/>
            <w:tcBorders>
              <w:top w:val="nil"/>
              <w:left w:val="nil"/>
              <w:bottom w:val="nil"/>
              <w:right w:val="nil"/>
            </w:tcBorders>
            <w:shd w:val="clear" w:color="auto" w:fill="auto"/>
            <w:noWrap/>
            <w:hideMark/>
          </w:tcPr>
          <w:p w14:paraId="0D10F0F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1.67</w:t>
            </w:r>
          </w:p>
        </w:tc>
      </w:tr>
      <w:tr w:rsidR="00436CD0" w:rsidRPr="00C44D8C" w14:paraId="0B83C488" w14:textId="77777777" w:rsidTr="00436CD0">
        <w:trPr>
          <w:trHeight w:val="290"/>
        </w:trPr>
        <w:tc>
          <w:tcPr>
            <w:tcW w:w="976" w:type="pct"/>
            <w:tcBorders>
              <w:top w:val="nil"/>
              <w:left w:val="nil"/>
              <w:bottom w:val="nil"/>
              <w:right w:val="nil"/>
            </w:tcBorders>
            <w:shd w:val="clear" w:color="auto" w:fill="auto"/>
            <w:noWrap/>
            <w:hideMark/>
          </w:tcPr>
          <w:p w14:paraId="5CA0B50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Mbar_A0481</w:t>
            </w:r>
          </w:p>
        </w:tc>
        <w:tc>
          <w:tcPr>
            <w:tcW w:w="3106" w:type="pct"/>
            <w:tcBorders>
              <w:top w:val="nil"/>
              <w:left w:val="nil"/>
              <w:bottom w:val="nil"/>
              <w:right w:val="nil"/>
            </w:tcBorders>
            <w:shd w:val="clear" w:color="auto" w:fill="auto"/>
            <w:noWrap/>
            <w:hideMark/>
          </w:tcPr>
          <w:p w14:paraId="1C4E0BA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Glutamate 5-kinase </w:t>
            </w:r>
          </w:p>
        </w:tc>
        <w:tc>
          <w:tcPr>
            <w:tcW w:w="918" w:type="pct"/>
            <w:tcBorders>
              <w:top w:val="nil"/>
              <w:left w:val="nil"/>
              <w:bottom w:val="nil"/>
              <w:right w:val="nil"/>
            </w:tcBorders>
            <w:shd w:val="clear" w:color="auto" w:fill="auto"/>
            <w:noWrap/>
            <w:hideMark/>
          </w:tcPr>
          <w:p w14:paraId="79213F3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1.65</w:t>
            </w:r>
          </w:p>
        </w:tc>
      </w:tr>
      <w:tr w:rsidR="00436CD0" w:rsidRPr="00C44D8C" w14:paraId="63129FC1" w14:textId="77777777" w:rsidTr="00436CD0">
        <w:trPr>
          <w:trHeight w:val="290"/>
        </w:trPr>
        <w:tc>
          <w:tcPr>
            <w:tcW w:w="976" w:type="pct"/>
            <w:tcBorders>
              <w:top w:val="nil"/>
              <w:left w:val="nil"/>
              <w:bottom w:val="nil"/>
              <w:right w:val="nil"/>
            </w:tcBorders>
            <w:shd w:val="clear" w:color="auto" w:fill="auto"/>
            <w:noWrap/>
            <w:hideMark/>
          </w:tcPr>
          <w:p w14:paraId="59173FE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Mbar_A0924</w:t>
            </w:r>
          </w:p>
        </w:tc>
        <w:tc>
          <w:tcPr>
            <w:tcW w:w="3106" w:type="pct"/>
            <w:tcBorders>
              <w:top w:val="nil"/>
              <w:left w:val="nil"/>
              <w:bottom w:val="nil"/>
              <w:right w:val="nil"/>
            </w:tcBorders>
            <w:shd w:val="clear" w:color="auto" w:fill="auto"/>
            <w:noWrap/>
            <w:hideMark/>
          </w:tcPr>
          <w:p w14:paraId="6BFAE74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Prephenate dehydrogenase </w:t>
            </w:r>
          </w:p>
        </w:tc>
        <w:tc>
          <w:tcPr>
            <w:tcW w:w="918" w:type="pct"/>
            <w:tcBorders>
              <w:top w:val="nil"/>
              <w:left w:val="nil"/>
              <w:bottom w:val="nil"/>
              <w:right w:val="nil"/>
            </w:tcBorders>
            <w:shd w:val="clear" w:color="auto" w:fill="auto"/>
            <w:noWrap/>
            <w:hideMark/>
          </w:tcPr>
          <w:p w14:paraId="1387FD7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1.64</w:t>
            </w:r>
          </w:p>
        </w:tc>
      </w:tr>
      <w:tr w:rsidR="00436CD0" w:rsidRPr="00C44D8C" w14:paraId="529EAE8A" w14:textId="77777777" w:rsidTr="00436CD0">
        <w:trPr>
          <w:trHeight w:val="290"/>
        </w:trPr>
        <w:tc>
          <w:tcPr>
            <w:tcW w:w="976" w:type="pct"/>
            <w:tcBorders>
              <w:top w:val="nil"/>
              <w:left w:val="nil"/>
              <w:bottom w:val="nil"/>
              <w:right w:val="nil"/>
            </w:tcBorders>
            <w:shd w:val="clear" w:color="auto" w:fill="auto"/>
            <w:noWrap/>
            <w:hideMark/>
          </w:tcPr>
          <w:p w14:paraId="5C87A8C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Mbar_A2373</w:t>
            </w:r>
          </w:p>
        </w:tc>
        <w:tc>
          <w:tcPr>
            <w:tcW w:w="3106" w:type="pct"/>
            <w:tcBorders>
              <w:top w:val="nil"/>
              <w:left w:val="nil"/>
              <w:bottom w:val="nil"/>
              <w:right w:val="nil"/>
            </w:tcBorders>
            <w:shd w:val="clear" w:color="auto" w:fill="auto"/>
            <w:noWrap/>
            <w:hideMark/>
          </w:tcPr>
          <w:p w14:paraId="5B63735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Argininosuccinate synthase</w:t>
            </w:r>
          </w:p>
        </w:tc>
        <w:tc>
          <w:tcPr>
            <w:tcW w:w="918" w:type="pct"/>
            <w:tcBorders>
              <w:top w:val="nil"/>
              <w:left w:val="nil"/>
              <w:bottom w:val="nil"/>
              <w:right w:val="nil"/>
            </w:tcBorders>
            <w:shd w:val="clear" w:color="auto" w:fill="auto"/>
            <w:noWrap/>
            <w:hideMark/>
          </w:tcPr>
          <w:p w14:paraId="114D03F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1.64</w:t>
            </w:r>
          </w:p>
        </w:tc>
      </w:tr>
      <w:tr w:rsidR="00436CD0" w:rsidRPr="00C44D8C" w14:paraId="6F57C9BD" w14:textId="77777777" w:rsidTr="00436CD0">
        <w:trPr>
          <w:trHeight w:val="290"/>
        </w:trPr>
        <w:tc>
          <w:tcPr>
            <w:tcW w:w="976" w:type="pct"/>
            <w:tcBorders>
              <w:top w:val="nil"/>
              <w:left w:val="nil"/>
              <w:bottom w:val="nil"/>
              <w:right w:val="nil"/>
            </w:tcBorders>
            <w:shd w:val="clear" w:color="auto" w:fill="auto"/>
            <w:noWrap/>
            <w:hideMark/>
          </w:tcPr>
          <w:p w14:paraId="2C9AD5B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Mbar_A3438</w:t>
            </w:r>
          </w:p>
        </w:tc>
        <w:tc>
          <w:tcPr>
            <w:tcW w:w="3106" w:type="pct"/>
            <w:tcBorders>
              <w:top w:val="nil"/>
              <w:left w:val="nil"/>
              <w:bottom w:val="nil"/>
              <w:right w:val="nil"/>
            </w:tcBorders>
            <w:shd w:val="clear" w:color="auto" w:fill="auto"/>
            <w:noWrap/>
            <w:hideMark/>
          </w:tcPr>
          <w:p w14:paraId="4B06022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1-pyrroline-5-carboxylate synthetase</w:t>
            </w:r>
          </w:p>
        </w:tc>
        <w:tc>
          <w:tcPr>
            <w:tcW w:w="918" w:type="pct"/>
            <w:tcBorders>
              <w:top w:val="nil"/>
              <w:left w:val="nil"/>
              <w:bottom w:val="nil"/>
              <w:right w:val="nil"/>
            </w:tcBorders>
            <w:shd w:val="clear" w:color="auto" w:fill="auto"/>
            <w:noWrap/>
            <w:hideMark/>
          </w:tcPr>
          <w:p w14:paraId="408CA9B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1.64</w:t>
            </w:r>
          </w:p>
        </w:tc>
      </w:tr>
      <w:tr w:rsidR="00436CD0" w:rsidRPr="00C44D8C" w14:paraId="132ABA75" w14:textId="77777777" w:rsidTr="00436CD0">
        <w:trPr>
          <w:trHeight w:val="290"/>
        </w:trPr>
        <w:tc>
          <w:tcPr>
            <w:tcW w:w="976" w:type="pct"/>
            <w:tcBorders>
              <w:top w:val="nil"/>
              <w:left w:val="nil"/>
              <w:bottom w:val="nil"/>
              <w:right w:val="nil"/>
            </w:tcBorders>
            <w:shd w:val="clear" w:color="auto" w:fill="auto"/>
            <w:noWrap/>
            <w:hideMark/>
          </w:tcPr>
          <w:p w14:paraId="15E345F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Mbar_A0217</w:t>
            </w:r>
          </w:p>
        </w:tc>
        <w:tc>
          <w:tcPr>
            <w:tcW w:w="3106" w:type="pct"/>
            <w:tcBorders>
              <w:top w:val="nil"/>
              <w:left w:val="nil"/>
              <w:bottom w:val="nil"/>
              <w:right w:val="nil"/>
            </w:tcBorders>
            <w:shd w:val="clear" w:color="auto" w:fill="auto"/>
            <w:noWrap/>
            <w:hideMark/>
          </w:tcPr>
          <w:p w14:paraId="4AFF89DE" w14:textId="77777777" w:rsidR="00436CD0" w:rsidRPr="00C44D8C" w:rsidRDefault="00436CD0" w:rsidP="00436CD0">
            <w:pPr>
              <w:rPr>
                <w:rFonts w:asciiTheme="minorHAnsi" w:hAnsiTheme="minorHAnsi"/>
                <w:color w:val="000000"/>
                <w:sz w:val="22"/>
                <w:szCs w:val="22"/>
                <w:lang w:val="it-IT" w:eastAsia="en-GB"/>
              </w:rPr>
            </w:pPr>
            <w:r w:rsidRPr="00C44D8C">
              <w:rPr>
                <w:rFonts w:asciiTheme="minorHAnsi" w:hAnsiTheme="minorHAnsi"/>
                <w:color w:val="000000"/>
                <w:sz w:val="22"/>
                <w:szCs w:val="22"/>
                <w:lang w:val="it-IT" w:eastAsia="en-GB"/>
              </w:rPr>
              <w:t xml:space="preserve">Putative (R)-citramalate synthase CimA </w:t>
            </w:r>
          </w:p>
        </w:tc>
        <w:tc>
          <w:tcPr>
            <w:tcW w:w="918" w:type="pct"/>
            <w:tcBorders>
              <w:top w:val="nil"/>
              <w:left w:val="nil"/>
              <w:bottom w:val="nil"/>
              <w:right w:val="nil"/>
            </w:tcBorders>
            <w:shd w:val="clear" w:color="auto" w:fill="auto"/>
            <w:noWrap/>
            <w:hideMark/>
          </w:tcPr>
          <w:p w14:paraId="4858D68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1.64</w:t>
            </w:r>
          </w:p>
        </w:tc>
      </w:tr>
      <w:tr w:rsidR="00436CD0" w:rsidRPr="00C44D8C" w14:paraId="0D9124EB" w14:textId="77777777" w:rsidTr="00436CD0">
        <w:trPr>
          <w:trHeight w:val="290"/>
        </w:trPr>
        <w:tc>
          <w:tcPr>
            <w:tcW w:w="976" w:type="pct"/>
            <w:tcBorders>
              <w:top w:val="nil"/>
              <w:left w:val="nil"/>
              <w:bottom w:val="nil"/>
              <w:right w:val="nil"/>
            </w:tcBorders>
            <w:shd w:val="clear" w:color="auto" w:fill="auto"/>
            <w:noWrap/>
            <w:hideMark/>
          </w:tcPr>
          <w:p w14:paraId="693FE3E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Mbar_A1068</w:t>
            </w:r>
          </w:p>
        </w:tc>
        <w:tc>
          <w:tcPr>
            <w:tcW w:w="3106" w:type="pct"/>
            <w:tcBorders>
              <w:top w:val="nil"/>
              <w:left w:val="nil"/>
              <w:bottom w:val="nil"/>
              <w:right w:val="nil"/>
            </w:tcBorders>
            <w:shd w:val="clear" w:color="auto" w:fill="auto"/>
            <w:noWrap/>
            <w:hideMark/>
          </w:tcPr>
          <w:p w14:paraId="531821F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Hydantoinase</w:t>
            </w:r>
          </w:p>
        </w:tc>
        <w:tc>
          <w:tcPr>
            <w:tcW w:w="918" w:type="pct"/>
            <w:tcBorders>
              <w:top w:val="nil"/>
              <w:left w:val="nil"/>
              <w:bottom w:val="nil"/>
              <w:right w:val="nil"/>
            </w:tcBorders>
            <w:shd w:val="clear" w:color="auto" w:fill="auto"/>
            <w:noWrap/>
            <w:hideMark/>
          </w:tcPr>
          <w:p w14:paraId="5FDBC7E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1.63</w:t>
            </w:r>
          </w:p>
        </w:tc>
      </w:tr>
      <w:tr w:rsidR="00436CD0" w:rsidRPr="00C44D8C" w14:paraId="462D7277" w14:textId="77777777" w:rsidTr="00436CD0">
        <w:trPr>
          <w:trHeight w:val="290"/>
        </w:trPr>
        <w:tc>
          <w:tcPr>
            <w:tcW w:w="976" w:type="pct"/>
            <w:tcBorders>
              <w:top w:val="nil"/>
              <w:left w:val="nil"/>
              <w:bottom w:val="nil"/>
              <w:right w:val="nil"/>
            </w:tcBorders>
            <w:shd w:val="clear" w:color="auto" w:fill="auto"/>
            <w:noWrap/>
            <w:hideMark/>
          </w:tcPr>
          <w:p w14:paraId="1441F4B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Mbar_A1431</w:t>
            </w:r>
          </w:p>
        </w:tc>
        <w:tc>
          <w:tcPr>
            <w:tcW w:w="3106" w:type="pct"/>
            <w:tcBorders>
              <w:top w:val="nil"/>
              <w:left w:val="nil"/>
              <w:bottom w:val="nil"/>
              <w:right w:val="nil"/>
            </w:tcBorders>
            <w:shd w:val="clear" w:color="auto" w:fill="auto"/>
            <w:noWrap/>
            <w:hideMark/>
          </w:tcPr>
          <w:p w14:paraId="41568DF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D-3-phosphoglycerate dehydrogenase </w:t>
            </w:r>
          </w:p>
        </w:tc>
        <w:tc>
          <w:tcPr>
            <w:tcW w:w="918" w:type="pct"/>
            <w:tcBorders>
              <w:top w:val="nil"/>
              <w:left w:val="nil"/>
              <w:bottom w:val="nil"/>
              <w:right w:val="nil"/>
            </w:tcBorders>
            <w:shd w:val="clear" w:color="auto" w:fill="auto"/>
            <w:noWrap/>
            <w:hideMark/>
          </w:tcPr>
          <w:p w14:paraId="3091030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1.59</w:t>
            </w:r>
          </w:p>
        </w:tc>
      </w:tr>
      <w:tr w:rsidR="00436CD0" w:rsidRPr="00C44D8C" w14:paraId="793ADB96" w14:textId="77777777" w:rsidTr="00436CD0">
        <w:trPr>
          <w:trHeight w:val="290"/>
        </w:trPr>
        <w:tc>
          <w:tcPr>
            <w:tcW w:w="976" w:type="pct"/>
            <w:tcBorders>
              <w:top w:val="nil"/>
              <w:left w:val="nil"/>
              <w:bottom w:val="nil"/>
              <w:right w:val="nil"/>
            </w:tcBorders>
            <w:shd w:val="clear" w:color="auto" w:fill="auto"/>
            <w:noWrap/>
            <w:hideMark/>
          </w:tcPr>
          <w:p w14:paraId="588D1A0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Mbar_A1338</w:t>
            </w:r>
          </w:p>
        </w:tc>
        <w:tc>
          <w:tcPr>
            <w:tcW w:w="3106" w:type="pct"/>
            <w:tcBorders>
              <w:top w:val="nil"/>
              <w:left w:val="nil"/>
              <w:bottom w:val="nil"/>
              <w:right w:val="nil"/>
            </w:tcBorders>
            <w:shd w:val="clear" w:color="auto" w:fill="auto"/>
            <w:noWrap/>
            <w:hideMark/>
          </w:tcPr>
          <w:p w14:paraId="382CF78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3-isopropylmalate dehydratase small subunit </w:t>
            </w:r>
          </w:p>
        </w:tc>
        <w:tc>
          <w:tcPr>
            <w:tcW w:w="918" w:type="pct"/>
            <w:tcBorders>
              <w:top w:val="nil"/>
              <w:left w:val="nil"/>
              <w:bottom w:val="nil"/>
              <w:right w:val="nil"/>
            </w:tcBorders>
            <w:shd w:val="clear" w:color="auto" w:fill="auto"/>
            <w:noWrap/>
            <w:hideMark/>
          </w:tcPr>
          <w:p w14:paraId="3020E69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1.56</w:t>
            </w:r>
          </w:p>
        </w:tc>
      </w:tr>
      <w:tr w:rsidR="00436CD0" w:rsidRPr="00C44D8C" w14:paraId="630B91E2" w14:textId="77777777" w:rsidTr="00436CD0">
        <w:trPr>
          <w:trHeight w:val="290"/>
        </w:trPr>
        <w:tc>
          <w:tcPr>
            <w:tcW w:w="976" w:type="pct"/>
            <w:tcBorders>
              <w:top w:val="nil"/>
              <w:left w:val="nil"/>
              <w:bottom w:val="nil"/>
              <w:right w:val="nil"/>
            </w:tcBorders>
            <w:shd w:val="clear" w:color="auto" w:fill="auto"/>
            <w:noWrap/>
            <w:hideMark/>
          </w:tcPr>
          <w:p w14:paraId="6206F43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Mbar_A1313</w:t>
            </w:r>
          </w:p>
        </w:tc>
        <w:tc>
          <w:tcPr>
            <w:tcW w:w="3106" w:type="pct"/>
            <w:tcBorders>
              <w:top w:val="nil"/>
              <w:left w:val="nil"/>
              <w:bottom w:val="nil"/>
              <w:right w:val="nil"/>
            </w:tcBorders>
            <w:shd w:val="clear" w:color="auto" w:fill="auto"/>
            <w:noWrap/>
            <w:hideMark/>
          </w:tcPr>
          <w:p w14:paraId="3FD2C87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S-adenosylmethionine synthase</w:t>
            </w:r>
          </w:p>
        </w:tc>
        <w:tc>
          <w:tcPr>
            <w:tcW w:w="918" w:type="pct"/>
            <w:tcBorders>
              <w:top w:val="nil"/>
              <w:left w:val="nil"/>
              <w:bottom w:val="nil"/>
              <w:right w:val="nil"/>
            </w:tcBorders>
            <w:shd w:val="clear" w:color="auto" w:fill="auto"/>
            <w:noWrap/>
            <w:hideMark/>
          </w:tcPr>
          <w:p w14:paraId="1460DD0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1.55</w:t>
            </w:r>
          </w:p>
        </w:tc>
      </w:tr>
      <w:tr w:rsidR="00436CD0" w:rsidRPr="00C44D8C" w14:paraId="44EF0A14" w14:textId="77777777" w:rsidTr="00436CD0">
        <w:trPr>
          <w:trHeight w:val="290"/>
        </w:trPr>
        <w:tc>
          <w:tcPr>
            <w:tcW w:w="976" w:type="pct"/>
            <w:tcBorders>
              <w:top w:val="nil"/>
              <w:left w:val="nil"/>
              <w:bottom w:val="nil"/>
              <w:right w:val="nil"/>
            </w:tcBorders>
            <w:shd w:val="clear" w:color="auto" w:fill="auto"/>
            <w:noWrap/>
            <w:hideMark/>
          </w:tcPr>
          <w:p w14:paraId="4DE8641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Mbar_A1961</w:t>
            </w:r>
          </w:p>
        </w:tc>
        <w:tc>
          <w:tcPr>
            <w:tcW w:w="3106" w:type="pct"/>
            <w:tcBorders>
              <w:top w:val="nil"/>
              <w:left w:val="nil"/>
              <w:bottom w:val="nil"/>
              <w:right w:val="nil"/>
            </w:tcBorders>
            <w:shd w:val="clear" w:color="auto" w:fill="auto"/>
            <w:noWrap/>
            <w:hideMark/>
          </w:tcPr>
          <w:p w14:paraId="6755A4A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3-isopropylmalate dehydratase large subunit </w:t>
            </w:r>
          </w:p>
        </w:tc>
        <w:tc>
          <w:tcPr>
            <w:tcW w:w="918" w:type="pct"/>
            <w:tcBorders>
              <w:top w:val="nil"/>
              <w:left w:val="nil"/>
              <w:bottom w:val="nil"/>
              <w:right w:val="nil"/>
            </w:tcBorders>
            <w:shd w:val="clear" w:color="auto" w:fill="auto"/>
            <w:noWrap/>
            <w:hideMark/>
          </w:tcPr>
          <w:p w14:paraId="5B9A2E4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1.55</w:t>
            </w:r>
          </w:p>
        </w:tc>
      </w:tr>
      <w:tr w:rsidR="00436CD0" w:rsidRPr="00C44D8C" w14:paraId="4CFA6605" w14:textId="77777777" w:rsidTr="00436CD0">
        <w:trPr>
          <w:trHeight w:val="290"/>
        </w:trPr>
        <w:tc>
          <w:tcPr>
            <w:tcW w:w="976" w:type="pct"/>
            <w:tcBorders>
              <w:top w:val="nil"/>
              <w:left w:val="nil"/>
              <w:bottom w:val="nil"/>
              <w:right w:val="nil"/>
            </w:tcBorders>
            <w:shd w:val="clear" w:color="auto" w:fill="auto"/>
            <w:noWrap/>
            <w:hideMark/>
          </w:tcPr>
          <w:p w14:paraId="21626D6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Mbar_A1137</w:t>
            </w:r>
          </w:p>
        </w:tc>
        <w:tc>
          <w:tcPr>
            <w:tcW w:w="3106" w:type="pct"/>
            <w:tcBorders>
              <w:top w:val="nil"/>
              <w:left w:val="nil"/>
              <w:bottom w:val="nil"/>
              <w:right w:val="nil"/>
            </w:tcBorders>
            <w:shd w:val="clear" w:color="auto" w:fill="auto"/>
            <w:noWrap/>
            <w:hideMark/>
          </w:tcPr>
          <w:p w14:paraId="580B842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Aspartate aminotransferase</w:t>
            </w:r>
          </w:p>
        </w:tc>
        <w:tc>
          <w:tcPr>
            <w:tcW w:w="918" w:type="pct"/>
            <w:tcBorders>
              <w:top w:val="nil"/>
              <w:left w:val="nil"/>
              <w:bottom w:val="nil"/>
              <w:right w:val="nil"/>
            </w:tcBorders>
            <w:shd w:val="clear" w:color="auto" w:fill="auto"/>
            <w:noWrap/>
            <w:hideMark/>
          </w:tcPr>
          <w:p w14:paraId="4CD9721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1.54</w:t>
            </w:r>
          </w:p>
        </w:tc>
      </w:tr>
      <w:tr w:rsidR="00436CD0" w:rsidRPr="00C44D8C" w14:paraId="334CFEB2" w14:textId="77777777" w:rsidTr="00436CD0">
        <w:trPr>
          <w:trHeight w:val="290"/>
        </w:trPr>
        <w:tc>
          <w:tcPr>
            <w:tcW w:w="976" w:type="pct"/>
            <w:tcBorders>
              <w:top w:val="nil"/>
              <w:left w:val="nil"/>
              <w:bottom w:val="nil"/>
              <w:right w:val="nil"/>
            </w:tcBorders>
            <w:shd w:val="clear" w:color="auto" w:fill="auto"/>
            <w:noWrap/>
            <w:hideMark/>
          </w:tcPr>
          <w:p w14:paraId="3D28B83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Mbar_A2167</w:t>
            </w:r>
          </w:p>
        </w:tc>
        <w:tc>
          <w:tcPr>
            <w:tcW w:w="3106" w:type="pct"/>
            <w:tcBorders>
              <w:top w:val="nil"/>
              <w:left w:val="nil"/>
              <w:bottom w:val="nil"/>
              <w:right w:val="nil"/>
            </w:tcBorders>
            <w:shd w:val="clear" w:color="auto" w:fill="auto"/>
            <w:noWrap/>
            <w:hideMark/>
          </w:tcPr>
          <w:p w14:paraId="5E2FED1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3-isopropylmalate dehydratase large subunit</w:t>
            </w:r>
          </w:p>
        </w:tc>
        <w:tc>
          <w:tcPr>
            <w:tcW w:w="918" w:type="pct"/>
            <w:tcBorders>
              <w:top w:val="nil"/>
              <w:left w:val="nil"/>
              <w:bottom w:val="nil"/>
              <w:right w:val="nil"/>
            </w:tcBorders>
            <w:shd w:val="clear" w:color="auto" w:fill="auto"/>
            <w:noWrap/>
            <w:hideMark/>
          </w:tcPr>
          <w:p w14:paraId="6FA8A19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1.48</w:t>
            </w:r>
          </w:p>
        </w:tc>
      </w:tr>
      <w:tr w:rsidR="00436CD0" w:rsidRPr="00C44D8C" w14:paraId="75D75E78" w14:textId="77777777" w:rsidTr="00436CD0">
        <w:trPr>
          <w:trHeight w:val="290"/>
        </w:trPr>
        <w:tc>
          <w:tcPr>
            <w:tcW w:w="976" w:type="pct"/>
            <w:tcBorders>
              <w:top w:val="nil"/>
              <w:left w:val="nil"/>
              <w:bottom w:val="nil"/>
              <w:right w:val="nil"/>
            </w:tcBorders>
            <w:shd w:val="clear" w:color="auto" w:fill="auto"/>
            <w:noWrap/>
            <w:hideMark/>
          </w:tcPr>
          <w:p w14:paraId="2BD3B37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Mbar_A0576</w:t>
            </w:r>
          </w:p>
        </w:tc>
        <w:tc>
          <w:tcPr>
            <w:tcW w:w="3106" w:type="pct"/>
            <w:tcBorders>
              <w:top w:val="nil"/>
              <w:left w:val="nil"/>
              <w:bottom w:val="nil"/>
              <w:right w:val="nil"/>
            </w:tcBorders>
            <w:shd w:val="clear" w:color="auto" w:fill="auto"/>
            <w:noWrap/>
            <w:hideMark/>
          </w:tcPr>
          <w:p w14:paraId="73992DB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Branched chain amino acid aminotransferase apoenzyme </w:t>
            </w:r>
          </w:p>
        </w:tc>
        <w:tc>
          <w:tcPr>
            <w:tcW w:w="918" w:type="pct"/>
            <w:tcBorders>
              <w:top w:val="nil"/>
              <w:left w:val="nil"/>
              <w:bottom w:val="nil"/>
              <w:right w:val="nil"/>
            </w:tcBorders>
            <w:shd w:val="clear" w:color="auto" w:fill="auto"/>
            <w:noWrap/>
            <w:hideMark/>
          </w:tcPr>
          <w:p w14:paraId="567C33A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1.43</w:t>
            </w:r>
          </w:p>
        </w:tc>
      </w:tr>
      <w:tr w:rsidR="00436CD0" w:rsidRPr="00C44D8C" w14:paraId="2CA5D1D3" w14:textId="77777777" w:rsidTr="00436CD0">
        <w:trPr>
          <w:trHeight w:val="290"/>
        </w:trPr>
        <w:tc>
          <w:tcPr>
            <w:tcW w:w="976" w:type="pct"/>
            <w:tcBorders>
              <w:top w:val="nil"/>
              <w:left w:val="nil"/>
              <w:bottom w:val="nil"/>
              <w:right w:val="nil"/>
            </w:tcBorders>
            <w:shd w:val="clear" w:color="auto" w:fill="auto"/>
            <w:noWrap/>
            <w:hideMark/>
          </w:tcPr>
          <w:p w14:paraId="62500DA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Mbar_A2491</w:t>
            </w:r>
          </w:p>
        </w:tc>
        <w:tc>
          <w:tcPr>
            <w:tcW w:w="3106" w:type="pct"/>
            <w:tcBorders>
              <w:top w:val="nil"/>
              <w:left w:val="nil"/>
              <w:bottom w:val="nil"/>
              <w:right w:val="nil"/>
            </w:tcBorders>
            <w:shd w:val="clear" w:color="auto" w:fill="auto"/>
            <w:noWrap/>
            <w:hideMark/>
          </w:tcPr>
          <w:p w14:paraId="342823B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Hydantoinase</w:t>
            </w:r>
          </w:p>
        </w:tc>
        <w:tc>
          <w:tcPr>
            <w:tcW w:w="918" w:type="pct"/>
            <w:tcBorders>
              <w:top w:val="nil"/>
              <w:left w:val="nil"/>
              <w:bottom w:val="nil"/>
              <w:right w:val="nil"/>
            </w:tcBorders>
            <w:shd w:val="clear" w:color="auto" w:fill="auto"/>
            <w:noWrap/>
            <w:hideMark/>
          </w:tcPr>
          <w:p w14:paraId="02EF2D3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1.30</w:t>
            </w:r>
          </w:p>
        </w:tc>
      </w:tr>
      <w:tr w:rsidR="00436CD0" w:rsidRPr="00C44D8C" w14:paraId="0C186F63" w14:textId="77777777" w:rsidTr="002B29E5">
        <w:trPr>
          <w:trHeight w:val="290"/>
        </w:trPr>
        <w:tc>
          <w:tcPr>
            <w:tcW w:w="976" w:type="pct"/>
            <w:tcBorders>
              <w:top w:val="nil"/>
              <w:left w:val="nil"/>
              <w:bottom w:val="single" w:sz="4" w:space="0" w:color="auto"/>
              <w:right w:val="nil"/>
            </w:tcBorders>
            <w:shd w:val="clear" w:color="auto" w:fill="auto"/>
            <w:noWrap/>
            <w:hideMark/>
          </w:tcPr>
          <w:p w14:paraId="706F4C64" w14:textId="77777777" w:rsidR="00436CD0" w:rsidRPr="00C44D8C" w:rsidRDefault="00436CD0" w:rsidP="00436CD0">
            <w:pPr>
              <w:rPr>
                <w:rFonts w:asciiTheme="minorHAnsi" w:hAnsiTheme="minorHAnsi"/>
                <w:color w:val="000000"/>
                <w:sz w:val="22"/>
                <w:szCs w:val="22"/>
                <w:lang w:eastAsia="en-GB"/>
              </w:rPr>
            </w:pPr>
          </w:p>
        </w:tc>
        <w:tc>
          <w:tcPr>
            <w:tcW w:w="3106" w:type="pct"/>
            <w:tcBorders>
              <w:top w:val="nil"/>
              <w:left w:val="nil"/>
              <w:bottom w:val="single" w:sz="4" w:space="0" w:color="auto"/>
              <w:right w:val="nil"/>
            </w:tcBorders>
            <w:shd w:val="clear" w:color="auto" w:fill="auto"/>
            <w:noWrap/>
            <w:hideMark/>
          </w:tcPr>
          <w:p w14:paraId="78D286C5" w14:textId="77777777" w:rsidR="00436CD0" w:rsidRPr="00C44D8C" w:rsidRDefault="00436CD0" w:rsidP="00436CD0">
            <w:pPr>
              <w:rPr>
                <w:rFonts w:asciiTheme="minorHAnsi" w:hAnsiTheme="minorHAnsi"/>
                <w:sz w:val="22"/>
                <w:szCs w:val="22"/>
                <w:lang w:eastAsia="en-GB"/>
              </w:rPr>
            </w:pPr>
          </w:p>
        </w:tc>
        <w:tc>
          <w:tcPr>
            <w:tcW w:w="918" w:type="pct"/>
            <w:tcBorders>
              <w:top w:val="nil"/>
              <w:left w:val="nil"/>
              <w:bottom w:val="single" w:sz="4" w:space="0" w:color="auto"/>
              <w:right w:val="nil"/>
            </w:tcBorders>
            <w:shd w:val="clear" w:color="auto" w:fill="auto"/>
            <w:noWrap/>
            <w:hideMark/>
          </w:tcPr>
          <w:p w14:paraId="3F8929E1" w14:textId="77777777" w:rsidR="00436CD0" w:rsidRPr="00C44D8C" w:rsidRDefault="00436CD0" w:rsidP="00436CD0">
            <w:pPr>
              <w:rPr>
                <w:rFonts w:asciiTheme="minorHAnsi" w:hAnsiTheme="minorHAnsi"/>
                <w:sz w:val="22"/>
                <w:szCs w:val="22"/>
                <w:lang w:eastAsia="en-GB"/>
              </w:rPr>
            </w:pPr>
          </w:p>
        </w:tc>
      </w:tr>
      <w:tr w:rsidR="00436CD0" w:rsidRPr="00C44D8C" w14:paraId="66993592" w14:textId="77777777" w:rsidTr="002B29E5">
        <w:trPr>
          <w:trHeight w:val="310"/>
        </w:trPr>
        <w:tc>
          <w:tcPr>
            <w:tcW w:w="5000" w:type="pct"/>
            <w:gridSpan w:val="3"/>
            <w:tcBorders>
              <w:top w:val="single" w:sz="4" w:space="0" w:color="auto"/>
              <w:bottom w:val="nil"/>
              <w:right w:val="nil"/>
            </w:tcBorders>
            <w:shd w:val="clear" w:color="auto" w:fill="auto"/>
            <w:noWrap/>
            <w:hideMark/>
          </w:tcPr>
          <w:p w14:paraId="2075E9DB"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Carbohydrate transport and metabolism</w:t>
            </w:r>
          </w:p>
        </w:tc>
      </w:tr>
      <w:tr w:rsidR="00436CD0" w:rsidRPr="00C44D8C" w14:paraId="1DAACDE0" w14:textId="77777777" w:rsidTr="00436CD0">
        <w:trPr>
          <w:trHeight w:val="290"/>
        </w:trPr>
        <w:tc>
          <w:tcPr>
            <w:tcW w:w="976" w:type="pct"/>
            <w:tcBorders>
              <w:top w:val="nil"/>
              <w:left w:val="nil"/>
              <w:bottom w:val="nil"/>
              <w:right w:val="nil"/>
            </w:tcBorders>
            <w:shd w:val="clear" w:color="auto" w:fill="auto"/>
            <w:noWrap/>
            <w:hideMark/>
          </w:tcPr>
          <w:p w14:paraId="1EA91907"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Mbar_A0934</w:t>
            </w:r>
          </w:p>
        </w:tc>
        <w:tc>
          <w:tcPr>
            <w:tcW w:w="3106" w:type="pct"/>
            <w:tcBorders>
              <w:top w:val="nil"/>
              <w:left w:val="nil"/>
              <w:bottom w:val="nil"/>
              <w:right w:val="nil"/>
            </w:tcBorders>
            <w:shd w:val="clear" w:color="auto" w:fill="auto"/>
            <w:noWrap/>
            <w:hideMark/>
          </w:tcPr>
          <w:p w14:paraId="5831E61A"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Triosephosphate isomerase</w:t>
            </w:r>
          </w:p>
        </w:tc>
        <w:tc>
          <w:tcPr>
            <w:tcW w:w="918" w:type="pct"/>
            <w:tcBorders>
              <w:top w:val="nil"/>
              <w:left w:val="nil"/>
              <w:bottom w:val="nil"/>
              <w:right w:val="nil"/>
            </w:tcBorders>
            <w:shd w:val="clear" w:color="auto" w:fill="auto"/>
            <w:noWrap/>
            <w:hideMark/>
          </w:tcPr>
          <w:p w14:paraId="0D55550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2.76</w:t>
            </w:r>
          </w:p>
        </w:tc>
      </w:tr>
      <w:tr w:rsidR="00436CD0" w:rsidRPr="00C44D8C" w14:paraId="0BD908F4" w14:textId="77777777" w:rsidTr="00436CD0">
        <w:trPr>
          <w:trHeight w:val="290"/>
        </w:trPr>
        <w:tc>
          <w:tcPr>
            <w:tcW w:w="976" w:type="pct"/>
            <w:tcBorders>
              <w:top w:val="nil"/>
              <w:left w:val="nil"/>
              <w:bottom w:val="nil"/>
              <w:right w:val="nil"/>
            </w:tcBorders>
            <w:shd w:val="clear" w:color="auto" w:fill="auto"/>
            <w:noWrap/>
            <w:hideMark/>
          </w:tcPr>
          <w:p w14:paraId="3CA8BAEE"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Mbar_A0902</w:t>
            </w:r>
          </w:p>
        </w:tc>
        <w:tc>
          <w:tcPr>
            <w:tcW w:w="3106" w:type="pct"/>
            <w:tcBorders>
              <w:top w:val="nil"/>
              <w:left w:val="nil"/>
              <w:bottom w:val="nil"/>
              <w:right w:val="nil"/>
            </w:tcBorders>
            <w:shd w:val="clear" w:color="auto" w:fill="auto"/>
            <w:noWrap/>
            <w:hideMark/>
          </w:tcPr>
          <w:p w14:paraId="30180AEA"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Ribulose bisphosphate carboxylase</w:t>
            </w:r>
          </w:p>
        </w:tc>
        <w:tc>
          <w:tcPr>
            <w:tcW w:w="918" w:type="pct"/>
            <w:tcBorders>
              <w:top w:val="nil"/>
              <w:left w:val="nil"/>
              <w:bottom w:val="nil"/>
              <w:right w:val="nil"/>
            </w:tcBorders>
            <w:shd w:val="clear" w:color="auto" w:fill="auto"/>
            <w:noWrap/>
            <w:hideMark/>
          </w:tcPr>
          <w:p w14:paraId="25676D4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2.28</w:t>
            </w:r>
          </w:p>
        </w:tc>
      </w:tr>
      <w:tr w:rsidR="00436CD0" w:rsidRPr="00C44D8C" w14:paraId="4DFAAE49" w14:textId="77777777" w:rsidTr="00436CD0">
        <w:trPr>
          <w:trHeight w:val="290"/>
        </w:trPr>
        <w:tc>
          <w:tcPr>
            <w:tcW w:w="976" w:type="pct"/>
            <w:tcBorders>
              <w:top w:val="nil"/>
              <w:left w:val="nil"/>
              <w:bottom w:val="nil"/>
              <w:right w:val="nil"/>
            </w:tcBorders>
            <w:shd w:val="clear" w:color="auto" w:fill="auto"/>
            <w:noWrap/>
            <w:hideMark/>
          </w:tcPr>
          <w:p w14:paraId="20393449"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Mbar_A2222</w:t>
            </w:r>
          </w:p>
        </w:tc>
        <w:tc>
          <w:tcPr>
            <w:tcW w:w="3106" w:type="pct"/>
            <w:tcBorders>
              <w:top w:val="nil"/>
              <w:left w:val="nil"/>
              <w:bottom w:val="nil"/>
              <w:right w:val="nil"/>
            </w:tcBorders>
            <w:shd w:val="clear" w:color="auto" w:fill="auto"/>
            <w:noWrap/>
            <w:hideMark/>
          </w:tcPr>
          <w:p w14:paraId="4D979E79"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2,3-bisphosphoglycerate-independent phosphoglycerate mutase 2 </w:t>
            </w:r>
          </w:p>
        </w:tc>
        <w:tc>
          <w:tcPr>
            <w:tcW w:w="918" w:type="pct"/>
            <w:tcBorders>
              <w:top w:val="nil"/>
              <w:left w:val="nil"/>
              <w:bottom w:val="nil"/>
              <w:right w:val="nil"/>
            </w:tcBorders>
            <w:shd w:val="clear" w:color="auto" w:fill="auto"/>
            <w:noWrap/>
            <w:hideMark/>
          </w:tcPr>
          <w:p w14:paraId="4CA76C8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2.17</w:t>
            </w:r>
          </w:p>
        </w:tc>
      </w:tr>
      <w:tr w:rsidR="00436CD0" w:rsidRPr="00C44D8C" w14:paraId="75EAAE7B" w14:textId="77777777" w:rsidTr="00436CD0">
        <w:trPr>
          <w:trHeight w:val="290"/>
        </w:trPr>
        <w:tc>
          <w:tcPr>
            <w:tcW w:w="976" w:type="pct"/>
            <w:tcBorders>
              <w:top w:val="nil"/>
              <w:left w:val="nil"/>
              <w:bottom w:val="nil"/>
              <w:right w:val="nil"/>
            </w:tcBorders>
            <w:shd w:val="clear" w:color="auto" w:fill="auto"/>
            <w:noWrap/>
            <w:hideMark/>
          </w:tcPr>
          <w:p w14:paraId="24FD186A"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Mbar_A2100</w:t>
            </w:r>
          </w:p>
        </w:tc>
        <w:tc>
          <w:tcPr>
            <w:tcW w:w="3106" w:type="pct"/>
            <w:tcBorders>
              <w:top w:val="nil"/>
              <w:left w:val="nil"/>
              <w:bottom w:val="nil"/>
              <w:right w:val="nil"/>
            </w:tcBorders>
            <w:shd w:val="clear" w:color="auto" w:fill="auto"/>
            <w:noWrap/>
            <w:hideMark/>
          </w:tcPr>
          <w:p w14:paraId="1C9E5195"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Putative ribose 1,5-bisphosphate isomerase </w:t>
            </w:r>
          </w:p>
        </w:tc>
        <w:tc>
          <w:tcPr>
            <w:tcW w:w="918" w:type="pct"/>
            <w:tcBorders>
              <w:top w:val="nil"/>
              <w:left w:val="nil"/>
              <w:bottom w:val="nil"/>
              <w:right w:val="nil"/>
            </w:tcBorders>
            <w:shd w:val="clear" w:color="auto" w:fill="auto"/>
            <w:noWrap/>
            <w:hideMark/>
          </w:tcPr>
          <w:p w14:paraId="00AC880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2.09</w:t>
            </w:r>
          </w:p>
        </w:tc>
      </w:tr>
      <w:tr w:rsidR="00436CD0" w:rsidRPr="00C44D8C" w14:paraId="54D1206E" w14:textId="77777777" w:rsidTr="00436CD0">
        <w:trPr>
          <w:trHeight w:val="290"/>
        </w:trPr>
        <w:tc>
          <w:tcPr>
            <w:tcW w:w="976" w:type="pct"/>
            <w:tcBorders>
              <w:top w:val="nil"/>
              <w:left w:val="nil"/>
              <w:bottom w:val="nil"/>
              <w:right w:val="nil"/>
            </w:tcBorders>
            <w:shd w:val="clear" w:color="auto" w:fill="auto"/>
            <w:noWrap/>
            <w:hideMark/>
          </w:tcPr>
          <w:p w14:paraId="4734AB42"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lastRenderedPageBreak/>
              <w:t>Mbar_A2189</w:t>
            </w:r>
          </w:p>
        </w:tc>
        <w:tc>
          <w:tcPr>
            <w:tcW w:w="3106" w:type="pct"/>
            <w:tcBorders>
              <w:top w:val="nil"/>
              <w:left w:val="nil"/>
              <w:bottom w:val="nil"/>
              <w:right w:val="nil"/>
            </w:tcBorders>
            <w:shd w:val="clear" w:color="auto" w:fill="auto"/>
            <w:noWrap/>
            <w:hideMark/>
          </w:tcPr>
          <w:p w14:paraId="4A9ACAAF"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Glyceraldehyde-3-phosphate dehydrogenase 1 </w:t>
            </w:r>
          </w:p>
        </w:tc>
        <w:tc>
          <w:tcPr>
            <w:tcW w:w="918" w:type="pct"/>
            <w:tcBorders>
              <w:top w:val="nil"/>
              <w:left w:val="nil"/>
              <w:bottom w:val="nil"/>
              <w:right w:val="nil"/>
            </w:tcBorders>
            <w:shd w:val="clear" w:color="auto" w:fill="auto"/>
            <w:noWrap/>
            <w:hideMark/>
          </w:tcPr>
          <w:p w14:paraId="2F5E6EE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2.01</w:t>
            </w:r>
          </w:p>
        </w:tc>
      </w:tr>
      <w:tr w:rsidR="00436CD0" w:rsidRPr="00C44D8C" w14:paraId="3356A326" w14:textId="77777777" w:rsidTr="00436CD0">
        <w:trPr>
          <w:trHeight w:val="290"/>
        </w:trPr>
        <w:tc>
          <w:tcPr>
            <w:tcW w:w="976" w:type="pct"/>
            <w:tcBorders>
              <w:top w:val="nil"/>
              <w:left w:val="nil"/>
              <w:bottom w:val="nil"/>
              <w:right w:val="nil"/>
            </w:tcBorders>
            <w:shd w:val="clear" w:color="auto" w:fill="auto"/>
            <w:noWrap/>
            <w:hideMark/>
          </w:tcPr>
          <w:p w14:paraId="75D6029C"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Mbar_A1170</w:t>
            </w:r>
          </w:p>
        </w:tc>
        <w:tc>
          <w:tcPr>
            <w:tcW w:w="3106" w:type="pct"/>
            <w:tcBorders>
              <w:top w:val="nil"/>
              <w:left w:val="nil"/>
              <w:bottom w:val="nil"/>
              <w:right w:val="nil"/>
            </w:tcBorders>
            <w:shd w:val="clear" w:color="auto" w:fill="auto"/>
            <w:noWrap/>
            <w:hideMark/>
          </w:tcPr>
          <w:p w14:paraId="2E2F1508"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3-hexulose-6-phosphate synthase</w:t>
            </w:r>
          </w:p>
        </w:tc>
        <w:tc>
          <w:tcPr>
            <w:tcW w:w="918" w:type="pct"/>
            <w:tcBorders>
              <w:top w:val="nil"/>
              <w:left w:val="nil"/>
              <w:bottom w:val="nil"/>
              <w:right w:val="nil"/>
            </w:tcBorders>
            <w:shd w:val="clear" w:color="auto" w:fill="auto"/>
            <w:noWrap/>
            <w:hideMark/>
          </w:tcPr>
          <w:p w14:paraId="5F469F3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1.94</w:t>
            </w:r>
          </w:p>
        </w:tc>
      </w:tr>
      <w:tr w:rsidR="00436CD0" w:rsidRPr="00C44D8C" w14:paraId="32B65EFB" w14:textId="77777777" w:rsidTr="00436CD0">
        <w:trPr>
          <w:trHeight w:val="290"/>
        </w:trPr>
        <w:tc>
          <w:tcPr>
            <w:tcW w:w="976" w:type="pct"/>
            <w:tcBorders>
              <w:top w:val="nil"/>
              <w:left w:val="nil"/>
              <w:bottom w:val="nil"/>
              <w:right w:val="nil"/>
            </w:tcBorders>
            <w:shd w:val="clear" w:color="auto" w:fill="auto"/>
            <w:noWrap/>
            <w:hideMark/>
          </w:tcPr>
          <w:p w14:paraId="1DBDBC0D"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Mbar_A2022</w:t>
            </w:r>
          </w:p>
        </w:tc>
        <w:tc>
          <w:tcPr>
            <w:tcW w:w="3106" w:type="pct"/>
            <w:tcBorders>
              <w:top w:val="nil"/>
              <w:left w:val="nil"/>
              <w:bottom w:val="nil"/>
              <w:right w:val="nil"/>
            </w:tcBorders>
            <w:shd w:val="clear" w:color="auto" w:fill="auto"/>
            <w:noWrap/>
            <w:hideMark/>
          </w:tcPr>
          <w:p w14:paraId="12E410FF"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Glutamine--fructose-6-phosphate aminotransferase </w:t>
            </w:r>
          </w:p>
        </w:tc>
        <w:tc>
          <w:tcPr>
            <w:tcW w:w="918" w:type="pct"/>
            <w:tcBorders>
              <w:top w:val="nil"/>
              <w:left w:val="nil"/>
              <w:bottom w:val="nil"/>
              <w:right w:val="nil"/>
            </w:tcBorders>
            <w:shd w:val="clear" w:color="auto" w:fill="auto"/>
            <w:noWrap/>
            <w:hideMark/>
          </w:tcPr>
          <w:p w14:paraId="526CCB0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1.92</w:t>
            </w:r>
          </w:p>
        </w:tc>
      </w:tr>
      <w:tr w:rsidR="00436CD0" w:rsidRPr="00C44D8C" w14:paraId="4BAE9EB5" w14:textId="77777777" w:rsidTr="00436CD0">
        <w:trPr>
          <w:trHeight w:val="290"/>
        </w:trPr>
        <w:tc>
          <w:tcPr>
            <w:tcW w:w="976" w:type="pct"/>
            <w:tcBorders>
              <w:top w:val="nil"/>
              <w:left w:val="nil"/>
              <w:bottom w:val="nil"/>
              <w:right w:val="nil"/>
            </w:tcBorders>
            <w:shd w:val="clear" w:color="auto" w:fill="auto"/>
            <w:noWrap/>
            <w:hideMark/>
          </w:tcPr>
          <w:p w14:paraId="196691F0"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Mbar_A1750</w:t>
            </w:r>
          </w:p>
        </w:tc>
        <w:tc>
          <w:tcPr>
            <w:tcW w:w="3106" w:type="pct"/>
            <w:tcBorders>
              <w:top w:val="nil"/>
              <w:left w:val="nil"/>
              <w:bottom w:val="nil"/>
              <w:right w:val="nil"/>
            </w:tcBorders>
            <w:shd w:val="clear" w:color="auto" w:fill="auto"/>
            <w:noWrap/>
            <w:hideMark/>
          </w:tcPr>
          <w:p w14:paraId="0EF953FF"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Glucose-6-phosphate isomerase </w:t>
            </w:r>
          </w:p>
        </w:tc>
        <w:tc>
          <w:tcPr>
            <w:tcW w:w="918" w:type="pct"/>
            <w:tcBorders>
              <w:top w:val="nil"/>
              <w:left w:val="nil"/>
              <w:bottom w:val="nil"/>
              <w:right w:val="nil"/>
            </w:tcBorders>
            <w:shd w:val="clear" w:color="auto" w:fill="auto"/>
            <w:noWrap/>
            <w:hideMark/>
          </w:tcPr>
          <w:p w14:paraId="0E180CC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1.92</w:t>
            </w:r>
          </w:p>
        </w:tc>
      </w:tr>
      <w:tr w:rsidR="00436CD0" w:rsidRPr="00C44D8C" w14:paraId="2DBFF048" w14:textId="77777777" w:rsidTr="00436CD0">
        <w:trPr>
          <w:trHeight w:val="290"/>
        </w:trPr>
        <w:tc>
          <w:tcPr>
            <w:tcW w:w="976" w:type="pct"/>
            <w:tcBorders>
              <w:top w:val="nil"/>
              <w:left w:val="nil"/>
              <w:bottom w:val="nil"/>
              <w:right w:val="nil"/>
            </w:tcBorders>
            <w:shd w:val="clear" w:color="auto" w:fill="auto"/>
            <w:noWrap/>
            <w:hideMark/>
          </w:tcPr>
          <w:p w14:paraId="050B67FD"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Mbar_A2997</w:t>
            </w:r>
          </w:p>
        </w:tc>
        <w:tc>
          <w:tcPr>
            <w:tcW w:w="3106" w:type="pct"/>
            <w:tcBorders>
              <w:top w:val="nil"/>
              <w:left w:val="nil"/>
              <w:bottom w:val="nil"/>
              <w:right w:val="nil"/>
            </w:tcBorders>
            <w:shd w:val="clear" w:color="auto" w:fill="auto"/>
            <w:noWrap/>
            <w:hideMark/>
          </w:tcPr>
          <w:p w14:paraId="21A10D69"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Glycogen phosphorylase</w:t>
            </w:r>
          </w:p>
        </w:tc>
        <w:tc>
          <w:tcPr>
            <w:tcW w:w="918" w:type="pct"/>
            <w:tcBorders>
              <w:top w:val="nil"/>
              <w:left w:val="nil"/>
              <w:bottom w:val="nil"/>
              <w:right w:val="nil"/>
            </w:tcBorders>
            <w:shd w:val="clear" w:color="auto" w:fill="auto"/>
            <w:noWrap/>
            <w:hideMark/>
          </w:tcPr>
          <w:p w14:paraId="3A8C26F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1.91</w:t>
            </w:r>
          </w:p>
        </w:tc>
      </w:tr>
      <w:tr w:rsidR="00436CD0" w:rsidRPr="00C44D8C" w14:paraId="413A9443" w14:textId="77777777" w:rsidTr="00436CD0">
        <w:trPr>
          <w:trHeight w:val="290"/>
        </w:trPr>
        <w:tc>
          <w:tcPr>
            <w:tcW w:w="976" w:type="pct"/>
            <w:tcBorders>
              <w:top w:val="nil"/>
              <w:left w:val="nil"/>
              <w:bottom w:val="nil"/>
              <w:right w:val="nil"/>
            </w:tcBorders>
            <w:shd w:val="clear" w:color="auto" w:fill="auto"/>
            <w:noWrap/>
            <w:hideMark/>
          </w:tcPr>
          <w:p w14:paraId="3771BB1F"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Mbar_A2315</w:t>
            </w:r>
          </w:p>
        </w:tc>
        <w:tc>
          <w:tcPr>
            <w:tcW w:w="3106" w:type="pct"/>
            <w:tcBorders>
              <w:top w:val="nil"/>
              <w:left w:val="nil"/>
              <w:bottom w:val="nil"/>
              <w:right w:val="nil"/>
            </w:tcBorders>
            <w:shd w:val="clear" w:color="auto" w:fill="auto"/>
            <w:noWrap/>
            <w:hideMark/>
          </w:tcPr>
          <w:p w14:paraId="21245A3F"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Bifunctional protein FolD</w:t>
            </w:r>
          </w:p>
        </w:tc>
        <w:tc>
          <w:tcPr>
            <w:tcW w:w="918" w:type="pct"/>
            <w:tcBorders>
              <w:top w:val="nil"/>
              <w:left w:val="nil"/>
              <w:bottom w:val="nil"/>
              <w:right w:val="nil"/>
            </w:tcBorders>
            <w:shd w:val="clear" w:color="auto" w:fill="auto"/>
            <w:noWrap/>
            <w:hideMark/>
          </w:tcPr>
          <w:p w14:paraId="0AA6EF6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1.83</w:t>
            </w:r>
          </w:p>
        </w:tc>
      </w:tr>
      <w:tr w:rsidR="00436CD0" w:rsidRPr="00C44D8C" w14:paraId="04E3BF99" w14:textId="77777777" w:rsidTr="00436CD0">
        <w:trPr>
          <w:trHeight w:val="290"/>
        </w:trPr>
        <w:tc>
          <w:tcPr>
            <w:tcW w:w="976" w:type="pct"/>
            <w:tcBorders>
              <w:top w:val="nil"/>
              <w:left w:val="nil"/>
              <w:bottom w:val="nil"/>
              <w:right w:val="nil"/>
            </w:tcBorders>
            <w:shd w:val="clear" w:color="auto" w:fill="auto"/>
            <w:noWrap/>
            <w:hideMark/>
          </w:tcPr>
          <w:p w14:paraId="7F56AC5F"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Mbar_A0214</w:t>
            </w:r>
          </w:p>
        </w:tc>
        <w:tc>
          <w:tcPr>
            <w:tcW w:w="3106" w:type="pct"/>
            <w:tcBorders>
              <w:top w:val="nil"/>
              <w:left w:val="nil"/>
              <w:bottom w:val="nil"/>
              <w:right w:val="nil"/>
            </w:tcBorders>
            <w:shd w:val="clear" w:color="auto" w:fill="auto"/>
            <w:noWrap/>
            <w:hideMark/>
          </w:tcPr>
          <w:p w14:paraId="3B1FB724"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Cellulase</w:t>
            </w:r>
          </w:p>
        </w:tc>
        <w:tc>
          <w:tcPr>
            <w:tcW w:w="918" w:type="pct"/>
            <w:tcBorders>
              <w:top w:val="nil"/>
              <w:left w:val="nil"/>
              <w:bottom w:val="nil"/>
              <w:right w:val="nil"/>
            </w:tcBorders>
            <w:shd w:val="clear" w:color="auto" w:fill="auto"/>
            <w:noWrap/>
            <w:hideMark/>
          </w:tcPr>
          <w:p w14:paraId="4AC1B90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1.82</w:t>
            </w:r>
          </w:p>
        </w:tc>
      </w:tr>
      <w:tr w:rsidR="00436CD0" w:rsidRPr="00C44D8C" w14:paraId="7B2C84AF" w14:textId="77777777" w:rsidTr="00436CD0">
        <w:trPr>
          <w:trHeight w:val="290"/>
        </w:trPr>
        <w:tc>
          <w:tcPr>
            <w:tcW w:w="976" w:type="pct"/>
            <w:tcBorders>
              <w:top w:val="nil"/>
              <w:left w:val="nil"/>
              <w:bottom w:val="nil"/>
              <w:right w:val="nil"/>
            </w:tcBorders>
            <w:shd w:val="clear" w:color="auto" w:fill="auto"/>
            <w:noWrap/>
            <w:hideMark/>
          </w:tcPr>
          <w:p w14:paraId="303A0EB3"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Mbar_A2850</w:t>
            </w:r>
          </w:p>
        </w:tc>
        <w:tc>
          <w:tcPr>
            <w:tcW w:w="3106" w:type="pct"/>
            <w:tcBorders>
              <w:top w:val="nil"/>
              <w:left w:val="nil"/>
              <w:bottom w:val="nil"/>
              <w:right w:val="nil"/>
            </w:tcBorders>
            <w:shd w:val="clear" w:color="auto" w:fill="auto"/>
            <w:noWrap/>
            <w:hideMark/>
          </w:tcPr>
          <w:p w14:paraId="3E52B2C2"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Enolase </w:t>
            </w:r>
          </w:p>
        </w:tc>
        <w:tc>
          <w:tcPr>
            <w:tcW w:w="918" w:type="pct"/>
            <w:tcBorders>
              <w:top w:val="nil"/>
              <w:left w:val="nil"/>
              <w:bottom w:val="nil"/>
              <w:right w:val="nil"/>
            </w:tcBorders>
            <w:shd w:val="clear" w:color="auto" w:fill="auto"/>
            <w:noWrap/>
            <w:hideMark/>
          </w:tcPr>
          <w:p w14:paraId="05A08C2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1.81</w:t>
            </w:r>
          </w:p>
        </w:tc>
      </w:tr>
      <w:tr w:rsidR="00436CD0" w:rsidRPr="00C44D8C" w14:paraId="38B934A2" w14:textId="77777777" w:rsidTr="00436CD0">
        <w:trPr>
          <w:trHeight w:val="290"/>
        </w:trPr>
        <w:tc>
          <w:tcPr>
            <w:tcW w:w="976" w:type="pct"/>
            <w:tcBorders>
              <w:top w:val="nil"/>
              <w:left w:val="nil"/>
              <w:bottom w:val="nil"/>
              <w:right w:val="nil"/>
            </w:tcBorders>
            <w:shd w:val="clear" w:color="auto" w:fill="auto"/>
            <w:noWrap/>
            <w:hideMark/>
          </w:tcPr>
          <w:p w14:paraId="65452B3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Mbar_A1808</w:t>
            </w:r>
          </w:p>
        </w:tc>
        <w:tc>
          <w:tcPr>
            <w:tcW w:w="3106" w:type="pct"/>
            <w:tcBorders>
              <w:top w:val="nil"/>
              <w:left w:val="nil"/>
              <w:bottom w:val="nil"/>
              <w:right w:val="nil"/>
            </w:tcBorders>
            <w:shd w:val="clear" w:color="auto" w:fill="auto"/>
            <w:noWrap/>
            <w:hideMark/>
          </w:tcPr>
          <w:p w14:paraId="2998CB15"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Phosphoglycerate kinase </w:t>
            </w:r>
          </w:p>
        </w:tc>
        <w:tc>
          <w:tcPr>
            <w:tcW w:w="918" w:type="pct"/>
            <w:tcBorders>
              <w:top w:val="nil"/>
              <w:left w:val="nil"/>
              <w:bottom w:val="nil"/>
              <w:right w:val="nil"/>
            </w:tcBorders>
            <w:shd w:val="clear" w:color="auto" w:fill="auto"/>
            <w:noWrap/>
            <w:hideMark/>
          </w:tcPr>
          <w:p w14:paraId="65B3AB2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7B23FC3C" w14:textId="77777777" w:rsidTr="00436CD0">
        <w:trPr>
          <w:trHeight w:val="290"/>
        </w:trPr>
        <w:tc>
          <w:tcPr>
            <w:tcW w:w="976" w:type="pct"/>
            <w:tcBorders>
              <w:top w:val="nil"/>
              <w:left w:val="nil"/>
              <w:bottom w:val="nil"/>
              <w:right w:val="nil"/>
            </w:tcBorders>
            <w:shd w:val="clear" w:color="auto" w:fill="auto"/>
            <w:noWrap/>
            <w:hideMark/>
          </w:tcPr>
          <w:p w14:paraId="3424F94D"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Mbar_A3188</w:t>
            </w:r>
          </w:p>
        </w:tc>
        <w:tc>
          <w:tcPr>
            <w:tcW w:w="3106" w:type="pct"/>
            <w:tcBorders>
              <w:top w:val="nil"/>
              <w:left w:val="nil"/>
              <w:bottom w:val="nil"/>
              <w:right w:val="nil"/>
            </w:tcBorders>
            <w:shd w:val="clear" w:color="auto" w:fill="auto"/>
            <w:noWrap/>
            <w:hideMark/>
          </w:tcPr>
          <w:p w14:paraId="097CDFA2"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AMP phosphorylase</w:t>
            </w:r>
          </w:p>
        </w:tc>
        <w:tc>
          <w:tcPr>
            <w:tcW w:w="918" w:type="pct"/>
            <w:tcBorders>
              <w:top w:val="nil"/>
              <w:left w:val="nil"/>
              <w:bottom w:val="nil"/>
              <w:right w:val="nil"/>
            </w:tcBorders>
            <w:shd w:val="clear" w:color="auto" w:fill="auto"/>
            <w:noWrap/>
            <w:hideMark/>
          </w:tcPr>
          <w:p w14:paraId="169C097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1BE3ECA8" w14:textId="77777777" w:rsidTr="00436CD0">
        <w:trPr>
          <w:trHeight w:val="290"/>
        </w:trPr>
        <w:tc>
          <w:tcPr>
            <w:tcW w:w="976" w:type="pct"/>
            <w:tcBorders>
              <w:top w:val="nil"/>
              <w:left w:val="nil"/>
              <w:bottom w:val="nil"/>
              <w:right w:val="nil"/>
            </w:tcBorders>
            <w:shd w:val="clear" w:color="auto" w:fill="auto"/>
            <w:noWrap/>
            <w:hideMark/>
          </w:tcPr>
          <w:p w14:paraId="2E907A1E"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Mbar_A0860</w:t>
            </w:r>
          </w:p>
        </w:tc>
        <w:tc>
          <w:tcPr>
            <w:tcW w:w="3106" w:type="pct"/>
            <w:tcBorders>
              <w:top w:val="nil"/>
              <w:left w:val="nil"/>
              <w:bottom w:val="nil"/>
              <w:right w:val="nil"/>
            </w:tcBorders>
            <w:shd w:val="clear" w:color="auto" w:fill="auto"/>
            <w:noWrap/>
            <w:hideMark/>
          </w:tcPr>
          <w:p w14:paraId="77A98F29"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2,3-bisphosphoglycerate-independent phosphoglycerate mutase </w:t>
            </w:r>
          </w:p>
        </w:tc>
        <w:tc>
          <w:tcPr>
            <w:tcW w:w="918" w:type="pct"/>
            <w:tcBorders>
              <w:top w:val="nil"/>
              <w:left w:val="nil"/>
              <w:bottom w:val="nil"/>
              <w:right w:val="nil"/>
            </w:tcBorders>
            <w:shd w:val="clear" w:color="auto" w:fill="auto"/>
            <w:noWrap/>
            <w:hideMark/>
          </w:tcPr>
          <w:p w14:paraId="3EE615E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1.74</w:t>
            </w:r>
          </w:p>
        </w:tc>
      </w:tr>
      <w:tr w:rsidR="00436CD0" w:rsidRPr="00C44D8C" w14:paraId="25BCBA9A" w14:textId="77777777" w:rsidTr="00436CD0">
        <w:trPr>
          <w:trHeight w:val="290"/>
        </w:trPr>
        <w:tc>
          <w:tcPr>
            <w:tcW w:w="976" w:type="pct"/>
            <w:tcBorders>
              <w:top w:val="nil"/>
              <w:left w:val="nil"/>
              <w:bottom w:val="nil"/>
              <w:right w:val="nil"/>
            </w:tcBorders>
            <w:shd w:val="clear" w:color="auto" w:fill="auto"/>
            <w:noWrap/>
            <w:hideMark/>
          </w:tcPr>
          <w:p w14:paraId="11FAAE6B"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Mbar_A0935</w:t>
            </w:r>
          </w:p>
        </w:tc>
        <w:tc>
          <w:tcPr>
            <w:tcW w:w="3106" w:type="pct"/>
            <w:tcBorders>
              <w:top w:val="nil"/>
              <w:left w:val="nil"/>
              <w:bottom w:val="nil"/>
              <w:right w:val="nil"/>
            </w:tcBorders>
            <w:shd w:val="clear" w:color="auto" w:fill="auto"/>
            <w:noWrap/>
            <w:hideMark/>
          </w:tcPr>
          <w:p w14:paraId="5901F9FD"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Bifunctional enzyme Fae/Hps phosphate synthase </w:t>
            </w:r>
          </w:p>
        </w:tc>
        <w:tc>
          <w:tcPr>
            <w:tcW w:w="918" w:type="pct"/>
            <w:tcBorders>
              <w:top w:val="nil"/>
              <w:left w:val="nil"/>
              <w:bottom w:val="nil"/>
              <w:right w:val="nil"/>
            </w:tcBorders>
            <w:shd w:val="clear" w:color="auto" w:fill="auto"/>
            <w:noWrap/>
            <w:hideMark/>
          </w:tcPr>
          <w:p w14:paraId="3BE044D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1.73</w:t>
            </w:r>
          </w:p>
        </w:tc>
      </w:tr>
      <w:tr w:rsidR="00436CD0" w:rsidRPr="00C44D8C" w14:paraId="506D92B1" w14:textId="77777777" w:rsidTr="00436CD0">
        <w:trPr>
          <w:trHeight w:val="290"/>
        </w:trPr>
        <w:tc>
          <w:tcPr>
            <w:tcW w:w="976" w:type="pct"/>
            <w:tcBorders>
              <w:top w:val="nil"/>
              <w:left w:val="nil"/>
              <w:bottom w:val="nil"/>
              <w:right w:val="nil"/>
            </w:tcBorders>
            <w:shd w:val="clear" w:color="auto" w:fill="auto"/>
            <w:noWrap/>
            <w:hideMark/>
          </w:tcPr>
          <w:p w14:paraId="544F7405"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Mbar_A2004</w:t>
            </w:r>
          </w:p>
        </w:tc>
        <w:tc>
          <w:tcPr>
            <w:tcW w:w="3106" w:type="pct"/>
            <w:tcBorders>
              <w:top w:val="nil"/>
              <w:left w:val="nil"/>
              <w:bottom w:val="nil"/>
              <w:right w:val="nil"/>
            </w:tcBorders>
            <w:shd w:val="clear" w:color="auto" w:fill="auto"/>
            <w:noWrap/>
            <w:hideMark/>
          </w:tcPr>
          <w:p w14:paraId="0722C800"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ADP-dependent phosphofructokinase</w:t>
            </w:r>
          </w:p>
        </w:tc>
        <w:tc>
          <w:tcPr>
            <w:tcW w:w="918" w:type="pct"/>
            <w:tcBorders>
              <w:top w:val="nil"/>
              <w:left w:val="nil"/>
              <w:bottom w:val="nil"/>
              <w:right w:val="nil"/>
            </w:tcBorders>
            <w:shd w:val="clear" w:color="auto" w:fill="auto"/>
            <w:noWrap/>
            <w:hideMark/>
          </w:tcPr>
          <w:p w14:paraId="5C5F55D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59C7A2F7" w14:textId="77777777" w:rsidTr="00436CD0">
        <w:trPr>
          <w:trHeight w:val="290"/>
        </w:trPr>
        <w:tc>
          <w:tcPr>
            <w:tcW w:w="976" w:type="pct"/>
            <w:tcBorders>
              <w:top w:val="nil"/>
              <w:left w:val="nil"/>
              <w:bottom w:val="nil"/>
              <w:right w:val="nil"/>
            </w:tcBorders>
            <w:shd w:val="clear" w:color="auto" w:fill="auto"/>
            <w:noWrap/>
            <w:hideMark/>
          </w:tcPr>
          <w:p w14:paraId="16A16BDE"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Mbar_A0623</w:t>
            </w:r>
          </w:p>
        </w:tc>
        <w:tc>
          <w:tcPr>
            <w:tcW w:w="3106" w:type="pct"/>
            <w:tcBorders>
              <w:top w:val="nil"/>
              <w:left w:val="nil"/>
              <w:bottom w:val="nil"/>
              <w:right w:val="nil"/>
            </w:tcBorders>
            <w:shd w:val="clear" w:color="auto" w:fill="auto"/>
            <w:noWrap/>
            <w:hideMark/>
          </w:tcPr>
          <w:p w14:paraId="49B3D5C6"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Isocitrate dehydrogenase </w:t>
            </w:r>
          </w:p>
        </w:tc>
        <w:tc>
          <w:tcPr>
            <w:tcW w:w="918" w:type="pct"/>
            <w:tcBorders>
              <w:top w:val="nil"/>
              <w:left w:val="nil"/>
              <w:bottom w:val="nil"/>
              <w:right w:val="nil"/>
            </w:tcBorders>
            <w:shd w:val="clear" w:color="auto" w:fill="auto"/>
            <w:noWrap/>
            <w:hideMark/>
          </w:tcPr>
          <w:p w14:paraId="131CFAA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19578798" w14:textId="77777777" w:rsidTr="00436CD0">
        <w:trPr>
          <w:trHeight w:val="290"/>
        </w:trPr>
        <w:tc>
          <w:tcPr>
            <w:tcW w:w="976" w:type="pct"/>
            <w:tcBorders>
              <w:top w:val="nil"/>
              <w:left w:val="nil"/>
              <w:bottom w:val="nil"/>
              <w:right w:val="nil"/>
            </w:tcBorders>
            <w:shd w:val="clear" w:color="auto" w:fill="auto"/>
            <w:noWrap/>
            <w:hideMark/>
          </w:tcPr>
          <w:p w14:paraId="5AC3CB93"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Mbar_A1120</w:t>
            </w:r>
          </w:p>
        </w:tc>
        <w:tc>
          <w:tcPr>
            <w:tcW w:w="3106" w:type="pct"/>
            <w:tcBorders>
              <w:top w:val="nil"/>
              <w:left w:val="nil"/>
              <w:bottom w:val="nil"/>
              <w:right w:val="nil"/>
            </w:tcBorders>
            <w:shd w:val="clear" w:color="auto" w:fill="auto"/>
            <w:noWrap/>
            <w:hideMark/>
          </w:tcPr>
          <w:p w14:paraId="2465AB2F"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UDP-glucose 6-dehydrogenase</w:t>
            </w:r>
          </w:p>
        </w:tc>
        <w:tc>
          <w:tcPr>
            <w:tcW w:w="918" w:type="pct"/>
            <w:tcBorders>
              <w:top w:val="nil"/>
              <w:left w:val="nil"/>
              <w:bottom w:val="nil"/>
              <w:right w:val="nil"/>
            </w:tcBorders>
            <w:shd w:val="clear" w:color="auto" w:fill="auto"/>
            <w:noWrap/>
            <w:hideMark/>
          </w:tcPr>
          <w:p w14:paraId="6B64E95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1.68</w:t>
            </w:r>
          </w:p>
        </w:tc>
      </w:tr>
      <w:tr w:rsidR="00436CD0" w:rsidRPr="00C44D8C" w14:paraId="2949F521" w14:textId="77777777" w:rsidTr="00436CD0">
        <w:trPr>
          <w:trHeight w:val="290"/>
        </w:trPr>
        <w:tc>
          <w:tcPr>
            <w:tcW w:w="976" w:type="pct"/>
            <w:tcBorders>
              <w:top w:val="nil"/>
              <w:left w:val="nil"/>
              <w:bottom w:val="nil"/>
              <w:right w:val="nil"/>
            </w:tcBorders>
            <w:shd w:val="clear" w:color="auto" w:fill="auto"/>
            <w:noWrap/>
            <w:hideMark/>
          </w:tcPr>
          <w:p w14:paraId="4DF98A7D"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Mbar_A2223</w:t>
            </w:r>
          </w:p>
        </w:tc>
        <w:tc>
          <w:tcPr>
            <w:tcW w:w="3106" w:type="pct"/>
            <w:tcBorders>
              <w:top w:val="nil"/>
              <w:left w:val="nil"/>
              <w:bottom w:val="nil"/>
              <w:right w:val="nil"/>
            </w:tcBorders>
            <w:shd w:val="clear" w:color="auto" w:fill="auto"/>
            <w:noWrap/>
            <w:hideMark/>
          </w:tcPr>
          <w:p w14:paraId="7942C70E"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Phosphoenolpyruvate synthase </w:t>
            </w:r>
          </w:p>
        </w:tc>
        <w:tc>
          <w:tcPr>
            <w:tcW w:w="918" w:type="pct"/>
            <w:tcBorders>
              <w:top w:val="nil"/>
              <w:left w:val="nil"/>
              <w:bottom w:val="nil"/>
              <w:right w:val="nil"/>
            </w:tcBorders>
            <w:shd w:val="clear" w:color="auto" w:fill="auto"/>
            <w:noWrap/>
            <w:hideMark/>
          </w:tcPr>
          <w:p w14:paraId="11DB68A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1.56</w:t>
            </w:r>
          </w:p>
        </w:tc>
      </w:tr>
      <w:tr w:rsidR="00436CD0" w:rsidRPr="00C44D8C" w14:paraId="65362574" w14:textId="77777777" w:rsidTr="00436CD0">
        <w:trPr>
          <w:trHeight w:val="290"/>
        </w:trPr>
        <w:tc>
          <w:tcPr>
            <w:tcW w:w="976" w:type="pct"/>
            <w:tcBorders>
              <w:top w:val="nil"/>
              <w:left w:val="nil"/>
              <w:bottom w:val="nil"/>
              <w:right w:val="nil"/>
            </w:tcBorders>
            <w:shd w:val="clear" w:color="auto" w:fill="auto"/>
            <w:noWrap/>
            <w:hideMark/>
          </w:tcPr>
          <w:p w14:paraId="154DCA82"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Mbar_A3132</w:t>
            </w:r>
          </w:p>
        </w:tc>
        <w:tc>
          <w:tcPr>
            <w:tcW w:w="3106" w:type="pct"/>
            <w:tcBorders>
              <w:top w:val="nil"/>
              <w:left w:val="nil"/>
              <w:bottom w:val="nil"/>
              <w:right w:val="nil"/>
            </w:tcBorders>
            <w:shd w:val="clear" w:color="auto" w:fill="auto"/>
            <w:noWrap/>
            <w:hideMark/>
          </w:tcPr>
          <w:p w14:paraId="645E96B2"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3-hexulose-6-phosphate isomerase</w:t>
            </w:r>
          </w:p>
        </w:tc>
        <w:tc>
          <w:tcPr>
            <w:tcW w:w="918" w:type="pct"/>
            <w:tcBorders>
              <w:top w:val="nil"/>
              <w:left w:val="nil"/>
              <w:bottom w:val="nil"/>
              <w:right w:val="nil"/>
            </w:tcBorders>
            <w:shd w:val="clear" w:color="auto" w:fill="auto"/>
            <w:noWrap/>
            <w:hideMark/>
          </w:tcPr>
          <w:p w14:paraId="1BC810B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1.52</w:t>
            </w:r>
          </w:p>
        </w:tc>
      </w:tr>
      <w:tr w:rsidR="00436CD0" w:rsidRPr="00C44D8C" w14:paraId="62A1762E" w14:textId="77777777" w:rsidTr="00436CD0">
        <w:trPr>
          <w:trHeight w:val="290"/>
        </w:trPr>
        <w:tc>
          <w:tcPr>
            <w:tcW w:w="976" w:type="pct"/>
            <w:tcBorders>
              <w:top w:val="nil"/>
              <w:left w:val="nil"/>
              <w:bottom w:val="nil"/>
              <w:right w:val="nil"/>
            </w:tcBorders>
            <w:shd w:val="clear" w:color="auto" w:fill="auto"/>
            <w:noWrap/>
            <w:hideMark/>
          </w:tcPr>
          <w:p w14:paraId="6947BF56"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Mbar_A1836</w:t>
            </w:r>
          </w:p>
        </w:tc>
        <w:tc>
          <w:tcPr>
            <w:tcW w:w="3106" w:type="pct"/>
            <w:tcBorders>
              <w:top w:val="nil"/>
              <w:left w:val="nil"/>
              <w:bottom w:val="nil"/>
              <w:right w:val="nil"/>
            </w:tcBorders>
            <w:shd w:val="clear" w:color="auto" w:fill="auto"/>
            <w:noWrap/>
            <w:hideMark/>
          </w:tcPr>
          <w:p w14:paraId="00842B2D"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Fructose-1,6-bisphosphatase</w:t>
            </w:r>
          </w:p>
        </w:tc>
        <w:tc>
          <w:tcPr>
            <w:tcW w:w="918" w:type="pct"/>
            <w:tcBorders>
              <w:top w:val="nil"/>
              <w:left w:val="nil"/>
              <w:bottom w:val="nil"/>
              <w:right w:val="nil"/>
            </w:tcBorders>
            <w:shd w:val="clear" w:color="auto" w:fill="auto"/>
            <w:noWrap/>
            <w:hideMark/>
          </w:tcPr>
          <w:p w14:paraId="6979042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1.50</w:t>
            </w:r>
          </w:p>
        </w:tc>
      </w:tr>
      <w:tr w:rsidR="00436CD0" w:rsidRPr="00C44D8C" w14:paraId="1A4F402F" w14:textId="77777777" w:rsidTr="00436CD0">
        <w:trPr>
          <w:trHeight w:val="290"/>
        </w:trPr>
        <w:tc>
          <w:tcPr>
            <w:tcW w:w="976" w:type="pct"/>
            <w:tcBorders>
              <w:top w:val="nil"/>
              <w:left w:val="nil"/>
              <w:bottom w:val="nil"/>
              <w:right w:val="nil"/>
            </w:tcBorders>
            <w:shd w:val="clear" w:color="auto" w:fill="auto"/>
            <w:noWrap/>
            <w:hideMark/>
          </w:tcPr>
          <w:p w14:paraId="673FAD7B"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Mbar_A0538</w:t>
            </w:r>
          </w:p>
        </w:tc>
        <w:tc>
          <w:tcPr>
            <w:tcW w:w="3106" w:type="pct"/>
            <w:tcBorders>
              <w:top w:val="nil"/>
              <w:left w:val="nil"/>
              <w:bottom w:val="nil"/>
              <w:right w:val="nil"/>
            </w:tcBorders>
            <w:shd w:val="clear" w:color="auto" w:fill="auto"/>
            <w:noWrap/>
            <w:hideMark/>
          </w:tcPr>
          <w:p w14:paraId="10EF41AC"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Alpha-amylase</w:t>
            </w:r>
          </w:p>
        </w:tc>
        <w:tc>
          <w:tcPr>
            <w:tcW w:w="918" w:type="pct"/>
            <w:tcBorders>
              <w:top w:val="nil"/>
              <w:left w:val="nil"/>
              <w:bottom w:val="nil"/>
              <w:right w:val="nil"/>
            </w:tcBorders>
            <w:shd w:val="clear" w:color="auto" w:fill="auto"/>
            <w:noWrap/>
            <w:hideMark/>
          </w:tcPr>
          <w:p w14:paraId="45B70BD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1.46</w:t>
            </w:r>
          </w:p>
        </w:tc>
      </w:tr>
      <w:tr w:rsidR="00436CD0" w:rsidRPr="00C44D8C" w14:paraId="12CE3099" w14:textId="77777777" w:rsidTr="002B29E5">
        <w:trPr>
          <w:trHeight w:val="290"/>
        </w:trPr>
        <w:tc>
          <w:tcPr>
            <w:tcW w:w="976" w:type="pct"/>
            <w:tcBorders>
              <w:top w:val="nil"/>
              <w:left w:val="nil"/>
              <w:bottom w:val="single" w:sz="4" w:space="0" w:color="auto"/>
              <w:right w:val="nil"/>
            </w:tcBorders>
            <w:shd w:val="clear" w:color="auto" w:fill="auto"/>
            <w:noWrap/>
            <w:hideMark/>
          </w:tcPr>
          <w:p w14:paraId="6D5DFA34" w14:textId="77777777" w:rsidR="00436CD0" w:rsidRPr="00C44D8C" w:rsidRDefault="00436CD0" w:rsidP="00436CD0">
            <w:pPr>
              <w:rPr>
                <w:rFonts w:asciiTheme="minorHAnsi" w:hAnsiTheme="minorHAnsi"/>
                <w:color w:val="000000"/>
                <w:sz w:val="22"/>
                <w:szCs w:val="22"/>
                <w:lang w:eastAsia="en-GB"/>
              </w:rPr>
            </w:pPr>
          </w:p>
        </w:tc>
        <w:tc>
          <w:tcPr>
            <w:tcW w:w="3106" w:type="pct"/>
            <w:tcBorders>
              <w:top w:val="nil"/>
              <w:left w:val="nil"/>
              <w:bottom w:val="single" w:sz="4" w:space="0" w:color="auto"/>
              <w:right w:val="nil"/>
            </w:tcBorders>
            <w:shd w:val="clear" w:color="auto" w:fill="auto"/>
            <w:noWrap/>
            <w:hideMark/>
          </w:tcPr>
          <w:p w14:paraId="49548065" w14:textId="77777777" w:rsidR="00436CD0" w:rsidRPr="00C44D8C" w:rsidRDefault="00436CD0" w:rsidP="00436CD0">
            <w:pPr>
              <w:rPr>
                <w:rFonts w:asciiTheme="minorHAnsi" w:hAnsiTheme="minorHAnsi"/>
                <w:sz w:val="22"/>
                <w:szCs w:val="22"/>
                <w:lang w:eastAsia="en-GB"/>
              </w:rPr>
            </w:pPr>
          </w:p>
        </w:tc>
        <w:tc>
          <w:tcPr>
            <w:tcW w:w="918" w:type="pct"/>
            <w:tcBorders>
              <w:top w:val="nil"/>
              <w:left w:val="nil"/>
              <w:bottom w:val="single" w:sz="4" w:space="0" w:color="auto"/>
              <w:right w:val="nil"/>
            </w:tcBorders>
            <w:shd w:val="clear" w:color="auto" w:fill="auto"/>
            <w:noWrap/>
            <w:hideMark/>
          </w:tcPr>
          <w:p w14:paraId="49CE84EC" w14:textId="77777777" w:rsidR="00436CD0" w:rsidRPr="00C44D8C" w:rsidRDefault="00436CD0" w:rsidP="00436CD0">
            <w:pPr>
              <w:rPr>
                <w:rFonts w:asciiTheme="minorHAnsi" w:hAnsiTheme="minorHAnsi"/>
                <w:sz w:val="22"/>
                <w:szCs w:val="22"/>
                <w:lang w:eastAsia="en-GB"/>
              </w:rPr>
            </w:pPr>
          </w:p>
        </w:tc>
      </w:tr>
      <w:tr w:rsidR="00436CD0" w:rsidRPr="00C44D8C" w14:paraId="0DFB00F8" w14:textId="77777777" w:rsidTr="002B29E5">
        <w:trPr>
          <w:trHeight w:val="310"/>
        </w:trPr>
        <w:tc>
          <w:tcPr>
            <w:tcW w:w="5000" w:type="pct"/>
            <w:gridSpan w:val="3"/>
            <w:tcBorders>
              <w:top w:val="single" w:sz="4" w:space="0" w:color="auto"/>
              <w:bottom w:val="nil"/>
              <w:right w:val="nil"/>
            </w:tcBorders>
            <w:shd w:val="clear" w:color="auto" w:fill="auto"/>
            <w:noWrap/>
            <w:hideMark/>
          </w:tcPr>
          <w:p w14:paraId="0B2B0F6A"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Cofactor transport and metabolism</w:t>
            </w:r>
          </w:p>
        </w:tc>
      </w:tr>
      <w:tr w:rsidR="00436CD0" w:rsidRPr="00C44D8C" w14:paraId="032FC3B2" w14:textId="77777777" w:rsidTr="00436CD0">
        <w:trPr>
          <w:trHeight w:val="290"/>
        </w:trPr>
        <w:tc>
          <w:tcPr>
            <w:tcW w:w="976" w:type="pct"/>
            <w:tcBorders>
              <w:top w:val="nil"/>
              <w:left w:val="nil"/>
              <w:bottom w:val="nil"/>
              <w:right w:val="nil"/>
            </w:tcBorders>
            <w:shd w:val="clear" w:color="auto" w:fill="auto"/>
            <w:noWrap/>
            <w:hideMark/>
          </w:tcPr>
          <w:p w14:paraId="7160EB0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Mbar_A2316</w:t>
            </w:r>
          </w:p>
        </w:tc>
        <w:tc>
          <w:tcPr>
            <w:tcW w:w="3106" w:type="pct"/>
            <w:tcBorders>
              <w:top w:val="nil"/>
              <w:left w:val="nil"/>
              <w:bottom w:val="nil"/>
              <w:right w:val="nil"/>
            </w:tcBorders>
            <w:shd w:val="clear" w:color="auto" w:fill="auto"/>
            <w:noWrap/>
            <w:hideMark/>
          </w:tcPr>
          <w:p w14:paraId="2E26646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Serine hydroxymethyltransferase </w:t>
            </w:r>
          </w:p>
        </w:tc>
        <w:tc>
          <w:tcPr>
            <w:tcW w:w="918" w:type="pct"/>
            <w:tcBorders>
              <w:top w:val="nil"/>
              <w:left w:val="nil"/>
              <w:bottom w:val="nil"/>
              <w:right w:val="nil"/>
            </w:tcBorders>
            <w:shd w:val="clear" w:color="auto" w:fill="auto"/>
            <w:noWrap/>
            <w:hideMark/>
          </w:tcPr>
          <w:p w14:paraId="11E7C2F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2.26</w:t>
            </w:r>
          </w:p>
        </w:tc>
      </w:tr>
      <w:tr w:rsidR="00436CD0" w:rsidRPr="00C44D8C" w14:paraId="1186FCA7" w14:textId="77777777" w:rsidTr="00436CD0">
        <w:trPr>
          <w:trHeight w:val="290"/>
        </w:trPr>
        <w:tc>
          <w:tcPr>
            <w:tcW w:w="976" w:type="pct"/>
            <w:tcBorders>
              <w:top w:val="nil"/>
              <w:left w:val="nil"/>
              <w:bottom w:val="nil"/>
              <w:right w:val="nil"/>
            </w:tcBorders>
            <w:shd w:val="clear" w:color="auto" w:fill="auto"/>
            <w:noWrap/>
            <w:hideMark/>
          </w:tcPr>
          <w:p w14:paraId="5A73331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Mbar_A1101</w:t>
            </w:r>
          </w:p>
        </w:tc>
        <w:tc>
          <w:tcPr>
            <w:tcW w:w="3106" w:type="pct"/>
            <w:tcBorders>
              <w:top w:val="nil"/>
              <w:left w:val="nil"/>
              <w:bottom w:val="nil"/>
              <w:right w:val="nil"/>
            </w:tcBorders>
            <w:shd w:val="clear" w:color="auto" w:fill="auto"/>
            <w:noWrap/>
            <w:hideMark/>
          </w:tcPr>
          <w:p w14:paraId="107BF8B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(5-formylfuran-3-yl)methyl phosphate synthase </w:t>
            </w:r>
          </w:p>
        </w:tc>
        <w:tc>
          <w:tcPr>
            <w:tcW w:w="918" w:type="pct"/>
            <w:tcBorders>
              <w:top w:val="nil"/>
              <w:left w:val="nil"/>
              <w:bottom w:val="nil"/>
              <w:right w:val="nil"/>
            </w:tcBorders>
            <w:shd w:val="clear" w:color="auto" w:fill="auto"/>
            <w:noWrap/>
            <w:hideMark/>
          </w:tcPr>
          <w:p w14:paraId="7F022D0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2.25</w:t>
            </w:r>
          </w:p>
        </w:tc>
      </w:tr>
      <w:tr w:rsidR="00436CD0" w:rsidRPr="00C44D8C" w14:paraId="2A07F8FD" w14:textId="77777777" w:rsidTr="00436CD0">
        <w:trPr>
          <w:trHeight w:val="290"/>
        </w:trPr>
        <w:tc>
          <w:tcPr>
            <w:tcW w:w="976" w:type="pct"/>
            <w:tcBorders>
              <w:top w:val="nil"/>
              <w:left w:val="nil"/>
              <w:bottom w:val="nil"/>
              <w:right w:val="nil"/>
            </w:tcBorders>
            <w:shd w:val="clear" w:color="auto" w:fill="auto"/>
            <w:noWrap/>
            <w:hideMark/>
          </w:tcPr>
          <w:p w14:paraId="02975DA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Mbar_A0160</w:t>
            </w:r>
          </w:p>
        </w:tc>
        <w:tc>
          <w:tcPr>
            <w:tcW w:w="3106" w:type="pct"/>
            <w:tcBorders>
              <w:top w:val="nil"/>
              <w:left w:val="nil"/>
              <w:bottom w:val="nil"/>
              <w:right w:val="nil"/>
            </w:tcBorders>
            <w:shd w:val="clear" w:color="auto" w:fill="auto"/>
            <w:noWrap/>
            <w:hideMark/>
          </w:tcPr>
          <w:p w14:paraId="03F1628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UbiE/COQ5 methyltransferase</w:t>
            </w:r>
          </w:p>
        </w:tc>
        <w:tc>
          <w:tcPr>
            <w:tcW w:w="918" w:type="pct"/>
            <w:tcBorders>
              <w:top w:val="nil"/>
              <w:left w:val="nil"/>
              <w:bottom w:val="nil"/>
              <w:right w:val="nil"/>
            </w:tcBorders>
            <w:shd w:val="clear" w:color="auto" w:fill="auto"/>
            <w:noWrap/>
            <w:hideMark/>
          </w:tcPr>
          <w:p w14:paraId="5E5CD29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2.21</w:t>
            </w:r>
          </w:p>
        </w:tc>
      </w:tr>
      <w:tr w:rsidR="00436CD0" w:rsidRPr="00C44D8C" w14:paraId="708A00BA" w14:textId="77777777" w:rsidTr="00436CD0">
        <w:trPr>
          <w:trHeight w:val="290"/>
        </w:trPr>
        <w:tc>
          <w:tcPr>
            <w:tcW w:w="976" w:type="pct"/>
            <w:tcBorders>
              <w:top w:val="nil"/>
              <w:left w:val="nil"/>
              <w:bottom w:val="nil"/>
              <w:right w:val="nil"/>
            </w:tcBorders>
            <w:shd w:val="clear" w:color="auto" w:fill="auto"/>
            <w:noWrap/>
            <w:hideMark/>
          </w:tcPr>
          <w:p w14:paraId="0EE7BC0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Mbar_A3191</w:t>
            </w:r>
          </w:p>
        </w:tc>
        <w:tc>
          <w:tcPr>
            <w:tcW w:w="3106" w:type="pct"/>
            <w:tcBorders>
              <w:top w:val="nil"/>
              <w:left w:val="nil"/>
              <w:bottom w:val="nil"/>
              <w:right w:val="nil"/>
            </w:tcBorders>
            <w:shd w:val="clear" w:color="auto" w:fill="auto"/>
            <w:noWrap/>
            <w:hideMark/>
          </w:tcPr>
          <w:p w14:paraId="6B263D2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Probable cobyric acid synthase</w:t>
            </w:r>
          </w:p>
        </w:tc>
        <w:tc>
          <w:tcPr>
            <w:tcW w:w="918" w:type="pct"/>
            <w:tcBorders>
              <w:top w:val="nil"/>
              <w:left w:val="nil"/>
              <w:bottom w:val="nil"/>
              <w:right w:val="nil"/>
            </w:tcBorders>
            <w:shd w:val="clear" w:color="auto" w:fill="auto"/>
            <w:noWrap/>
            <w:hideMark/>
          </w:tcPr>
          <w:p w14:paraId="3503DEE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2.18</w:t>
            </w:r>
          </w:p>
        </w:tc>
      </w:tr>
      <w:tr w:rsidR="00436CD0" w:rsidRPr="00C44D8C" w14:paraId="22B01C13" w14:textId="77777777" w:rsidTr="00436CD0">
        <w:trPr>
          <w:trHeight w:val="290"/>
        </w:trPr>
        <w:tc>
          <w:tcPr>
            <w:tcW w:w="976" w:type="pct"/>
            <w:tcBorders>
              <w:top w:val="nil"/>
              <w:left w:val="nil"/>
              <w:bottom w:val="nil"/>
              <w:right w:val="nil"/>
            </w:tcBorders>
            <w:shd w:val="clear" w:color="auto" w:fill="auto"/>
            <w:noWrap/>
            <w:hideMark/>
          </w:tcPr>
          <w:p w14:paraId="794AD91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Mbar_A0131</w:t>
            </w:r>
          </w:p>
        </w:tc>
        <w:tc>
          <w:tcPr>
            <w:tcW w:w="3106" w:type="pct"/>
            <w:tcBorders>
              <w:top w:val="nil"/>
              <w:left w:val="nil"/>
              <w:bottom w:val="nil"/>
              <w:right w:val="nil"/>
            </w:tcBorders>
            <w:shd w:val="clear" w:color="auto" w:fill="auto"/>
            <w:noWrap/>
            <w:hideMark/>
          </w:tcPr>
          <w:p w14:paraId="4777AC4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Thiamin-monophosphate kinase</w:t>
            </w:r>
          </w:p>
        </w:tc>
        <w:tc>
          <w:tcPr>
            <w:tcW w:w="918" w:type="pct"/>
            <w:tcBorders>
              <w:top w:val="nil"/>
              <w:left w:val="nil"/>
              <w:bottom w:val="nil"/>
              <w:right w:val="nil"/>
            </w:tcBorders>
            <w:shd w:val="clear" w:color="auto" w:fill="auto"/>
            <w:noWrap/>
            <w:hideMark/>
          </w:tcPr>
          <w:p w14:paraId="55185CE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2.16</w:t>
            </w:r>
          </w:p>
        </w:tc>
      </w:tr>
      <w:tr w:rsidR="00436CD0" w:rsidRPr="00C44D8C" w14:paraId="273F47B6" w14:textId="77777777" w:rsidTr="00436CD0">
        <w:trPr>
          <w:trHeight w:val="290"/>
        </w:trPr>
        <w:tc>
          <w:tcPr>
            <w:tcW w:w="976" w:type="pct"/>
            <w:tcBorders>
              <w:top w:val="nil"/>
              <w:left w:val="nil"/>
              <w:bottom w:val="nil"/>
              <w:right w:val="nil"/>
            </w:tcBorders>
            <w:shd w:val="clear" w:color="auto" w:fill="auto"/>
            <w:noWrap/>
            <w:hideMark/>
          </w:tcPr>
          <w:p w14:paraId="5931D3C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Mbar_A2565</w:t>
            </w:r>
          </w:p>
        </w:tc>
        <w:tc>
          <w:tcPr>
            <w:tcW w:w="3106" w:type="pct"/>
            <w:tcBorders>
              <w:top w:val="nil"/>
              <w:left w:val="nil"/>
              <w:bottom w:val="nil"/>
              <w:right w:val="nil"/>
            </w:tcBorders>
            <w:shd w:val="clear" w:color="auto" w:fill="auto"/>
            <w:noWrap/>
            <w:hideMark/>
          </w:tcPr>
          <w:p w14:paraId="6797439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Cobalamin biosynthesis protein</w:t>
            </w:r>
          </w:p>
        </w:tc>
        <w:tc>
          <w:tcPr>
            <w:tcW w:w="918" w:type="pct"/>
            <w:tcBorders>
              <w:top w:val="nil"/>
              <w:left w:val="nil"/>
              <w:bottom w:val="nil"/>
              <w:right w:val="nil"/>
            </w:tcBorders>
            <w:shd w:val="clear" w:color="auto" w:fill="auto"/>
            <w:noWrap/>
            <w:hideMark/>
          </w:tcPr>
          <w:p w14:paraId="3108520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2.12</w:t>
            </w:r>
          </w:p>
        </w:tc>
      </w:tr>
      <w:tr w:rsidR="00436CD0" w:rsidRPr="00C44D8C" w14:paraId="0CD37639" w14:textId="77777777" w:rsidTr="00436CD0">
        <w:trPr>
          <w:trHeight w:val="290"/>
        </w:trPr>
        <w:tc>
          <w:tcPr>
            <w:tcW w:w="976" w:type="pct"/>
            <w:tcBorders>
              <w:top w:val="nil"/>
              <w:left w:val="nil"/>
              <w:bottom w:val="nil"/>
              <w:right w:val="nil"/>
            </w:tcBorders>
            <w:shd w:val="clear" w:color="auto" w:fill="auto"/>
            <w:noWrap/>
            <w:hideMark/>
          </w:tcPr>
          <w:p w14:paraId="41AEC5F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Mbar_A0575</w:t>
            </w:r>
          </w:p>
        </w:tc>
        <w:tc>
          <w:tcPr>
            <w:tcW w:w="3106" w:type="pct"/>
            <w:tcBorders>
              <w:top w:val="nil"/>
              <w:left w:val="nil"/>
              <w:bottom w:val="nil"/>
              <w:right w:val="nil"/>
            </w:tcBorders>
            <w:shd w:val="clear" w:color="auto" w:fill="auto"/>
            <w:noWrap/>
            <w:hideMark/>
          </w:tcPr>
          <w:p w14:paraId="68EC8A9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Molybdopterin molybdochelatase</w:t>
            </w:r>
          </w:p>
        </w:tc>
        <w:tc>
          <w:tcPr>
            <w:tcW w:w="918" w:type="pct"/>
            <w:tcBorders>
              <w:top w:val="nil"/>
              <w:left w:val="nil"/>
              <w:bottom w:val="nil"/>
              <w:right w:val="nil"/>
            </w:tcBorders>
            <w:shd w:val="clear" w:color="auto" w:fill="auto"/>
            <w:noWrap/>
            <w:hideMark/>
          </w:tcPr>
          <w:p w14:paraId="558C924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170B5E7E" w14:textId="77777777" w:rsidTr="00436CD0">
        <w:trPr>
          <w:trHeight w:val="290"/>
        </w:trPr>
        <w:tc>
          <w:tcPr>
            <w:tcW w:w="976" w:type="pct"/>
            <w:tcBorders>
              <w:top w:val="nil"/>
              <w:left w:val="nil"/>
              <w:bottom w:val="nil"/>
              <w:right w:val="nil"/>
            </w:tcBorders>
            <w:shd w:val="clear" w:color="auto" w:fill="auto"/>
            <w:noWrap/>
            <w:hideMark/>
          </w:tcPr>
          <w:p w14:paraId="276B1B6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Mbar_A1178</w:t>
            </w:r>
          </w:p>
        </w:tc>
        <w:tc>
          <w:tcPr>
            <w:tcW w:w="3106" w:type="pct"/>
            <w:tcBorders>
              <w:top w:val="nil"/>
              <w:left w:val="nil"/>
              <w:bottom w:val="nil"/>
              <w:right w:val="nil"/>
            </w:tcBorders>
            <w:shd w:val="clear" w:color="auto" w:fill="auto"/>
            <w:noWrap/>
            <w:hideMark/>
          </w:tcPr>
          <w:p w14:paraId="53084A0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GMP synthase</w:t>
            </w:r>
          </w:p>
        </w:tc>
        <w:tc>
          <w:tcPr>
            <w:tcW w:w="918" w:type="pct"/>
            <w:tcBorders>
              <w:top w:val="nil"/>
              <w:left w:val="nil"/>
              <w:bottom w:val="nil"/>
              <w:right w:val="nil"/>
            </w:tcBorders>
            <w:shd w:val="clear" w:color="auto" w:fill="auto"/>
            <w:noWrap/>
            <w:hideMark/>
          </w:tcPr>
          <w:p w14:paraId="000D3DE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54EF67A3" w14:textId="77777777" w:rsidTr="00436CD0">
        <w:trPr>
          <w:trHeight w:val="290"/>
        </w:trPr>
        <w:tc>
          <w:tcPr>
            <w:tcW w:w="976" w:type="pct"/>
            <w:tcBorders>
              <w:top w:val="nil"/>
              <w:left w:val="nil"/>
              <w:bottom w:val="nil"/>
              <w:right w:val="nil"/>
            </w:tcBorders>
            <w:shd w:val="clear" w:color="auto" w:fill="auto"/>
            <w:noWrap/>
            <w:hideMark/>
          </w:tcPr>
          <w:p w14:paraId="2A34D06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Mbar_A1463</w:t>
            </w:r>
          </w:p>
        </w:tc>
        <w:tc>
          <w:tcPr>
            <w:tcW w:w="3106" w:type="pct"/>
            <w:tcBorders>
              <w:top w:val="nil"/>
              <w:left w:val="nil"/>
              <w:bottom w:val="nil"/>
              <w:right w:val="nil"/>
            </w:tcBorders>
            <w:shd w:val="clear" w:color="auto" w:fill="auto"/>
            <w:noWrap/>
            <w:hideMark/>
          </w:tcPr>
          <w:p w14:paraId="472B011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Delta-aminolevulinic acid dehydratase</w:t>
            </w:r>
          </w:p>
        </w:tc>
        <w:tc>
          <w:tcPr>
            <w:tcW w:w="918" w:type="pct"/>
            <w:tcBorders>
              <w:top w:val="nil"/>
              <w:left w:val="nil"/>
              <w:bottom w:val="nil"/>
              <w:right w:val="nil"/>
            </w:tcBorders>
            <w:shd w:val="clear" w:color="auto" w:fill="auto"/>
            <w:noWrap/>
            <w:hideMark/>
          </w:tcPr>
          <w:p w14:paraId="57D657B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1.97</w:t>
            </w:r>
          </w:p>
        </w:tc>
      </w:tr>
      <w:tr w:rsidR="00436CD0" w:rsidRPr="00C44D8C" w14:paraId="72BFE143" w14:textId="77777777" w:rsidTr="00436CD0">
        <w:trPr>
          <w:trHeight w:val="290"/>
        </w:trPr>
        <w:tc>
          <w:tcPr>
            <w:tcW w:w="976" w:type="pct"/>
            <w:tcBorders>
              <w:top w:val="nil"/>
              <w:left w:val="nil"/>
              <w:bottom w:val="nil"/>
              <w:right w:val="nil"/>
            </w:tcBorders>
            <w:shd w:val="clear" w:color="auto" w:fill="auto"/>
            <w:noWrap/>
            <w:hideMark/>
          </w:tcPr>
          <w:p w14:paraId="7F67AA7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Mbar_A0862</w:t>
            </w:r>
          </w:p>
        </w:tc>
        <w:tc>
          <w:tcPr>
            <w:tcW w:w="3106" w:type="pct"/>
            <w:tcBorders>
              <w:top w:val="nil"/>
              <w:left w:val="nil"/>
              <w:bottom w:val="nil"/>
              <w:right w:val="nil"/>
            </w:tcBorders>
            <w:shd w:val="clear" w:color="auto" w:fill="auto"/>
            <w:noWrap/>
            <w:hideMark/>
          </w:tcPr>
          <w:p w14:paraId="470441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Phosphoribosylformylglycinamidine cyclo-ligase </w:t>
            </w:r>
          </w:p>
        </w:tc>
        <w:tc>
          <w:tcPr>
            <w:tcW w:w="918" w:type="pct"/>
            <w:tcBorders>
              <w:top w:val="nil"/>
              <w:left w:val="nil"/>
              <w:bottom w:val="nil"/>
              <w:right w:val="nil"/>
            </w:tcBorders>
            <w:shd w:val="clear" w:color="auto" w:fill="auto"/>
            <w:noWrap/>
            <w:hideMark/>
          </w:tcPr>
          <w:p w14:paraId="095DE8F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1.96</w:t>
            </w:r>
          </w:p>
        </w:tc>
      </w:tr>
      <w:tr w:rsidR="00436CD0" w:rsidRPr="00C44D8C" w14:paraId="2BE18E45" w14:textId="77777777" w:rsidTr="00436CD0">
        <w:trPr>
          <w:trHeight w:val="290"/>
        </w:trPr>
        <w:tc>
          <w:tcPr>
            <w:tcW w:w="976" w:type="pct"/>
            <w:tcBorders>
              <w:top w:val="nil"/>
              <w:left w:val="nil"/>
              <w:bottom w:val="nil"/>
              <w:right w:val="nil"/>
            </w:tcBorders>
            <w:shd w:val="clear" w:color="auto" w:fill="auto"/>
            <w:noWrap/>
            <w:hideMark/>
          </w:tcPr>
          <w:p w14:paraId="4631BFC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Mbar_A1367</w:t>
            </w:r>
          </w:p>
        </w:tc>
        <w:tc>
          <w:tcPr>
            <w:tcW w:w="3106" w:type="pct"/>
            <w:tcBorders>
              <w:top w:val="nil"/>
              <w:left w:val="nil"/>
              <w:bottom w:val="nil"/>
              <w:right w:val="nil"/>
            </w:tcBorders>
            <w:shd w:val="clear" w:color="auto" w:fill="auto"/>
            <w:noWrap/>
            <w:hideMark/>
          </w:tcPr>
          <w:p w14:paraId="7D95FEB0" w14:textId="77777777" w:rsidR="00436CD0" w:rsidRPr="00C44D8C" w:rsidRDefault="00436CD0" w:rsidP="00436CD0">
            <w:pPr>
              <w:rPr>
                <w:rFonts w:asciiTheme="minorHAnsi" w:hAnsiTheme="minorHAnsi"/>
                <w:color w:val="000000"/>
                <w:sz w:val="22"/>
                <w:szCs w:val="22"/>
                <w:lang w:val="pt-PT" w:eastAsia="en-GB"/>
              </w:rPr>
            </w:pPr>
            <w:r w:rsidRPr="00C44D8C">
              <w:rPr>
                <w:rFonts w:asciiTheme="minorHAnsi" w:hAnsiTheme="minorHAnsi"/>
                <w:color w:val="000000"/>
                <w:sz w:val="22"/>
                <w:szCs w:val="22"/>
                <w:lang w:val="pt-PT" w:eastAsia="en-GB"/>
              </w:rPr>
              <w:t>Molybdenum cofactor biosynthesis protein B</w:t>
            </w:r>
          </w:p>
        </w:tc>
        <w:tc>
          <w:tcPr>
            <w:tcW w:w="918" w:type="pct"/>
            <w:tcBorders>
              <w:top w:val="nil"/>
              <w:left w:val="nil"/>
              <w:bottom w:val="nil"/>
              <w:right w:val="nil"/>
            </w:tcBorders>
            <w:shd w:val="clear" w:color="auto" w:fill="auto"/>
            <w:noWrap/>
            <w:hideMark/>
          </w:tcPr>
          <w:p w14:paraId="7E58B34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1.95</w:t>
            </w:r>
          </w:p>
        </w:tc>
      </w:tr>
      <w:tr w:rsidR="00436CD0" w:rsidRPr="00C44D8C" w14:paraId="0E5DEFE7" w14:textId="77777777" w:rsidTr="00436CD0">
        <w:trPr>
          <w:trHeight w:val="290"/>
        </w:trPr>
        <w:tc>
          <w:tcPr>
            <w:tcW w:w="976" w:type="pct"/>
            <w:tcBorders>
              <w:top w:val="nil"/>
              <w:left w:val="nil"/>
              <w:bottom w:val="nil"/>
              <w:right w:val="nil"/>
            </w:tcBorders>
            <w:shd w:val="clear" w:color="auto" w:fill="auto"/>
            <w:noWrap/>
            <w:hideMark/>
          </w:tcPr>
          <w:p w14:paraId="071BB5D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Mbar_A2129</w:t>
            </w:r>
          </w:p>
        </w:tc>
        <w:tc>
          <w:tcPr>
            <w:tcW w:w="3106" w:type="pct"/>
            <w:tcBorders>
              <w:top w:val="nil"/>
              <w:left w:val="nil"/>
              <w:bottom w:val="nil"/>
              <w:right w:val="nil"/>
            </w:tcBorders>
            <w:shd w:val="clear" w:color="auto" w:fill="auto"/>
            <w:noWrap/>
            <w:hideMark/>
          </w:tcPr>
          <w:p w14:paraId="4D1B217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Phosphomethylpyrimidine synthase 2 </w:t>
            </w:r>
          </w:p>
        </w:tc>
        <w:tc>
          <w:tcPr>
            <w:tcW w:w="918" w:type="pct"/>
            <w:tcBorders>
              <w:top w:val="nil"/>
              <w:left w:val="nil"/>
              <w:bottom w:val="nil"/>
              <w:right w:val="nil"/>
            </w:tcBorders>
            <w:shd w:val="clear" w:color="auto" w:fill="auto"/>
            <w:noWrap/>
            <w:hideMark/>
          </w:tcPr>
          <w:p w14:paraId="24DEB1F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1.93</w:t>
            </w:r>
          </w:p>
        </w:tc>
      </w:tr>
      <w:tr w:rsidR="00436CD0" w:rsidRPr="00C44D8C" w14:paraId="43A3140B" w14:textId="77777777" w:rsidTr="00436CD0">
        <w:trPr>
          <w:trHeight w:val="290"/>
        </w:trPr>
        <w:tc>
          <w:tcPr>
            <w:tcW w:w="976" w:type="pct"/>
            <w:tcBorders>
              <w:top w:val="nil"/>
              <w:left w:val="nil"/>
              <w:bottom w:val="nil"/>
              <w:right w:val="nil"/>
            </w:tcBorders>
            <w:shd w:val="clear" w:color="auto" w:fill="auto"/>
            <w:noWrap/>
            <w:hideMark/>
          </w:tcPr>
          <w:p w14:paraId="44C939F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Mbar_A1599</w:t>
            </w:r>
          </w:p>
        </w:tc>
        <w:tc>
          <w:tcPr>
            <w:tcW w:w="3106" w:type="pct"/>
            <w:tcBorders>
              <w:top w:val="nil"/>
              <w:left w:val="nil"/>
              <w:bottom w:val="nil"/>
              <w:right w:val="nil"/>
            </w:tcBorders>
            <w:shd w:val="clear" w:color="auto" w:fill="auto"/>
            <w:noWrap/>
            <w:hideMark/>
          </w:tcPr>
          <w:p w14:paraId="76C1E31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CoB--CoM heterodisulfide reductase iron-sulfur subunit D </w:t>
            </w:r>
          </w:p>
        </w:tc>
        <w:tc>
          <w:tcPr>
            <w:tcW w:w="918" w:type="pct"/>
            <w:tcBorders>
              <w:top w:val="nil"/>
              <w:left w:val="nil"/>
              <w:bottom w:val="nil"/>
              <w:right w:val="nil"/>
            </w:tcBorders>
            <w:shd w:val="clear" w:color="auto" w:fill="auto"/>
            <w:noWrap/>
            <w:hideMark/>
          </w:tcPr>
          <w:p w14:paraId="0732D1B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686EB5E9" w14:textId="77777777" w:rsidTr="00436CD0">
        <w:trPr>
          <w:trHeight w:val="290"/>
        </w:trPr>
        <w:tc>
          <w:tcPr>
            <w:tcW w:w="976" w:type="pct"/>
            <w:tcBorders>
              <w:top w:val="nil"/>
              <w:left w:val="nil"/>
              <w:bottom w:val="nil"/>
              <w:right w:val="nil"/>
            </w:tcBorders>
            <w:shd w:val="clear" w:color="auto" w:fill="auto"/>
            <w:noWrap/>
            <w:hideMark/>
          </w:tcPr>
          <w:p w14:paraId="6244D24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Mbar_A0977</w:t>
            </w:r>
          </w:p>
        </w:tc>
        <w:tc>
          <w:tcPr>
            <w:tcW w:w="3106" w:type="pct"/>
            <w:tcBorders>
              <w:top w:val="nil"/>
              <w:left w:val="nil"/>
              <w:bottom w:val="nil"/>
              <w:right w:val="nil"/>
            </w:tcBorders>
            <w:shd w:val="clear" w:color="auto" w:fill="auto"/>
            <w:noWrap/>
            <w:hideMark/>
          </w:tcPr>
          <w:p w14:paraId="05448175" w14:textId="77777777" w:rsidR="00436CD0" w:rsidRPr="00C44D8C" w:rsidRDefault="00436CD0" w:rsidP="00436CD0">
            <w:pPr>
              <w:rPr>
                <w:rFonts w:asciiTheme="minorHAnsi" w:hAnsiTheme="minorHAnsi"/>
                <w:color w:val="000000"/>
                <w:sz w:val="22"/>
                <w:szCs w:val="22"/>
                <w:lang w:val="it-IT" w:eastAsia="en-GB"/>
              </w:rPr>
            </w:pPr>
            <w:r w:rsidRPr="00C44D8C">
              <w:rPr>
                <w:rFonts w:asciiTheme="minorHAnsi" w:hAnsiTheme="minorHAnsi"/>
                <w:color w:val="000000"/>
                <w:sz w:val="22"/>
                <w:szCs w:val="22"/>
                <w:lang w:val="it-IT" w:eastAsia="en-GB"/>
              </w:rPr>
              <w:t xml:space="preserve">Probable L-tyrosine/L-aspartate decarboxylase </w:t>
            </w:r>
          </w:p>
        </w:tc>
        <w:tc>
          <w:tcPr>
            <w:tcW w:w="918" w:type="pct"/>
            <w:tcBorders>
              <w:top w:val="nil"/>
              <w:left w:val="nil"/>
              <w:bottom w:val="nil"/>
              <w:right w:val="nil"/>
            </w:tcBorders>
            <w:shd w:val="clear" w:color="auto" w:fill="auto"/>
            <w:noWrap/>
            <w:hideMark/>
          </w:tcPr>
          <w:p w14:paraId="302722C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69D785FD" w14:textId="77777777" w:rsidTr="00436CD0">
        <w:trPr>
          <w:trHeight w:val="290"/>
        </w:trPr>
        <w:tc>
          <w:tcPr>
            <w:tcW w:w="976" w:type="pct"/>
            <w:tcBorders>
              <w:top w:val="nil"/>
              <w:left w:val="nil"/>
              <w:bottom w:val="nil"/>
              <w:right w:val="nil"/>
            </w:tcBorders>
            <w:shd w:val="clear" w:color="auto" w:fill="auto"/>
            <w:noWrap/>
            <w:hideMark/>
          </w:tcPr>
          <w:p w14:paraId="7A45A89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Mbar_A3731</w:t>
            </w:r>
          </w:p>
        </w:tc>
        <w:tc>
          <w:tcPr>
            <w:tcW w:w="3106" w:type="pct"/>
            <w:tcBorders>
              <w:top w:val="nil"/>
              <w:left w:val="nil"/>
              <w:bottom w:val="nil"/>
              <w:right w:val="nil"/>
            </w:tcBorders>
            <w:shd w:val="clear" w:color="auto" w:fill="auto"/>
            <w:noWrap/>
            <w:hideMark/>
          </w:tcPr>
          <w:p w14:paraId="5D62DB1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Cobaltochelatase CobN subunit </w:t>
            </w:r>
          </w:p>
        </w:tc>
        <w:tc>
          <w:tcPr>
            <w:tcW w:w="918" w:type="pct"/>
            <w:tcBorders>
              <w:top w:val="nil"/>
              <w:left w:val="nil"/>
              <w:bottom w:val="nil"/>
              <w:right w:val="nil"/>
            </w:tcBorders>
            <w:shd w:val="clear" w:color="auto" w:fill="auto"/>
            <w:noWrap/>
            <w:hideMark/>
          </w:tcPr>
          <w:p w14:paraId="347AE60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1.87</w:t>
            </w:r>
          </w:p>
        </w:tc>
      </w:tr>
      <w:tr w:rsidR="00436CD0" w:rsidRPr="00C44D8C" w14:paraId="3BF3747F" w14:textId="77777777" w:rsidTr="00436CD0">
        <w:trPr>
          <w:trHeight w:val="290"/>
        </w:trPr>
        <w:tc>
          <w:tcPr>
            <w:tcW w:w="976" w:type="pct"/>
            <w:tcBorders>
              <w:top w:val="nil"/>
              <w:left w:val="nil"/>
              <w:bottom w:val="nil"/>
              <w:right w:val="nil"/>
            </w:tcBorders>
            <w:shd w:val="clear" w:color="auto" w:fill="auto"/>
            <w:noWrap/>
            <w:hideMark/>
          </w:tcPr>
          <w:p w14:paraId="0C3C26E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Mbar_A1493</w:t>
            </w:r>
          </w:p>
        </w:tc>
        <w:tc>
          <w:tcPr>
            <w:tcW w:w="3106" w:type="pct"/>
            <w:tcBorders>
              <w:top w:val="nil"/>
              <w:left w:val="nil"/>
              <w:bottom w:val="nil"/>
              <w:right w:val="nil"/>
            </w:tcBorders>
            <w:shd w:val="clear" w:color="auto" w:fill="auto"/>
            <w:noWrap/>
            <w:hideMark/>
          </w:tcPr>
          <w:p w14:paraId="7AAC7C1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Cobalt-precorrin-5B C(1)-methyltransferase </w:t>
            </w:r>
          </w:p>
        </w:tc>
        <w:tc>
          <w:tcPr>
            <w:tcW w:w="918" w:type="pct"/>
            <w:tcBorders>
              <w:top w:val="nil"/>
              <w:left w:val="nil"/>
              <w:bottom w:val="nil"/>
              <w:right w:val="nil"/>
            </w:tcBorders>
            <w:shd w:val="clear" w:color="auto" w:fill="auto"/>
            <w:noWrap/>
            <w:hideMark/>
          </w:tcPr>
          <w:p w14:paraId="4622B12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1.87</w:t>
            </w:r>
          </w:p>
        </w:tc>
      </w:tr>
      <w:tr w:rsidR="00436CD0" w:rsidRPr="00C44D8C" w14:paraId="00B76FEC" w14:textId="77777777" w:rsidTr="00436CD0">
        <w:trPr>
          <w:trHeight w:val="290"/>
        </w:trPr>
        <w:tc>
          <w:tcPr>
            <w:tcW w:w="976" w:type="pct"/>
            <w:tcBorders>
              <w:top w:val="nil"/>
              <w:left w:val="nil"/>
              <w:bottom w:val="nil"/>
              <w:right w:val="nil"/>
            </w:tcBorders>
            <w:shd w:val="clear" w:color="auto" w:fill="auto"/>
            <w:noWrap/>
            <w:hideMark/>
          </w:tcPr>
          <w:p w14:paraId="05C8F69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Mbar_A2082</w:t>
            </w:r>
          </w:p>
        </w:tc>
        <w:tc>
          <w:tcPr>
            <w:tcW w:w="3106" w:type="pct"/>
            <w:tcBorders>
              <w:top w:val="nil"/>
              <w:left w:val="nil"/>
              <w:bottom w:val="nil"/>
              <w:right w:val="nil"/>
            </w:tcBorders>
            <w:shd w:val="clear" w:color="auto" w:fill="auto"/>
            <w:noWrap/>
            <w:hideMark/>
          </w:tcPr>
          <w:p w14:paraId="09A9D40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6,7-dimethyl-8-ribityllumazine synthase </w:t>
            </w:r>
          </w:p>
        </w:tc>
        <w:tc>
          <w:tcPr>
            <w:tcW w:w="918" w:type="pct"/>
            <w:tcBorders>
              <w:top w:val="nil"/>
              <w:left w:val="nil"/>
              <w:bottom w:val="nil"/>
              <w:right w:val="nil"/>
            </w:tcBorders>
            <w:shd w:val="clear" w:color="auto" w:fill="auto"/>
            <w:noWrap/>
            <w:hideMark/>
          </w:tcPr>
          <w:p w14:paraId="5337049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497193CA" w14:textId="77777777" w:rsidTr="00436CD0">
        <w:trPr>
          <w:trHeight w:val="290"/>
        </w:trPr>
        <w:tc>
          <w:tcPr>
            <w:tcW w:w="976" w:type="pct"/>
            <w:tcBorders>
              <w:top w:val="nil"/>
              <w:left w:val="nil"/>
              <w:bottom w:val="nil"/>
              <w:right w:val="nil"/>
            </w:tcBorders>
            <w:shd w:val="clear" w:color="auto" w:fill="auto"/>
            <w:noWrap/>
            <w:hideMark/>
          </w:tcPr>
          <w:p w14:paraId="184D4F2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Mbar_A0597</w:t>
            </w:r>
          </w:p>
        </w:tc>
        <w:tc>
          <w:tcPr>
            <w:tcW w:w="3106" w:type="pct"/>
            <w:tcBorders>
              <w:top w:val="nil"/>
              <w:left w:val="nil"/>
              <w:bottom w:val="nil"/>
              <w:right w:val="nil"/>
            </w:tcBorders>
            <w:shd w:val="clear" w:color="auto" w:fill="auto"/>
            <w:noWrap/>
            <w:hideMark/>
          </w:tcPr>
          <w:p w14:paraId="68E281A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Phosphomethylpyrimidine synthase 1</w:t>
            </w:r>
          </w:p>
        </w:tc>
        <w:tc>
          <w:tcPr>
            <w:tcW w:w="918" w:type="pct"/>
            <w:tcBorders>
              <w:top w:val="nil"/>
              <w:left w:val="nil"/>
              <w:bottom w:val="nil"/>
              <w:right w:val="nil"/>
            </w:tcBorders>
            <w:shd w:val="clear" w:color="auto" w:fill="auto"/>
            <w:noWrap/>
            <w:hideMark/>
          </w:tcPr>
          <w:p w14:paraId="5493E97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7D01F2E5" w14:textId="77777777" w:rsidTr="00436CD0">
        <w:trPr>
          <w:trHeight w:val="290"/>
        </w:trPr>
        <w:tc>
          <w:tcPr>
            <w:tcW w:w="976" w:type="pct"/>
            <w:tcBorders>
              <w:top w:val="nil"/>
              <w:left w:val="nil"/>
              <w:bottom w:val="nil"/>
              <w:right w:val="nil"/>
            </w:tcBorders>
            <w:shd w:val="clear" w:color="auto" w:fill="auto"/>
            <w:noWrap/>
            <w:hideMark/>
          </w:tcPr>
          <w:p w14:paraId="253F806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Mbar_A3418</w:t>
            </w:r>
          </w:p>
        </w:tc>
        <w:tc>
          <w:tcPr>
            <w:tcW w:w="3106" w:type="pct"/>
            <w:tcBorders>
              <w:top w:val="nil"/>
              <w:left w:val="nil"/>
              <w:bottom w:val="nil"/>
              <w:right w:val="nil"/>
            </w:tcBorders>
            <w:shd w:val="clear" w:color="auto" w:fill="auto"/>
            <w:noWrap/>
            <w:hideMark/>
          </w:tcPr>
          <w:p w14:paraId="102CD47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2-phospho-L-lactate guanylyltransferase</w:t>
            </w:r>
          </w:p>
        </w:tc>
        <w:tc>
          <w:tcPr>
            <w:tcW w:w="918" w:type="pct"/>
            <w:tcBorders>
              <w:top w:val="nil"/>
              <w:left w:val="nil"/>
              <w:bottom w:val="nil"/>
              <w:right w:val="nil"/>
            </w:tcBorders>
            <w:shd w:val="clear" w:color="auto" w:fill="auto"/>
            <w:noWrap/>
            <w:hideMark/>
          </w:tcPr>
          <w:p w14:paraId="22DFC12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1.84</w:t>
            </w:r>
          </w:p>
        </w:tc>
      </w:tr>
      <w:tr w:rsidR="00436CD0" w:rsidRPr="00C44D8C" w14:paraId="4F9180F8" w14:textId="77777777" w:rsidTr="00436CD0">
        <w:trPr>
          <w:trHeight w:val="290"/>
        </w:trPr>
        <w:tc>
          <w:tcPr>
            <w:tcW w:w="976" w:type="pct"/>
            <w:tcBorders>
              <w:top w:val="nil"/>
              <w:left w:val="nil"/>
              <w:bottom w:val="nil"/>
              <w:right w:val="nil"/>
            </w:tcBorders>
            <w:shd w:val="clear" w:color="auto" w:fill="auto"/>
            <w:noWrap/>
            <w:hideMark/>
          </w:tcPr>
          <w:p w14:paraId="4ED0337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Mbar_A1866</w:t>
            </w:r>
          </w:p>
        </w:tc>
        <w:tc>
          <w:tcPr>
            <w:tcW w:w="3106" w:type="pct"/>
            <w:tcBorders>
              <w:top w:val="nil"/>
              <w:left w:val="nil"/>
              <w:bottom w:val="nil"/>
              <w:right w:val="nil"/>
            </w:tcBorders>
            <w:shd w:val="clear" w:color="auto" w:fill="auto"/>
            <w:noWrap/>
            <w:hideMark/>
          </w:tcPr>
          <w:p w14:paraId="2452B12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Probable L-aspartate dehydrogenase</w:t>
            </w:r>
          </w:p>
        </w:tc>
        <w:tc>
          <w:tcPr>
            <w:tcW w:w="918" w:type="pct"/>
            <w:tcBorders>
              <w:top w:val="nil"/>
              <w:left w:val="nil"/>
              <w:bottom w:val="nil"/>
              <w:right w:val="nil"/>
            </w:tcBorders>
            <w:shd w:val="clear" w:color="auto" w:fill="auto"/>
            <w:noWrap/>
            <w:hideMark/>
          </w:tcPr>
          <w:p w14:paraId="1362C7A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1.83</w:t>
            </w:r>
          </w:p>
        </w:tc>
      </w:tr>
      <w:tr w:rsidR="00436CD0" w:rsidRPr="00C44D8C" w14:paraId="59705DFF" w14:textId="77777777" w:rsidTr="00436CD0">
        <w:trPr>
          <w:trHeight w:val="290"/>
        </w:trPr>
        <w:tc>
          <w:tcPr>
            <w:tcW w:w="976" w:type="pct"/>
            <w:tcBorders>
              <w:top w:val="nil"/>
              <w:left w:val="nil"/>
              <w:bottom w:val="nil"/>
              <w:right w:val="nil"/>
            </w:tcBorders>
            <w:shd w:val="clear" w:color="auto" w:fill="auto"/>
            <w:noWrap/>
            <w:hideMark/>
          </w:tcPr>
          <w:p w14:paraId="1C0D923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Mbar_A0630</w:t>
            </w:r>
          </w:p>
        </w:tc>
        <w:tc>
          <w:tcPr>
            <w:tcW w:w="3106" w:type="pct"/>
            <w:tcBorders>
              <w:top w:val="nil"/>
              <w:left w:val="nil"/>
              <w:bottom w:val="nil"/>
              <w:right w:val="nil"/>
            </w:tcBorders>
            <w:shd w:val="clear" w:color="auto" w:fill="auto"/>
            <w:noWrap/>
            <w:hideMark/>
          </w:tcPr>
          <w:p w14:paraId="4FB040C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Precorrin-8X methylmutase </w:t>
            </w:r>
          </w:p>
        </w:tc>
        <w:tc>
          <w:tcPr>
            <w:tcW w:w="918" w:type="pct"/>
            <w:tcBorders>
              <w:top w:val="nil"/>
              <w:left w:val="nil"/>
              <w:bottom w:val="nil"/>
              <w:right w:val="nil"/>
            </w:tcBorders>
            <w:shd w:val="clear" w:color="auto" w:fill="auto"/>
            <w:noWrap/>
            <w:hideMark/>
          </w:tcPr>
          <w:p w14:paraId="37B297A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11F4C554" w14:textId="77777777" w:rsidTr="00436CD0">
        <w:trPr>
          <w:trHeight w:val="290"/>
        </w:trPr>
        <w:tc>
          <w:tcPr>
            <w:tcW w:w="976" w:type="pct"/>
            <w:tcBorders>
              <w:top w:val="nil"/>
              <w:left w:val="nil"/>
              <w:bottom w:val="nil"/>
              <w:right w:val="nil"/>
            </w:tcBorders>
            <w:shd w:val="clear" w:color="auto" w:fill="auto"/>
            <w:noWrap/>
            <w:hideMark/>
          </w:tcPr>
          <w:p w14:paraId="46D2DD4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Mbar_A0627</w:t>
            </w:r>
          </w:p>
        </w:tc>
        <w:tc>
          <w:tcPr>
            <w:tcW w:w="3106" w:type="pct"/>
            <w:tcBorders>
              <w:top w:val="nil"/>
              <w:left w:val="nil"/>
              <w:bottom w:val="nil"/>
              <w:right w:val="nil"/>
            </w:tcBorders>
            <w:shd w:val="clear" w:color="auto" w:fill="auto"/>
            <w:noWrap/>
            <w:hideMark/>
          </w:tcPr>
          <w:p w14:paraId="2280886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Cobalt-factor II C20-methyltransferase</w:t>
            </w:r>
          </w:p>
        </w:tc>
        <w:tc>
          <w:tcPr>
            <w:tcW w:w="918" w:type="pct"/>
            <w:tcBorders>
              <w:top w:val="nil"/>
              <w:left w:val="nil"/>
              <w:bottom w:val="nil"/>
              <w:right w:val="nil"/>
            </w:tcBorders>
            <w:shd w:val="clear" w:color="auto" w:fill="auto"/>
            <w:noWrap/>
            <w:hideMark/>
          </w:tcPr>
          <w:p w14:paraId="37FD781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1.78</w:t>
            </w:r>
          </w:p>
        </w:tc>
      </w:tr>
      <w:tr w:rsidR="00436CD0" w:rsidRPr="00C44D8C" w14:paraId="757AFD6F" w14:textId="77777777" w:rsidTr="00436CD0">
        <w:trPr>
          <w:trHeight w:val="290"/>
        </w:trPr>
        <w:tc>
          <w:tcPr>
            <w:tcW w:w="976" w:type="pct"/>
            <w:tcBorders>
              <w:top w:val="nil"/>
              <w:left w:val="nil"/>
              <w:bottom w:val="nil"/>
              <w:right w:val="nil"/>
            </w:tcBorders>
            <w:shd w:val="clear" w:color="auto" w:fill="auto"/>
            <w:noWrap/>
            <w:hideMark/>
          </w:tcPr>
          <w:p w14:paraId="7642D91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Mbar_A1183</w:t>
            </w:r>
          </w:p>
        </w:tc>
        <w:tc>
          <w:tcPr>
            <w:tcW w:w="3106" w:type="pct"/>
            <w:tcBorders>
              <w:top w:val="nil"/>
              <w:left w:val="nil"/>
              <w:bottom w:val="nil"/>
              <w:right w:val="nil"/>
            </w:tcBorders>
            <w:shd w:val="clear" w:color="auto" w:fill="auto"/>
            <w:noWrap/>
            <w:hideMark/>
          </w:tcPr>
          <w:p w14:paraId="7D90372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GTP cyclohydrolase MptA </w:t>
            </w:r>
          </w:p>
        </w:tc>
        <w:tc>
          <w:tcPr>
            <w:tcW w:w="918" w:type="pct"/>
            <w:tcBorders>
              <w:top w:val="nil"/>
              <w:left w:val="nil"/>
              <w:bottom w:val="nil"/>
              <w:right w:val="nil"/>
            </w:tcBorders>
            <w:shd w:val="clear" w:color="auto" w:fill="auto"/>
            <w:noWrap/>
            <w:hideMark/>
          </w:tcPr>
          <w:p w14:paraId="20A1AD1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1.77</w:t>
            </w:r>
          </w:p>
        </w:tc>
      </w:tr>
      <w:tr w:rsidR="00436CD0" w:rsidRPr="00C44D8C" w14:paraId="567FBD70" w14:textId="77777777" w:rsidTr="00436CD0">
        <w:trPr>
          <w:trHeight w:val="290"/>
        </w:trPr>
        <w:tc>
          <w:tcPr>
            <w:tcW w:w="976" w:type="pct"/>
            <w:tcBorders>
              <w:top w:val="nil"/>
              <w:left w:val="nil"/>
              <w:bottom w:val="nil"/>
              <w:right w:val="nil"/>
            </w:tcBorders>
            <w:shd w:val="clear" w:color="auto" w:fill="auto"/>
            <w:noWrap/>
            <w:hideMark/>
          </w:tcPr>
          <w:p w14:paraId="0A598B9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Mbar_A2872</w:t>
            </w:r>
          </w:p>
        </w:tc>
        <w:tc>
          <w:tcPr>
            <w:tcW w:w="3106" w:type="pct"/>
            <w:tcBorders>
              <w:top w:val="nil"/>
              <w:left w:val="nil"/>
              <w:bottom w:val="nil"/>
              <w:right w:val="nil"/>
            </w:tcBorders>
            <w:shd w:val="clear" w:color="auto" w:fill="auto"/>
            <w:noWrap/>
            <w:hideMark/>
          </w:tcPr>
          <w:p w14:paraId="284D6B9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Phenylacetate-CoA ligase</w:t>
            </w:r>
          </w:p>
        </w:tc>
        <w:tc>
          <w:tcPr>
            <w:tcW w:w="918" w:type="pct"/>
            <w:tcBorders>
              <w:top w:val="nil"/>
              <w:left w:val="nil"/>
              <w:bottom w:val="nil"/>
              <w:right w:val="nil"/>
            </w:tcBorders>
            <w:shd w:val="clear" w:color="auto" w:fill="auto"/>
            <w:noWrap/>
            <w:hideMark/>
          </w:tcPr>
          <w:p w14:paraId="3D252EC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02E9D547" w14:textId="77777777" w:rsidTr="00436CD0">
        <w:trPr>
          <w:trHeight w:val="290"/>
        </w:trPr>
        <w:tc>
          <w:tcPr>
            <w:tcW w:w="976" w:type="pct"/>
            <w:tcBorders>
              <w:top w:val="nil"/>
              <w:left w:val="nil"/>
              <w:bottom w:val="nil"/>
              <w:right w:val="nil"/>
            </w:tcBorders>
            <w:shd w:val="clear" w:color="auto" w:fill="auto"/>
            <w:noWrap/>
            <w:hideMark/>
          </w:tcPr>
          <w:p w14:paraId="7D93604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Mbar_A0489</w:t>
            </w:r>
          </w:p>
        </w:tc>
        <w:tc>
          <w:tcPr>
            <w:tcW w:w="3106" w:type="pct"/>
            <w:tcBorders>
              <w:top w:val="nil"/>
              <w:left w:val="nil"/>
              <w:bottom w:val="nil"/>
              <w:right w:val="nil"/>
            </w:tcBorders>
            <w:shd w:val="clear" w:color="auto" w:fill="auto"/>
            <w:noWrap/>
            <w:hideMark/>
          </w:tcPr>
          <w:p w14:paraId="19E187E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2, 5-diamino-6-(5-phosphoribosylamino)pyrimidin-4(3H)-one reductase </w:t>
            </w:r>
          </w:p>
        </w:tc>
        <w:tc>
          <w:tcPr>
            <w:tcW w:w="918" w:type="pct"/>
            <w:tcBorders>
              <w:top w:val="nil"/>
              <w:left w:val="nil"/>
              <w:bottom w:val="nil"/>
              <w:right w:val="nil"/>
            </w:tcBorders>
            <w:shd w:val="clear" w:color="auto" w:fill="auto"/>
            <w:noWrap/>
            <w:hideMark/>
          </w:tcPr>
          <w:p w14:paraId="7C2718A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083B7FCB" w14:textId="77777777" w:rsidTr="00436CD0">
        <w:trPr>
          <w:trHeight w:val="290"/>
        </w:trPr>
        <w:tc>
          <w:tcPr>
            <w:tcW w:w="976" w:type="pct"/>
            <w:tcBorders>
              <w:top w:val="nil"/>
              <w:left w:val="nil"/>
              <w:bottom w:val="nil"/>
              <w:right w:val="nil"/>
            </w:tcBorders>
            <w:shd w:val="clear" w:color="auto" w:fill="auto"/>
            <w:noWrap/>
            <w:hideMark/>
          </w:tcPr>
          <w:p w14:paraId="5FA7BC2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Mbar_A1865</w:t>
            </w:r>
          </w:p>
        </w:tc>
        <w:tc>
          <w:tcPr>
            <w:tcW w:w="3106" w:type="pct"/>
            <w:tcBorders>
              <w:top w:val="nil"/>
              <w:left w:val="nil"/>
              <w:bottom w:val="nil"/>
              <w:right w:val="nil"/>
            </w:tcBorders>
            <w:shd w:val="clear" w:color="auto" w:fill="auto"/>
            <w:noWrap/>
            <w:hideMark/>
          </w:tcPr>
          <w:p w14:paraId="40EA7A0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Quinolinate synthase A</w:t>
            </w:r>
          </w:p>
        </w:tc>
        <w:tc>
          <w:tcPr>
            <w:tcW w:w="918" w:type="pct"/>
            <w:tcBorders>
              <w:top w:val="nil"/>
              <w:left w:val="nil"/>
              <w:bottom w:val="nil"/>
              <w:right w:val="nil"/>
            </w:tcBorders>
            <w:shd w:val="clear" w:color="auto" w:fill="auto"/>
            <w:noWrap/>
            <w:hideMark/>
          </w:tcPr>
          <w:p w14:paraId="7E57C55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3933024A" w14:textId="77777777" w:rsidTr="00436CD0">
        <w:trPr>
          <w:trHeight w:val="290"/>
        </w:trPr>
        <w:tc>
          <w:tcPr>
            <w:tcW w:w="976" w:type="pct"/>
            <w:tcBorders>
              <w:top w:val="nil"/>
              <w:left w:val="nil"/>
              <w:bottom w:val="nil"/>
              <w:right w:val="nil"/>
            </w:tcBorders>
            <w:shd w:val="clear" w:color="auto" w:fill="auto"/>
            <w:noWrap/>
            <w:hideMark/>
          </w:tcPr>
          <w:p w14:paraId="6DA23DB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Mbar_A3580</w:t>
            </w:r>
          </w:p>
        </w:tc>
        <w:tc>
          <w:tcPr>
            <w:tcW w:w="3106" w:type="pct"/>
            <w:tcBorders>
              <w:top w:val="nil"/>
              <w:left w:val="nil"/>
              <w:bottom w:val="nil"/>
              <w:right w:val="nil"/>
            </w:tcBorders>
            <w:shd w:val="clear" w:color="auto" w:fill="auto"/>
            <w:noWrap/>
            <w:hideMark/>
          </w:tcPr>
          <w:p w14:paraId="0426DE2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Pyridoxal 5'-phosphate synthase subunit PdxT </w:t>
            </w:r>
          </w:p>
        </w:tc>
        <w:tc>
          <w:tcPr>
            <w:tcW w:w="918" w:type="pct"/>
            <w:tcBorders>
              <w:top w:val="nil"/>
              <w:left w:val="nil"/>
              <w:bottom w:val="nil"/>
              <w:right w:val="nil"/>
            </w:tcBorders>
            <w:shd w:val="clear" w:color="auto" w:fill="auto"/>
            <w:noWrap/>
            <w:hideMark/>
          </w:tcPr>
          <w:p w14:paraId="6224CF5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214F3183" w14:textId="77777777" w:rsidTr="00436CD0">
        <w:trPr>
          <w:trHeight w:val="290"/>
        </w:trPr>
        <w:tc>
          <w:tcPr>
            <w:tcW w:w="976" w:type="pct"/>
            <w:tcBorders>
              <w:top w:val="nil"/>
              <w:left w:val="nil"/>
              <w:bottom w:val="nil"/>
              <w:right w:val="nil"/>
            </w:tcBorders>
            <w:shd w:val="clear" w:color="auto" w:fill="auto"/>
            <w:noWrap/>
            <w:hideMark/>
          </w:tcPr>
          <w:p w14:paraId="74EBA7D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Mbar_A3453</w:t>
            </w:r>
          </w:p>
        </w:tc>
        <w:tc>
          <w:tcPr>
            <w:tcW w:w="3106" w:type="pct"/>
            <w:tcBorders>
              <w:top w:val="nil"/>
              <w:left w:val="nil"/>
              <w:bottom w:val="nil"/>
              <w:right w:val="nil"/>
            </w:tcBorders>
            <w:shd w:val="clear" w:color="auto" w:fill="auto"/>
            <w:noWrap/>
            <w:hideMark/>
          </w:tcPr>
          <w:p w14:paraId="0F9411C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L-threonine O-3-phosphate decarboxylase</w:t>
            </w:r>
          </w:p>
        </w:tc>
        <w:tc>
          <w:tcPr>
            <w:tcW w:w="918" w:type="pct"/>
            <w:tcBorders>
              <w:top w:val="nil"/>
              <w:left w:val="nil"/>
              <w:bottom w:val="nil"/>
              <w:right w:val="nil"/>
            </w:tcBorders>
            <w:shd w:val="clear" w:color="auto" w:fill="auto"/>
            <w:noWrap/>
            <w:hideMark/>
          </w:tcPr>
          <w:p w14:paraId="3E7B754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04209A95" w14:textId="77777777" w:rsidTr="00436CD0">
        <w:trPr>
          <w:trHeight w:val="290"/>
        </w:trPr>
        <w:tc>
          <w:tcPr>
            <w:tcW w:w="976" w:type="pct"/>
            <w:tcBorders>
              <w:top w:val="nil"/>
              <w:left w:val="nil"/>
              <w:bottom w:val="nil"/>
              <w:right w:val="nil"/>
            </w:tcBorders>
            <w:shd w:val="clear" w:color="auto" w:fill="auto"/>
            <w:noWrap/>
            <w:hideMark/>
          </w:tcPr>
          <w:p w14:paraId="762B26B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Mbar_A1524</w:t>
            </w:r>
          </w:p>
        </w:tc>
        <w:tc>
          <w:tcPr>
            <w:tcW w:w="3106" w:type="pct"/>
            <w:tcBorders>
              <w:top w:val="nil"/>
              <w:left w:val="nil"/>
              <w:bottom w:val="nil"/>
              <w:right w:val="nil"/>
            </w:tcBorders>
            <w:shd w:val="clear" w:color="auto" w:fill="auto"/>
            <w:noWrap/>
            <w:hideMark/>
          </w:tcPr>
          <w:p w14:paraId="7078EFD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3,4-dihydroxy-2-butanone 4-phosphate synthase </w:t>
            </w:r>
          </w:p>
        </w:tc>
        <w:tc>
          <w:tcPr>
            <w:tcW w:w="918" w:type="pct"/>
            <w:tcBorders>
              <w:top w:val="nil"/>
              <w:left w:val="nil"/>
              <w:bottom w:val="nil"/>
              <w:right w:val="nil"/>
            </w:tcBorders>
            <w:shd w:val="clear" w:color="auto" w:fill="auto"/>
            <w:noWrap/>
            <w:hideMark/>
          </w:tcPr>
          <w:p w14:paraId="6A957E7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50ECD046" w14:textId="77777777" w:rsidTr="00436CD0">
        <w:trPr>
          <w:trHeight w:val="290"/>
        </w:trPr>
        <w:tc>
          <w:tcPr>
            <w:tcW w:w="976" w:type="pct"/>
            <w:tcBorders>
              <w:top w:val="nil"/>
              <w:left w:val="nil"/>
              <w:bottom w:val="nil"/>
              <w:right w:val="nil"/>
            </w:tcBorders>
            <w:shd w:val="clear" w:color="auto" w:fill="auto"/>
            <w:noWrap/>
            <w:hideMark/>
          </w:tcPr>
          <w:p w14:paraId="71D6FE5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Mbar_A3417</w:t>
            </w:r>
          </w:p>
        </w:tc>
        <w:tc>
          <w:tcPr>
            <w:tcW w:w="3106" w:type="pct"/>
            <w:tcBorders>
              <w:top w:val="nil"/>
              <w:left w:val="nil"/>
              <w:bottom w:val="nil"/>
              <w:right w:val="nil"/>
            </w:tcBorders>
            <w:shd w:val="clear" w:color="auto" w:fill="auto"/>
            <w:noWrap/>
            <w:hideMark/>
          </w:tcPr>
          <w:p w14:paraId="5FE798D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FO synthase subunit 2 </w:t>
            </w:r>
          </w:p>
        </w:tc>
        <w:tc>
          <w:tcPr>
            <w:tcW w:w="918" w:type="pct"/>
            <w:tcBorders>
              <w:top w:val="nil"/>
              <w:left w:val="nil"/>
              <w:bottom w:val="nil"/>
              <w:right w:val="nil"/>
            </w:tcBorders>
            <w:shd w:val="clear" w:color="auto" w:fill="auto"/>
            <w:noWrap/>
            <w:hideMark/>
          </w:tcPr>
          <w:p w14:paraId="52DF05C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695B4D41" w14:textId="77777777" w:rsidTr="00436CD0">
        <w:trPr>
          <w:trHeight w:val="290"/>
        </w:trPr>
        <w:tc>
          <w:tcPr>
            <w:tcW w:w="976" w:type="pct"/>
            <w:tcBorders>
              <w:top w:val="nil"/>
              <w:left w:val="nil"/>
              <w:bottom w:val="nil"/>
              <w:right w:val="nil"/>
            </w:tcBorders>
            <w:shd w:val="clear" w:color="auto" w:fill="auto"/>
            <w:noWrap/>
            <w:hideMark/>
          </w:tcPr>
          <w:p w14:paraId="27FEDD6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Mbar_A1187</w:t>
            </w:r>
          </w:p>
        </w:tc>
        <w:tc>
          <w:tcPr>
            <w:tcW w:w="3106" w:type="pct"/>
            <w:tcBorders>
              <w:top w:val="nil"/>
              <w:left w:val="nil"/>
              <w:bottom w:val="nil"/>
              <w:right w:val="nil"/>
            </w:tcBorders>
            <w:shd w:val="clear" w:color="auto" w:fill="auto"/>
            <w:noWrap/>
            <w:hideMark/>
          </w:tcPr>
          <w:p w14:paraId="777FA4C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Cobyrinate a,c-diamide synthase</w:t>
            </w:r>
          </w:p>
        </w:tc>
        <w:tc>
          <w:tcPr>
            <w:tcW w:w="918" w:type="pct"/>
            <w:tcBorders>
              <w:top w:val="nil"/>
              <w:left w:val="nil"/>
              <w:bottom w:val="nil"/>
              <w:right w:val="nil"/>
            </w:tcBorders>
            <w:shd w:val="clear" w:color="auto" w:fill="auto"/>
            <w:noWrap/>
            <w:hideMark/>
          </w:tcPr>
          <w:p w14:paraId="76E2797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1.68</w:t>
            </w:r>
          </w:p>
        </w:tc>
      </w:tr>
      <w:tr w:rsidR="00436CD0" w:rsidRPr="00C44D8C" w14:paraId="508F6ECA" w14:textId="77777777" w:rsidTr="00436CD0">
        <w:trPr>
          <w:trHeight w:val="290"/>
        </w:trPr>
        <w:tc>
          <w:tcPr>
            <w:tcW w:w="976" w:type="pct"/>
            <w:tcBorders>
              <w:top w:val="nil"/>
              <w:left w:val="nil"/>
              <w:bottom w:val="nil"/>
              <w:right w:val="nil"/>
            </w:tcBorders>
            <w:shd w:val="clear" w:color="auto" w:fill="auto"/>
            <w:noWrap/>
            <w:hideMark/>
          </w:tcPr>
          <w:p w14:paraId="6EAFB44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Mbar_A1631</w:t>
            </w:r>
          </w:p>
        </w:tc>
        <w:tc>
          <w:tcPr>
            <w:tcW w:w="3106" w:type="pct"/>
            <w:tcBorders>
              <w:top w:val="nil"/>
              <w:left w:val="nil"/>
              <w:bottom w:val="nil"/>
              <w:right w:val="nil"/>
            </w:tcBorders>
            <w:shd w:val="clear" w:color="auto" w:fill="auto"/>
            <w:noWrap/>
            <w:hideMark/>
          </w:tcPr>
          <w:p w14:paraId="65A385F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2-phospho-L-lactate transferase</w:t>
            </w:r>
          </w:p>
        </w:tc>
        <w:tc>
          <w:tcPr>
            <w:tcW w:w="918" w:type="pct"/>
            <w:tcBorders>
              <w:top w:val="nil"/>
              <w:left w:val="nil"/>
              <w:bottom w:val="nil"/>
              <w:right w:val="nil"/>
            </w:tcBorders>
            <w:shd w:val="clear" w:color="auto" w:fill="auto"/>
            <w:noWrap/>
            <w:hideMark/>
          </w:tcPr>
          <w:p w14:paraId="4D5853B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1.67</w:t>
            </w:r>
          </w:p>
        </w:tc>
      </w:tr>
      <w:tr w:rsidR="00436CD0" w:rsidRPr="00C44D8C" w14:paraId="2287C5EB" w14:textId="77777777" w:rsidTr="00436CD0">
        <w:trPr>
          <w:trHeight w:val="290"/>
        </w:trPr>
        <w:tc>
          <w:tcPr>
            <w:tcW w:w="976" w:type="pct"/>
            <w:tcBorders>
              <w:top w:val="nil"/>
              <w:left w:val="nil"/>
              <w:bottom w:val="nil"/>
              <w:right w:val="nil"/>
            </w:tcBorders>
            <w:shd w:val="clear" w:color="auto" w:fill="auto"/>
            <w:noWrap/>
            <w:hideMark/>
          </w:tcPr>
          <w:p w14:paraId="6E1F90E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Mbar_A0714</w:t>
            </w:r>
          </w:p>
        </w:tc>
        <w:tc>
          <w:tcPr>
            <w:tcW w:w="3106" w:type="pct"/>
            <w:tcBorders>
              <w:top w:val="nil"/>
              <w:left w:val="nil"/>
              <w:bottom w:val="nil"/>
              <w:right w:val="nil"/>
            </w:tcBorders>
            <w:shd w:val="clear" w:color="auto" w:fill="auto"/>
            <w:noWrap/>
            <w:hideMark/>
          </w:tcPr>
          <w:p w14:paraId="4C06484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Aconitase</w:t>
            </w:r>
          </w:p>
        </w:tc>
        <w:tc>
          <w:tcPr>
            <w:tcW w:w="918" w:type="pct"/>
            <w:tcBorders>
              <w:top w:val="nil"/>
              <w:left w:val="nil"/>
              <w:bottom w:val="nil"/>
              <w:right w:val="nil"/>
            </w:tcBorders>
            <w:shd w:val="clear" w:color="auto" w:fill="auto"/>
            <w:noWrap/>
            <w:hideMark/>
          </w:tcPr>
          <w:p w14:paraId="2810AB4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1.65</w:t>
            </w:r>
          </w:p>
        </w:tc>
      </w:tr>
      <w:tr w:rsidR="00436CD0" w:rsidRPr="00C44D8C" w14:paraId="3A7FE959" w14:textId="77777777" w:rsidTr="00436CD0">
        <w:trPr>
          <w:trHeight w:val="290"/>
        </w:trPr>
        <w:tc>
          <w:tcPr>
            <w:tcW w:w="976" w:type="pct"/>
            <w:tcBorders>
              <w:top w:val="nil"/>
              <w:left w:val="nil"/>
              <w:bottom w:val="nil"/>
              <w:right w:val="nil"/>
            </w:tcBorders>
            <w:shd w:val="clear" w:color="auto" w:fill="auto"/>
            <w:noWrap/>
            <w:hideMark/>
          </w:tcPr>
          <w:p w14:paraId="4DC09D4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Mbar_A2081</w:t>
            </w:r>
          </w:p>
        </w:tc>
        <w:tc>
          <w:tcPr>
            <w:tcW w:w="3106" w:type="pct"/>
            <w:tcBorders>
              <w:top w:val="nil"/>
              <w:left w:val="nil"/>
              <w:bottom w:val="nil"/>
              <w:right w:val="nil"/>
            </w:tcBorders>
            <w:shd w:val="clear" w:color="auto" w:fill="auto"/>
            <w:noWrap/>
            <w:hideMark/>
          </w:tcPr>
          <w:p w14:paraId="715E0B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Riboflavin synthase</w:t>
            </w:r>
          </w:p>
        </w:tc>
        <w:tc>
          <w:tcPr>
            <w:tcW w:w="918" w:type="pct"/>
            <w:tcBorders>
              <w:top w:val="nil"/>
              <w:left w:val="nil"/>
              <w:bottom w:val="nil"/>
              <w:right w:val="nil"/>
            </w:tcBorders>
            <w:shd w:val="clear" w:color="auto" w:fill="auto"/>
            <w:noWrap/>
            <w:hideMark/>
          </w:tcPr>
          <w:p w14:paraId="3FF87A7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1.63</w:t>
            </w:r>
          </w:p>
        </w:tc>
      </w:tr>
      <w:tr w:rsidR="00436CD0" w:rsidRPr="00C44D8C" w14:paraId="1A626848" w14:textId="77777777" w:rsidTr="00436CD0">
        <w:trPr>
          <w:trHeight w:val="290"/>
        </w:trPr>
        <w:tc>
          <w:tcPr>
            <w:tcW w:w="976" w:type="pct"/>
            <w:tcBorders>
              <w:top w:val="nil"/>
              <w:left w:val="nil"/>
              <w:bottom w:val="nil"/>
              <w:right w:val="nil"/>
            </w:tcBorders>
            <w:shd w:val="clear" w:color="auto" w:fill="auto"/>
            <w:noWrap/>
            <w:hideMark/>
          </w:tcPr>
          <w:p w14:paraId="5827D04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Mbar_A1279</w:t>
            </w:r>
          </w:p>
        </w:tc>
        <w:tc>
          <w:tcPr>
            <w:tcW w:w="3106" w:type="pct"/>
            <w:tcBorders>
              <w:top w:val="nil"/>
              <w:left w:val="nil"/>
              <w:bottom w:val="nil"/>
              <w:right w:val="nil"/>
            </w:tcBorders>
            <w:shd w:val="clear" w:color="auto" w:fill="auto"/>
            <w:noWrap/>
            <w:hideMark/>
          </w:tcPr>
          <w:p w14:paraId="0A6EF31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UbiE/COQ5 methyltransferase</w:t>
            </w:r>
          </w:p>
        </w:tc>
        <w:tc>
          <w:tcPr>
            <w:tcW w:w="918" w:type="pct"/>
            <w:tcBorders>
              <w:top w:val="nil"/>
              <w:left w:val="nil"/>
              <w:bottom w:val="nil"/>
              <w:right w:val="nil"/>
            </w:tcBorders>
            <w:shd w:val="clear" w:color="auto" w:fill="auto"/>
            <w:noWrap/>
            <w:hideMark/>
          </w:tcPr>
          <w:p w14:paraId="5D6F858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1.63</w:t>
            </w:r>
          </w:p>
        </w:tc>
      </w:tr>
      <w:tr w:rsidR="00436CD0" w:rsidRPr="00C44D8C" w14:paraId="73025603" w14:textId="77777777" w:rsidTr="00436CD0">
        <w:trPr>
          <w:trHeight w:val="290"/>
        </w:trPr>
        <w:tc>
          <w:tcPr>
            <w:tcW w:w="976" w:type="pct"/>
            <w:tcBorders>
              <w:top w:val="nil"/>
              <w:left w:val="nil"/>
              <w:bottom w:val="nil"/>
              <w:right w:val="nil"/>
            </w:tcBorders>
            <w:shd w:val="clear" w:color="auto" w:fill="auto"/>
            <w:noWrap/>
            <w:hideMark/>
          </w:tcPr>
          <w:p w14:paraId="4C475CA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Mbar_A0348</w:t>
            </w:r>
          </w:p>
        </w:tc>
        <w:tc>
          <w:tcPr>
            <w:tcW w:w="3106" w:type="pct"/>
            <w:tcBorders>
              <w:top w:val="nil"/>
              <w:left w:val="nil"/>
              <w:bottom w:val="nil"/>
              <w:right w:val="nil"/>
            </w:tcBorders>
            <w:shd w:val="clear" w:color="auto" w:fill="auto"/>
            <w:noWrap/>
            <w:hideMark/>
          </w:tcPr>
          <w:p w14:paraId="68B9A1D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Cobyrinate a,c-diamide synthase </w:t>
            </w:r>
          </w:p>
        </w:tc>
        <w:tc>
          <w:tcPr>
            <w:tcW w:w="918" w:type="pct"/>
            <w:tcBorders>
              <w:top w:val="nil"/>
              <w:left w:val="nil"/>
              <w:bottom w:val="nil"/>
              <w:right w:val="nil"/>
            </w:tcBorders>
            <w:shd w:val="clear" w:color="auto" w:fill="auto"/>
            <w:noWrap/>
            <w:hideMark/>
          </w:tcPr>
          <w:p w14:paraId="3481CF8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1.62</w:t>
            </w:r>
          </w:p>
        </w:tc>
      </w:tr>
      <w:tr w:rsidR="00436CD0" w:rsidRPr="00C44D8C" w14:paraId="3D9F14DF" w14:textId="77777777" w:rsidTr="00436CD0">
        <w:trPr>
          <w:trHeight w:val="290"/>
        </w:trPr>
        <w:tc>
          <w:tcPr>
            <w:tcW w:w="976" w:type="pct"/>
            <w:tcBorders>
              <w:top w:val="nil"/>
              <w:left w:val="nil"/>
              <w:bottom w:val="nil"/>
              <w:right w:val="nil"/>
            </w:tcBorders>
            <w:shd w:val="clear" w:color="auto" w:fill="auto"/>
            <w:noWrap/>
            <w:hideMark/>
          </w:tcPr>
          <w:p w14:paraId="3BAA9C3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Mbar_A1523</w:t>
            </w:r>
          </w:p>
        </w:tc>
        <w:tc>
          <w:tcPr>
            <w:tcW w:w="3106" w:type="pct"/>
            <w:tcBorders>
              <w:top w:val="nil"/>
              <w:left w:val="nil"/>
              <w:bottom w:val="nil"/>
              <w:right w:val="nil"/>
            </w:tcBorders>
            <w:shd w:val="clear" w:color="auto" w:fill="auto"/>
            <w:noWrap/>
            <w:hideMark/>
          </w:tcPr>
          <w:p w14:paraId="1B38A06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Riboflavin kinase</w:t>
            </w:r>
          </w:p>
        </w:tc>
        <w:tc>
          <w:tcPr>
            <w:tcW w:w="918" w:type="pct"/>
            <w:tcBorders>
              <w:top w:val="nil"/>
              <w:left w:val="nil"/>
              <w:bottom w:val="nil"/>
              <w:right w:val="nil"/>
            </w:tcBorders>
            <w:shd w:val="clear" w:color="auto" w:fill="auto"/>
            <w:noWrap/>
            <w:hideMark/>
          </w:tcPr>
          <w:p w14:paraId="666EA43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1.62</w:t>
            </w:r>
          </w:p>
        </w:tc>
      </w:tr>
      <w:tr w:rsidR="00436CD0" w:rsidRPr="00C44D8C" w14:paraId="261B8E7A" w14:textId="77777777" w:rsidTr="00436CD0">
        <w:trPr>
          <w:trHeight w:val="290"/>
        </w:trPr>
        <w:tc>
          <w:tcPr>
            <w:tcW w:w="976" w:type="pct"/>
            <w:tcBorders>
              <w:top w:val="nil"/>
              <w:left w:val="nil"/>
              <w:bottom w:val="nil"/>
              <w:right w:val="nil"/>
            </w:tcBorders>
            <w:shd w:val="clear" w:color="auto" w:fill="auto"/>
            <w:noWrap/>
            <w:hideMark/>
          </w:tcPr>
          <w:p w14:paraId="1AF073A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Mbar_A1776</w:t>
            </w:r>
          </w:p>
        </w:tc>
        <w:tc>
          <w:tcPr>
            <w:tcW w:w="3106" w:type="pct"/>
            <w:tcBorders>
              <w:top w:val="nil"/>
              <w:left w:val="nil"/>
              <w:bottom w:val="nil"/>
              <w:right w:val="nil"/>
            </w:tcBorders>
            <w:shd w:val="clear" w:color="auto" w:fill="auto"/>
            <w:noWrap/>
            <w:hideMark/>
          </w:tcPr>
          <w:p w14:paraId="1591697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Protoporphyrin IX magnesium-chelatase </w:t>
            </w:r>
          </w:p>
        </w:tc>
        <w:tc>
          <w:tcPr>
            <w:tcW w:w="918" w:type="pct"/>
            <w:tcBorders>
              <w:top w:val="nil"/>
              <w:left w:val="nil"/>
              <w:bottom w:val="nil"/>
              <w:right w:val="nil"/>
            </w:tcBorders>
            <w:shd w:val="clear" w:color="auto" w:fill="auto"/>
            <w:noWrap/>
            <w:hideMark/>
          </w:tcPr>
          <w:p w14:paraId="0687E2F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1.62</w:t>
            </w:r>
          </w:p>
        </w:tc>
      </w:tr>
      <w:tr w:rsidR="00436CD0" w:rsidRPr="00C44D8C" w14:paraId="2692840D" w14:textId="77777777" w:rsidTr="00436CD0">
        <w:trPr>
          <w:trHeight w:val="290"/>
        </w:trPr>
        <w:tc>
          <w:tcPr>
            <w:tcW w:w="976" w:type="pct"/>
            <w:tcBorders>
              <w:top w:val="nil"/>
              <w:left w:val="nil"/>
              <w:bottom w:val="nil"/>
              <w:right w:val="nil"/>
            </w:tcBorders>
            <w:shd w:val="clear" w:color="auto" w:fill="auto"/>
            <w:noWrap/>
            <w:hideMark/>
          </w:tcPr>
          <w:p w14:paraId="0A35A94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Mbar_A1458</w:t>
            </w:r>
          </w:p>
        </w:tc>
        <w:tc>
          <w:tcPr>
            <w:tcW w:w="3106" w:type="pct"/>
            <w:tcBorders>
              <w:top w:val="nil"/>
              <w:left w:val="nil"/>
              <w:bottom w:val="nil"/>
              <w:right w:val="nil"/>
            </w:tcBorders>
            <w:shd w:val="clear" w:color="auto" w:fill="auto"/>
            <w:noWrap/>
            <w:hideMark/>
          </w:tcPr>
          <w:p w14:paraId="47AAC84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Heme biosynthesis protein</w:t>
            </w:r>
          </w:p>
        </w:tc>
        <w:tc>
          <w:tcPr>
            <w:tcW w:w="918" w:type="pct"/>
            <w:tcBorders>
              <w:top w:val="nil"/>
              <w:left w:val="nil"/>
              <w:bottom w:val="nil"/>
              <w:right w:val="nil"/>
            </w:tcBorders>
            <w:shd w:val="clear" w:color="auto" w:fill="auto"/>
            <w:noWrap/>
            <w:hideMark/>
          </w:tcPr>
          <w:p w14:paraId="7DD319D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1.61</w:t>
            </w:r>
          </w:p>
        </w:tc>
      </w:tr>
      <w:tr w:rsidR="00436CD0" w:rsidRPr="00C44D8C" w14:paraId="13C9D447" w14:textId="77777777" w:rsidTr="00436CD0">
        <w:trPr>
          <w:trHeight w:val="290"/>
        </w:trPr>
        <w:tc>
          <w:tcPr>
            <w:tcW w:w="976" w:type="pct"/>
            <w:tcBorders>
              <w:top w:val="nil"/>
              <w:left w:val="nil"/>
              <w:bottom w:val="nil"/>
              <w:right w:val="nil"/>
            </w:tcBorders>
            <w:shd w:val="clear" w:color="auto" w:fill="auto"/>
            <w:noWrap/>
            <w:hideMark/>
          </w:tcPr>
          <w:p w14:paraId="5DE0BCD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Mbar_A1588</w:t>
            </w:r>
          </w:p>
        </w:tc>
        <w:tc>
          <w:tcPr>
            <w:tcW w:w="3106" w:type="pct"/>
            <w:tcBorders>
              <w:top w:val="nil"/>
              <w:left w:val="nil"/>
              <w:bottom w:val="nil"/>
              <w:right w:val="nil"/>
            </w:tcBorders>
            <w:shd w:val="clear" w:color="auto" w:fill="auto"/>
            <w:noWrap/>
            <w:hideMark/>
          </w:tcPr>
          <w:p w14:paraId="11B86C7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Biotin--(Acetyl-COA-carboxylase) synthetase</w:t>
            </w:r>
          </w:p>
        </w:tc>
        <w:tc>
          <w:tcPr>
            <w:tcW w:w="918" w:type="pct"/>
            <w:tcBorders>
              <w:top w:val="nil"/>
              <w:left w:val="nil"/>
              <w:bottom w:val="nil"/>
              <w:right w:val="nil"/>
            </w:tcBorders>
            <w:shd w:val="clear" w:color="auto" w:fill="auto"/>
            <w:noWrap/>
            <w:hideMark/>
          </w:tcPr>
          <w:p w14:paraId="6B255F6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1.60</w:t>
            </w:r>
          </w:p>
        </w:tc>
      </w:tr>
      <w:tr w:rsidR="00436CD0" w:rsidRPr="00C44D8C" w14:paraId="1E554379" w14:textId="77777777" w:rsidTr="00436CD0">
        <w:trPr>
          <w:trHeight w:val="290"/>
        </w:trPr>
        <w:tc>
          <w:tcPr>
            <w:tcW w:w="976" w:type="pct"/>
            <w:tcBorders>
              <w:top w:val="nil"/>
              <w:left w:val="nil"/>
              <w:bottom w:val="nil"/>
              <w:right w:val="nil"/>
            </w:tcBorders>
            <w:shd w:val="clear" w:color="auto" w:fill="auto"/>
            <w:noWrap/>
            <w:hideMark/>
          </w:tcPr>
          <w:p w14:paraId="40E163F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Mbar_A1867</w:t>
            </w:r>
          </w:p>
        </w:tc>
        <w:tc>
          <w:tcPr>
            <w:tcW w:w="3106" w:type="pct"/>
            <w:tcBorders>
              <w:top w:val="nil"/>
              <w:left w:val="nil"/>
              <w:bottom w:val="nil"/>
              <w:right w:val="nil"/>
            </w:tcBorders>
            <w:shd w:val="clear" w:color="auto" w:fill="auto"/>
            <w:noWrap/>
            <w:hideMark/>
          </w:tcPr>
          <w:p w14:paraId="21C4A8B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Nicotinate-nucleotide pyrophosphorylase </w:t>
            </w:r>
          </w:p>
        </w:tc>
        <w:tc>
          <w:tcPr>
            <w:tcW w:w="918" w:type="pct"/>
            <w:tcBorders>
              <w:top w:val="nil"/>
              <w:left w:val="nil"/>
              <w:bottom w:val="nil"/>
              <w:right w:val="nil"/>
            </w:tcBorders>
            <w:shd w:val="clear" w:color="auto" w:fill="auto"/>
            <w:noWrap/>
            <w:hideMark/>
          </w:tcPr>
          <w:p w14:paraId="108A225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1.60</w:t>
            </w:r>
          </w:p>
        </w:tc>
      </w:tr>
      <w:tr w:rsidR="00436CD0" w:rsidRPr="00C44D8C" w14:paraId="6A315025" w14:textId="77777777" w:rsidTr="00436CD0">
        <w:trPr>
          <w:trHeight w:val="290"/>
        </w:trPr>
        <w:tc>
          <w:tcPr>
            <w:tcW w:w="976" w:type="pct"/>
            <w:tcBorders>
              <w:top w:val="nil"/>
              <w:left w:val="nil"/>
              <w:bottom w:val="nil"/>
              <w:right w:val="nil"/>
            </w:tcBorders>
            <w:shd w:val="clear" w:color="auto" w:fill="auto"/>
            <w:noWrap/>
            <w:hideMark/>
          </w:tcPr>
          <w:p w14:paraId="480A2BD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Mbar_A0625</w:t>
            </w:r>
          </w:p>
        </w:tc>
        <w:tc>
          <w:tcPr>
            <w:tcW w:w="3106" w:type="pct"/>
            <w:tcBorders>
              <w:top w:val="nil"/>
              <w:left w:val="nil"/>
              <w:bottom w:val="nil"/>
              <w:right w:val="nil"/>
            </w:tcBorders>
            <w:shd w:val="clear" w:color="auto" w:fill="auto"/>
            <w:noWrap/>
            <w:hideMark/>
          </w:tcPr>
          <w:p w14:paraId="4940710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Probable cobalt-precorrin-6B C(15)-methyltransferase </w:t>
            </w:r>
          </w:p>
        </w:tc>
        <w:tc>
          <w:tcPr>
            <w:tcW w:w="918" w:type="pct"/>
            <w:tcBorders>
              <w:top w:val="nil"/>
              <w:left w:val="nil"/>
              <w:bottom w:val="nil"/>
              <w:right w:val="nil"/>
            </w:tcBorders>
            <w:shd w:val="clear" w:color="auto" w:fill="auto"/>
            <w:noWrap/>
            <w:hideMark/>
          </w:tcPr>
          <w:p w14:paraId="483D13E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1.57</w:t>
            </w:r>
          </w:p>
        </w:tc>
      </w:tr>
      <w:tr w:rsidR="00436CD0" w:rsidRPr="00C44D8C" w14:paraId="0C7EB7A2" w14:textId="77777777" w:rsidTr="00436CD0">
        <w:trPr>
          <w:trHeight w:val="290"/>
        </w:trPr>
        <w:tc>
          <w:tcPr>
            <w:tcW w:w="976" w:type="pct"/>
            <w:tcBorders>
              <w:top w:val="nil"/>
              <w:left w:val="nil"/>
              <w:bottom w:val="nil"/>
              <w:right w:val="nil"/>
            </w:tcBorders>
            <w:shd w:val="clear" w:color="auto" w:fill="auto"/>
            <w:noWrap/>
            <w:hideMark/>
          </w:tcPr>
          <w:p w14:paraId="00DC835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Mbar_A1222</w:t>
            </w:r>
          </w:p>
        </w:tc>
        <w:tc>
          <w:tcPr>
            <w:tcW w:w="3106" w:type="pct"/>
            <w:tcBorders>
              <w:top w:val="nil"/>
              <w:left w:val="nil"/>
              <w:bottom w:val="nil"/>
              <w:right w:val="nil"/>
            </w:tcBorders>
            <w:shd w:val="clear" w:color="auto" w:fill="auto"/>
            <w:noWrap/>
            <w:hideMark/>
          </w:tcPr>
          <w:p w14:paraId="26A8848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Beta-ribofuranosylaminobenzene 5'-phosphate synthase </w:t>
            </w:r>
          </w:p>
        </w:tc>
        <w:tc>
          <w:tcPr>
            <w:tcW w:w="918" w:type="pct"/>
            <w:tcBorders>
              <w:top w:val="nil"/>
              <w:left w:val="nil"/>
              <w:bottom w:val="nil"/>
              <w:right w:val="nil"/>
            </w:tcBorders>
            <w:shd w:val="clear" w:color="auto" w:fill="auto"/>
            <w:noWrap/>
            <w:hideMark/>
          </w:tcPr>
          <w:p w14:paraId="29F08DD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1.54</w:t>
            </w:r>
          </w:p>
        </w:tc>
      </w:tr>
      <w:tr w:rsidR="00436CD0" w:rsidRPr="00C44D8C" w14:paraId="392C94EF" w14:textId="77777777" w:rsidTr="00436CD0">
        <w:trPr>
          <w:trHeight w:val="290"/>
        </w:trPr>
        <w:tc>
          <w:tcPr>
            <w:tcW w:w="976" w:type="pct"/>
            <w:tcBorders>
              <w:top w:val="nil"/>
              <w:left w:val="nil"/>
              <w:bottom w:val="nil"/>
              <w:right w:val="nil"/>
            </w:tcBorders>
            <w:shd w:val="clear" w:color="auto" w:fill="auto"/>
            <w:noWrap/>
            <w:hideMark/>
          </w:tcPr>
          <w:p w14:paraId="74576BF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Mbar_A0806</w:t>
            </w:r>
          </w:p>
        </w:tc>
        <w:tc>
          <w:tcPr>
            <w:tcW w:w="3106" w:type="pct"/>
            <w:tcBorders>
              <w:top w:val="nil"/>
              <w:left w:val="nil"/>
              <w:bottom w:val="nil"/>
              <w:right w:val="nil"/>
            </w:tcBorders>
            <w:shd w:val="clear" w:color="auto" w:fill="auto"/>
            <w:noWrap/>
            <w:hideMark/>
          </w:tcPr>
          <w:p w14:paraId="58D7094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Beta-ribofuranosylaminobenzene 5'-phosphate synthase </w:t>
            </w:r>
          </w:p>
        </w:tc>
        <w:tc>
          <w:tcPr>
            <w:tcW w:w="918" w:type="pct"/>
            <w:tcBorders>
              <w:top w:val="nil"/>
              <w:left w:val="nil"/>
              <w:bottom w:val="nil"/>
              <w:right w:val="nil"/>
            </w:tcBorders>
            <w:shd w:val="clear" w:color="auto" w:fill="auto"/>
            <w:noWrap/>
            <w:hideMark/>
          </w:tcPr>
          <w:p w14:paraId="4C8C307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1.51</w:t>
            </w:r>
          </w:p>
        </w:tc>
      </w:tr>
      <w:tr w:rsidR="00436CD0" w:rsidRPr="00C44D8C" w14:paraId="636B01A3" w14:textId="77777777" w:rsidTr="00436CD0">
        <w:trPr>
          <w:trHeight w:val="290"/>
        </w:trPr>
        <w:tc>
          <w:tcPr>
            <w:tcW w:w="976" w:type="pct"/>
            <w:tcBorders>
              <w:top w:val="nil"/>
              <w:left w:val="nil"/>
              <w:bottom w:val="nil"/>
              <w:right w:val="nil"/>
            </w:tcBorders>
            <w:shd w:val="clear" w:color="auto" w:fill="auto"/>
            <w:noWrap/>
            <w:hideMark/>
          </w:tcPr>
          <w:p w14:paraId="7E5A5BC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Mbar_A3254</w:t>
            </w:r>
          </w:p>
        </w:tc>
        <w:tc>
          <w:tcPr>
            <w:tcW w:w="3106" w:type="pct"/>
            <w:tcBorders>
              <w:top w:val="nil"/>
              <w:left w:val="nil"/>
              <w:bottom w:val="nil"/>
              <w:right w:val="nil"/>
            </w:tcBorders>
            <w:shd w:val="clear" w:color="auto" w:fill="auto"/>
            <w:noWrap/>
            <w:hideMark/>
          </w:tcPr>
          <w:p w14:paraId="6B7FE20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Pantothenate synthetase </w:t>
            </w:r>
          </w:p>
        </w:tc>
        <w:tc>
          <w:tcPr>
            <w:tcW w:w="918" w:type="pct"/>
            <w:tcBorders>
              <w:top w:val="nil"/>
              <w:left w:val="nil"/>
              <w:bottom w:val="nil"/>
              <w:right w:val="nil"/>
            </w:tcBorders>
            <w:shd w:val="clear" w:color="auto" w:fill="auto"/>
            <w:noWrap/>
            <w:hideMark/>
          </w:tcPr>
          <w:p w14:paraId="240EB60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1.50</w:t>
            </w:r>
          </w:p>
        </w:tc>
      </w:tr>
      <w:tr w:rsidR="00436CD0" w:rsidRPr="00C44D8C" w14:paraId="6280DBE9" w14:textId="77777777" w:rsidTr="00436CD0">
        <w:trPr>
          <w:trHeight w:val="290"/>
        </w:trPr>
        <w:tc>
          <w:tcPr>
            <w:tcW w:w="976" w:type="pct"/>
            <w:tcBorders>
              <w:top w:val="nil"/>
              <w:left w:val="nil"/>
              <w:bottom w:val="nil"/>
              <w:right w:val="nil"/>
            </w:tcBorders>
            <w:shd w:val="clear" w:color="auto" w:fill="auto"/>
            <w:noWrap/>
            <w:hideMark/>
          </w:tcPr>
          <w:p w14:paraId="1B2AC02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Mbar_A2986</w:t>
            </w:r>
          </w:p>
        </w:tc>
        <w:tc>
          <w:tcPr>
            <w:tcW w:w="3106" w:type="pct"/>
            <w:tcBorders>
              <w:top w:val="nil"/>
              <w:left w:val="nil"/>
              <w:bottom w:val="nil"/>
              <w:right w:val="nil"/>
            </w:tcBorders>
            <w:shd w:val="clear" w:color="auto" w:fill="auto"/>
            <w:noWrap/>
            <w:hideMark/>
          </w:tcPr>
          <w:p w14:paraId="521A6E4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Phenylacetate-CoA ligase </w:t>
            </w:r>
          </w:p>
        </w:tc>
        <w:tc>
          <w:tcPr>
            <w:tcW w:w="918" w:type="pct"/>
            <w:tcBorders>
              <w:top w:val="nil"/>
              <w:left w:val="nil"/>
              <w:bottom w:val="nil"/>
              <w:right w:val="nil"/>
            </w:tcBorders>
            <w:shd w:val="clear" w:color="auto" w:fill="auto"/>
            <w:noWrap/>
            <w:hideMark/>
          </w:tcPr>
          <w:p w14:paraId="5B04CED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1.49</w:t>
            </w:r>
          </w:p>
        </w:tc>
      </w:tr>
      <w:tr w:rsidR="00436CD0" w:rsidRPr="00C44D8C" w14:paraId="760642B7" w14:textId="77777777" w:rsidTr="00436CD0">
        <w:trPr>
          <w:trHeight w:val="290"/>
        </w:trPr>
        <w:tc>
          <w:tcPr>
            <w:tcW w:w="976" w:type="pct"/>
            <w:tcBorders>
              <w:top w:val="nil"/>
              <w:left w:val="nil"/>
              <w:bottom w:val="nil"/>
              <w:right w:val="nil"/>
            </w:tcBorders>
            <w:shd w:val="clear" w:color="auto" w:fill="auto"/>
            <w:noWrap/>
            <w:hideMark/>
          </w:tcPr>
          <w:p w14:paraId="04815B8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Mbar_A0951</w:t>
            </w:r>
          </w:p>
        </w:tc>
        <w:tc>
          <w:tcPr>
            <w:tcW w:w="3106" w:type="pct"/>
            <w:tcBorders>
              <w:top w:val="nil"/>
              <w:left w:val="nil"/>
              <w:bottom w:val="nil"/>
              <w:right w:val="nil"/>
            </w:tcBorders>
            <w:shd w:val="clear" w:color="auto" w:fill="auto"/>
            <w:noWrap/>
            <w:hideMark/>
          </w:tcPr>
          <w:p w14:paraId="71A01FE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(S)-2-hydroxy-acid dehydrogenase</w:t>
            </w:r>
          </w:p>
        </w:tc>
        <w:tc>
          <w:tcPr>
            <w:tcW w:w="918" w:type="pct"/>
            <w:tcBorders>
              <w:top w:val="nil"/>
              <w:left w:val="nil"/>
              <w:bottom w:val="nil"/>
              <w:right w:val="nil"/>
            </w:tcBorders>
            <w:shd w:val="clear" w:color="auto" w:fill="auto"/>
            <w:noWrap/>
            <w:hideMark/>
          </w:tcPr>
          <w:p w14:paraId="26F3E78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1.49</w:t>
            </w:r>
          </w:p>
        </w:tc>
      </w:tr>
      <w:tr w:rsidR="00436CD0" w:rsidRPr="00C44D8C" w14:paraId="77696547" w14:textId="77777777" w:rsidTr="00436CD0">
        <w:trPr>
          <w:trHeight w:val="290"/>
        </w:trPr>
        <w:tc>
          <w:tcPr>
            <w:tcW w:w="976" w:type="pct"/>
            <w:tcBorders>
              <w:top w:val="nil"/>
              <w:left w:val="nil"/>
              <w:bottom w:val="nil"/>
              <w:right w:val="nil"/>
            </w:tcBorders>
            <w:shd w:val="clear" w:color="auto" w:fill="auto"/>
            <w:noWrap/>
            <w:hideMark/>
          </w:tcPr>
          <w:p w14:paraId="693A5F6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Mbar_A1190</w:t>
            </w:r>
          </w:p>
        </w:tc>
        <w:tc>
          <w:tcPr>
            <w:tcW w:w="3106" w:type="pct"/>
            <w:tcBorders>
              <w:top w:val="nil"/>
              <w:left w:val="nil"/>
              <w:bottom w:val="nil"/>
              <w:right w:val="nil"/>
            </w:tcBorders>
            <w:shd w:val="clear" w:color="auto" w:fill="auto"/>
            <w:noWrap/>
            <w:hideMark/>
          </w:tcPr>
          <w:p w14:paraId="7F6B45F0" w14:textId="77777777" w:rsidR="00436CD0" w:rsidRPr="00C44D8C" w:rsidRDefault="00436CD0" w:rsidP="00436CD0">
            <w:pPr>
              <w:rPr>
                <w:rFonts w:asciiTheme="minorHAnsi" w:hAnsiTheme="minorHAnsi"/>
                <w:color w:val="000000"/>
                <w:sz w:val="22"/>
                <w:szCs w:val="22"/>
                <w:lang w:val="fr-FR" w:eastAsia="en-GB"/>
              </w:rPr>
            </w:pPr>
            <w:r w:rsidRPr="00C44D8C">
              <w:rPr>
                <w:rFonts w:asciiTheme="minorHAnsi" w:hAnsiTheme="minorHAnsi"/>
                <w:color w:val="000000"/>
                <w:sz w:val="22"/>
                <w:szCs w:val="22"/>
                <w:lang w:val="fr-FR" w:eastAsia="en-GB"/>
              </w:rPr>
              <w:t xml:space="preserve">Probable cyclic pyranopterin monophosphate synthase </w:t>
            </w:r>
          </w:p>
        </w:tc>
        <w:tc>
          <w:tcPr>
            <w:tcW w:w="918" w:type="pct"/>
            <w:tcBorders>
              <w:top w:val="nil"/>
              <w:left w:val="nil"/>
              <w:bottom w:val="nil"/>
              <w:right w:val="nil"/>
            </w:tcBorders>
            <w:shd w:val="clear" w:color="auto" w:fill="auto"/>
            <w:noWrap/>
            <w:hideMark/>
          </w:tcPr>
          <w:p w14:paraId="5166FF9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1.46</w:t>
            </w:r>
          </w:p>
        </w:tc>
      </w:tr>
      <w:tr w:rsidR="00436CD0" w:rsidRPr="00C44D8C" w14:paraId="4EF2180C" w14:textId="77777777" w:rsidTr="00436CD0">
        <w:trPr>
          <w:trHeight w:val="290"/>
        </w:trPr>
        <w:tc>
          <w:tcPr>
            <w:tcW w:w="976" w:type="pct"/>
            <w:tcBorders>
              <w:top w:val="nil"/>
              <w:left w:val="nil"/>
              <w:bottom w:val="nil"/>
              <w:right w:val="nil"/>
            </w:tcBorders>
            <w:shd w:val="clear" w:color="auto" w:fill="auto"/>
            <w:noWrap/>
            <w:hideMark/>
          </w:tcPr>
          <w:p w14:paraId="215F51E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Mbar_A0244</w:t>
            </w:r>
          </w:p>
        </w:tc>
        <w:tc>
          <w:tcPr>
            <w:tcW w:w="3106" w:type="pct"/>
            <w:tcBorders>
              <w:top w:val="nil"/>
              <w:left w:val="nil"/>
              <w:bottom w:val="nil"/>
              <w:right w:val="nil"/>
            </w:tcBorders>
            <w:shd w:val="clear" w:color="auto" w:fill="auto"/>
            <w:noWrap/>
            <w:hideMark/>
          </w:tcPr>
          <w:p w14:paraId="60D6B1C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Methanogen homoaconitase small subunit </w:t>
            </w:r>
          </w:p>
        </w:tc>
        <w:tc>
          <w:tcPr>
            <w:tcW w:w="918" w:type="pct"/>
            <w:tcBorders>
              <w:top w:val="nil"/>
              <w:left w:val="nil"/>
              <w:bottom w:val="nil"/>
              <w:right w:val="nil"/>
            </w:tcBorders>
            <w:shd w:val="clear" w:color="auto" w:fill="auto"/>
            <w:noWrap/>
            <w:hideMark/>
          </w:tcPr>
          <w:p w14:paraId="276E565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1.45</w:t>
            </w:r>
          </w:p>
        </w:tc>
      </w:tr>
      <w:tr w:rsidR="00436CD0" w:rsidRPr="00C44D8C" w14:paraId="4923A5C9" w14:textId="77777777" w:rsidTr="00436CD0">
        <w:trPr>
          <w:trHeight w:val="290"/>
        </w:trPr>
        <w:tc>
          <w:tcPr>
            <w:tcW w:w="976" w:type="pct"/>
            <w:tcBorders>
              <w:top w:val="nil"/>
              <w:left w:val="nil"/>
              <w:bottom w:val="nil"/>
              <w:right w:val="nil"/>
            </w:tcBorders>
            <w:shd w:val="clear" w:color="auto" w:fill="auto"/>
            <w:noWrap/>
            <w:hideMark/>
          </w:tcPr>
          <w:p w14:paraId="38916E2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Mbar_A0344</w:t>
            </w:r>
          </w:p>
        </w:tc>
        <w:tc>
          <w:tcPr>
            <w:tcW w:w="3106" w:type="pct"/>
            <w:tcBorders>
              <w:top w:val="nil"/>
              <w:left w:val="nil"/>
              <w:bottom w:val="nil"/>
              <w:right w:val="nil"/>
            </w:tcBorders>
            <w:shd w:val="clear" w:color="auto" w:fill="auto"/>
            <w:noWrap/>
            <w:hideMark/>
          </w:tcPr>
          <w:p w14:paraId="3E3BE0A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Sirohydrochlorin cobaltochelatase</w:t>
            </w:r>
          </w:p>
        </w:tc>
        <w:tc>
          <w:tcPr>
            <w:tcW w:w="918" w:type="pct"/>
            <w:tcBorders>
              <w:top w:val="nil"/>
              <w:left w:val="nil"/>
              <w:bottom w:val="nil"/>
              <w:right w:val="nil"/>
            </w:tcBorders>
            <w:shd w:val="clear" w:color="auto" w:fill="auto"/>
            <w:noWrap/>
            <w:hideMark/>
          </w:tcPr>
          <w:p w14:paraId="1A2644A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1.44</w:t>
            </w:r>
          </w:p>
        </w:tc>
      </w:tr>
      <w:tr w:rsidR="00436CD0" w:rsidRPr="00C44D8C" w14:paraId="127C6516" w14:textId="77777777" w:rsidTr="00436CD0">
        <w:trPr>
          <w:trHeight w:val="290"/>
        </w:trPr>
        <w:tc>
          <w:tcPr>
            <w:tcW w:w="976" w:type="pct"/>
            <w:tcBorders>
              <w:top w:val="nil"/>
              <w:left w:val="nil"/>
              <w:bottom w:val="nil"/>
              <w:right w:val="nil"/>
            </w:tcBorders>
            <w:shd w:val="clear" w:color="auto" w:fill="auto"/>
            <w:noWrap/>
            <w:hideMark/>
          </w:tcPr>
          <w:p w14:paraId="779BECE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Mbar_A0629</w:t>
            </w:r>
          </w:p>
        </w:tc>
        <w:tc>
          <w:tcPr>
            <w:tcW w:w="3106" w:type="pct"/>
            <w:tcBorders>
              <w:top w:val="nil"/>
              <w:left w:val="nil"/>
              <w:bottom w:val="nil"/>
              <w:right w:val="nil"/>
            </w:tcBorders>
            <w:shd w:val="clear" w:color="auto" w:fill="auto"/>
            <w:noWrap/>
            <w:hideMark/>
          </w:tcPr>
          <w:p w14:paraId="33DD494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Precorrin-3B C17-methyltransferase</w:t>
            </w:r>
          </w:p>
        </w:tc>
        <w:tc>
          <w:tcPr>
            <w:tcW w:w="918" w:type="pct"/>
            <w:tcBorders>
              <w:top w:val="nil"/>
              <w:left w:val="nil"/>
              <w:bottom w:val="nil"/>
              <w:right w:val="nil"/>
            </w:tcBorders>
            <w:shd w:val="clear" w:color="auto" w:fill="auto"/>
            <w:noWrap/>
            <w:hideMark/>
          </w:tcPr>
          <w:p w14:paraId="4B518C3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1.43</w:t>
            </w:r>
          </w:p>
        </w:tc>
      </w:tr>
      <w:tr w:rsidR="00436CD0" w:rsidRPr="00C44D8C" w14:paraId="3ECE3535" w14:textId="77777777" w:rsidTr="00436CD0">
        <w:trPr>
          <w:trHeight w:val="290"/>
        </w:trPr>
        <w:tc>
          <w:tcPr>
            <w:tcW w:w="976" w:type="pct"/>
            <w:tcBorders>
              <w:top w:val="nil"/>
              <w:left w:val="nil"/>
              <w:bottom w:val="nil"/>
              <w:right w:val="nil"/>
            </w:tcBorders>
            <w:shd w:val="clear" w:color="auto" w:fill="auto"/>
            <w:noWrap/>
            <w:hideMark/>
          </w:tcPr>
          <w:p w14:paraId="493EA75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Mbar_A3416</w:t>
            </w:r>
          </w:p>
        </w:tc>
        <w:tc>
          <w:tcPr>
            <w:tcW w:w="3106" w:type="pct"/>
            <w:tcBorders>
              <w:top w:val="nil"/>
              <w:left w:val="nil"/>
              <w:bottom w:val="nil"/>
              <w:right w:val="nil"/>
            </w:tcBorders>
            <w:shd w:val="clear" w:color="auto" w:fill="auto"/>
            <w:noWrap/>
            <w:hideMark/>
          </w:tcPr>
          <w:p w14:paraId="03A60D0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FO synthase subunit 2 </w:t>
            </w:r>
          </w:p>
        </w:tc>
        <w:tc>
          <w:tcPr>
            <w:tcW w:w="918" w:type="pct"/>
            <w:tcBorders>
              <w:top w:val="nil"/>
              <w:left w:val="nil"/>
              <w:bottom w:val="nil"/>
              <w:right w:val="nil"/>
            </w:tcBorders>
            <w:shd w:val="clear" w:color="auto" w:fill="auto"/>
            <w:noWrap/>
            <w:hideMark/>
          </w:tcPr>
          <w:p w14:paraId="144F3C6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1.37</w:t>
            </w:r>
          </w:p>
        </w:tc>
      </w:tr>
      <w:tr w:rsidR="00436CD0" w:rsidRPr="00C44D8C" w14:paraId="631146A1" w14:textId="77777777" w:rsidTr="00436CD0">
        <w:trPr>
          <w:trHeight w:val="290"/>
        </w:trPr>
        <w:tc>
          <w:tcPr>
            <w:tcW w:w="976" w:type="pct"/>
            <w:tcBorders>
              <w:top w:val="nil"/>
              <w:left w:val="nil"/>
              <w:bottom w:val="nil"/>
              <w:right w:val="nil"/>
            </w:tcBorders>
            <w:shd w:val="clear" w:color="auto" w:fill="auto"/>
            <w:noWrap/>
            <w:hideMark/>
          </w:tcPr>
          <w:p w14:paraId="07DC05A7"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Mbar_A0256</w:t>
            </w:r>
          </w:p>
        </w:tc>
        <w:tc>
          <w:tcPr>
            <w:tcW w:w="3106" w:type="pct"/>
            <w:tcBorders>
              <w:top w:val="nil"/>
              <w:left w:val="nil"/>
              <w:bottom w:val="nil"/>
              <w:right w:val="nil"/>
            </w:tcBorders>
            <w:shd w:val="clear" w:color="auto" w:fill="auto"/>
            <w:noWrap/>
            <w:hideMark/>
          </w:tcPr>
          <w:p w14:paraId="1ED19184"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Nicotinamide-nucleotide adenylyltransferase </w:t>
            </w:r>
          </w:p>
        </w:tc>
        <w:tc>
          <w:tcPr>
            <w:tcW w:w="918" w:type="pct"/>
            <w:tcBorders>
              <w:top w:val="nil"/>
              <w:left w:val="nil"/>
              <w:bottom w:val="nil"/>
              <w:right w:val="nil"/>
            </w:tcBorders>
            <w:shd w:val="clear" w:color="auto" w:fill="auto"/>
            <w:noWrap/>
            <w:hideMark/>
          </w:tcPr>
          <w:p w14:paraId="68C8311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0.68</w:t>
            </w:r>
          </w:p>
        </w:tc>
      </w:tr>
      <w:tr w:rsidR="00436CD0" w:rsidRPr="00C44D8C" w14:paraId="13747BFE" w14:textId="77777777" w:rsidTr="002B29E5">
        <w:trPr>
          <w:trHeight w:val="290"/>
        </w:trPr>
        <w:tc>
          <w:tcPr>
            <w:tcW w:w="976" w:type="pct"/>
            <w:tcBorders>
              <w:top w:val="nil"/>
              <w:left w:val="nil"/>
              <w:bottom w:val="single" w:sz="4" w:space="0" w:color="auto"/>
              <w:right w:val="nil"/>
            </w:tcBorders>
            <w:shd w:val="clear" w:color="auto" w:fill="auto"/>
            <w:noWrap/>
            <w:hideMark/>
          </w:tcPr>
          <w:p w14:paraId="28CF7C8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3106" w:type="pct"/>
            <w:tcBorders>
              <w:top w:val="nil"/>
              <w:left w:val="nil"/>
              <w:bottom w:val="single" w:sz="4" w:space="0" w:color="auto"/>
              <w:right w:val="nil"/>
            </w:tcBorders>
            <w:shd w:val="clear" w:color="auto" w:fill="auto"/>
            <w:noWrap/>
            <w:hideMark/>
          </w:tcPr>
          <w:p w14:paraId="3AEA4D4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918" w:type="pct"/>
            <w:tcBorders>
              <w:top w:val="nil"/>
              <w:left w:val="nil"/>
              <w:bottom w:val="single" w:sz="4" w:space="0" w:color="auto"/>
              <w:right w:val="nil"/>
            </w:tcBorders>
            <w:shd w:val="clear" w:color="auto" w:fill="auto"/>
            <w:noWrap/>
            <w:hideMark/>
          </w:tcPr>
          <w:p w14:paraId="49A3294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r>
      <w:tr w:rsidR="00436CD0" w:rsidRPr="00C44D8C" w14:paraId="0EEFCB83" w14:textId="77777777" w:rsidTr="002B29E5">
        <w:trPr>
          <w:trHeight w:val="310"/>
        </w:trPr>
        <w:tc>
          <w:tcPr>
            <w:tcW w:w="5000" w:type="pct"/>
            <w:gridSpan w:val="3"/>
            <w:tcBorders>
              <w:top w:val="single" w:sz="4" w:space="0" w:color="auto"/>
              <w:bottom w:val="nil"/>
              <w:right w:val="nil"/>
            </w:tcBorders>
            <w:shd w:val="clear" w:color="auto" w:fill="auto"/>
            <w:noWrap/>
            <w:hideMark/>
          </w:tcPr>
          <w:p w14:paraId="76C56CE7"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Energy production and conversion</w:t>
            </w:r>
          </w:p>
        </w:tc>
      </w:tr>
      <w:tr w:rsidR="00436CD0" w:rsidRPr="00C44D8C" w14:paraId="01C3CE22" w14:textId="77777777" w:rsidTr="00436CD0">
        <w:trPr>
          <w:trHeight w:val="290"/>
        </w:trPr>
        <w:tc>
          <w:tcPr>
            <w:tcW w:w="976" w:type="pct"/>
            <w:tcBorders>
              <w:top w:val="nil"/>
              <w:left w:val="nil"/>
              <w:bottom w:val="nil"/>
              <w:right w:val="nil"/>
            </w:tcBorders>
            <w:shd w:val="clear" w:color="auto" w:fill="auto"/>
            <w:noWrap/>
            <w:hideMark/>
          </w:tcPr>
          <w:p w14:paraId="205F222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Mbar_A3099</w:t>
            </w:r>
          </w:p>
        </w:tc>
        <w:tc>
          <w:tcPr>
            <w:tcW w:w="3106" w:type="pct"/>
            <w:tcBorders>
              <w:top w:val="nil"/>
              <w:left w:val="nil"/>
              <w:bottom w:val="nil"/>
              <w:right w:val="nil"/>
            </w:tcBorders>
            <w:shd w:val="clear" w:color="auto" w:fill="auto"/>
            <w:noWrap/>
            <w:hideMark/>
          </w:tcPr>
          <w:p w14:paraId="7CAE098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H(+)-transporting ATP synthase, subunit alpha</w:t>
            </w:r>
          </w:p>
        </w:tc>
        <w:tc>
          <w:tcPr>
            <w:tcW w:w="918" w:type="pct"/>
            <w:tcBorders>
              <w:top w:val="nil"/>
              <w:left w:val="nil"/>
              <w:bottom w:val="nil"/>
              <w:right w:val="nil"/>
            </w:tcBorders>
            <w:shd w:val="clear" w:color="auto" w:fill="auto"/>
            <w:noWrap/>
            <w:hideMark/>
          </w:tcPr>
          <w:p w14:paraId="3BB09EA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3.27</w:t>
            </w:r>
          </w:p>
        </w:tc>
      </w:tr>
      <w:tr w:rsidR="00436CD0" w:rsidRPr="00C44D8C" w14:paraId="44045F03" w14:textId="77777777" w:rsidTr="00436CD0">
        <w:trPr>
          <w:trHeight w:val="290"/>
        </w:trPr>
        <w:tc>
          <w:tcPr>
            <w:tcW w:w="976" w:type="pct"/>
            <w:tcBorders>
              <w:top w:val="nil"/>
              <w:left w:val="nil"/>
              <w:bottom w:val="nil"/>
              <w:right w:val="nil"/>
            </w:tcBorders>
            <w:shd w:val="clear" w:color="auto" w:fill="auto"/>
            <w:noWrap/>
            <w:hideMark/>
          </w:tcPr>
          <w:p w14:paraId="4FC790D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Mbar_A1597</w:t>
            </w:r>
          </w:p>
        </w:tc>
        <w:tc>
          <w:tcPr>
            <w:tcW w:w="3106" w:type="pct"/>
            <w:tcBorders>
              <w:top w:val="nil"/>
              <w:left w:val="nil"/>
              <w:bottom w:val="nil"/>
              <w:right w:val="nil"/>
            </w:tcBorders>
            <w:shd w:val="clear" w:color="auto" w:fill="auto"/>
            <w:noWrap/>
            <w:hideMark/>
          </w:tcPr>
          <w:p w14:paraId="360B910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Sulfite reductase, assimilatory-type</w:t>
            </w:r>
          </w:p>
        </w:tc>
        <w:tc>
          <w:tcPr>
            <w:tcW w:w="918" w:type="pct"/>
            <w:tcBorders>
              <w:top w:val="nil"/>
              <w:left w:val="nil"/>
              <w:bottom w:val="nil"/>
              <w:right w:val="nil"/>
            </w:tcBorders>
            <w:shd w:val="clear" w:color="auto" w:fill="auto"/>
            <w:noWrap/>
            <w:hideMark/>
          </w:tcPr>
          <w:p w14:paraId="74C8522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2.39</w:t>
            </w:r>
          </w:p>
        </w:tc>
      </w:tr>
      <w:tr w:rsidR="00436CD0" w:rsidRPr="00C44D8C" w14:paraId="22028646" w14:textId="77777777" w:rsidTr="00436CD0">
        <w:trPr>
          <w:trHeight w:val="290"/>
        </w:trPr>
        <w:tc>
          <w:tcPr>
            <w:tcW w:w="976" w:type="pct"/>
            <w:tcBorders>
              <w:top w:val="nil"/>
              <w:left w:val="nil"/>
              <w:bottom w:val="nil"/>
              <w:right w:val="nil"/>
            </w:tcBorders>
            <w:shd w:val="clear" w:color="auto" w:fill="auto"/>
            <w:noWrap/>
            <w:hideMark/>
          </w:tcPr>
          <w:p w14:paraId="76BDBC7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Mbar_A0388</w:t>
            </w:r>
          </w:p>
        </w:tc>
        <w:tc>
          <w:tcPr>
            <w:tcW w:w="3106" w:type="pct"/>
            <w:tcBorders>
              <w:top w:val="nil"/>
              <w:left w:val="nil"/>
              <w:bottom w:val="nil"/>
              <w:right w:val="nil"/>
            </w:tcBorders>
            <w:shd w:val="clear" w:color="auto" w:fill="auto"/>
            <w:noWrap/>
            <w:hideMark/>
          </w:tcPr>
          <w:p w14:paraId="67F350C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V-type ATP synthase subunit C</w:t>
            </w:r>
          </w:p>
        </w:tc>
        <w:tc>
          <w:tcPr>
            <w:tcW w:w="918" w:type="pct"/>
            <w:tcBorders>
              <w:top w:val="nil"/>
              <w:left w:val="nil"/>
              <w:bottom w:val="nil"/>
              <w:right w:val="nil"/>
            </w:tcBorders>
            <w:shd w:val="clear" w:color="auto" w:fill="auto"/>
            <w:noWrap/>
            <w:hideMark/>
          </w:tcPr>
          <w:p w14:paraId="7C6DF95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2.21</w:t>
            </w:r>
          </w:p>
        </w:tc>
      </w:tr>
      <w:tr w:rsidR="00436CD0" w:rsidRPr="00C44D8C" w14:paraId="1B263438" w14:textId="77777777" w:rsidTr="00436CD0">
        <w:trPr>
          <w:trHeight w:val="290"/>
        </w:trPr>
        <w:tc>
          <w:tcPr>
            <w:tcW w:w="976" w:type="pct"/>
            <w:tcBorders>
              <w:top w:val="nil"/>
              <w:left w:val="nil"/>
              <w:bottom w:val="nil"/>
              <w:right w:val="nil"/>
            </w:tcBorders>
            <w:shd w:val="clear" w:color="auto" w:fill="auto"/>
            <w:noWrap/>
            <w:hideMark/>
          </w:tcPr>
          <w:p w14:paraId="55E5E9F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Mbar_A0086</w:t>
            </w:r>
          </w:p>
        </w:tc>
        <w:tc>
          <w:tcPr>
            <w:tcW w:w="3106" w:type="pct"/>
            <w:tcBorders>
              <w:top w:val="nil"/>
              <w:left w:val="nil"/>
              <w:bottom w:val="nil"/>
              <w:right w:val="nil"/>
            </w:tcBorders>
            <w:shd w:val="clear" w:color="auto" w:fill="auto"/>
            <w:noWrap/>
            <w:hideMark/>
          </w:tcPr>
          <w:p w14:paraId="704EA8C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Adenylate kinase </w:t>
            </w:r>
          </w:p>
        </w:tc>
        <w:tc>
          <w:tcPr>
            <w:tcW w:w="918" w:type="pct"/>
            <w:tcBorders>
              <w:top w:val="nil"/>
              <w:left w:val="nil"/>
              <w:bottom w:val="nil"/>
              <w:right w:val="nil"/>
            </w:tcBorders>
            <w:shd w:val="clear" w:color="auto" w:fill="auto"/>
            <w:noWrap/>
            <w:hideMark/>
          </w:tcPr>
          <w:p w14:paraId="14AF10D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2.15</w:t>
            </w:r>
          </w:p>
        </w:tc>
      </w:tr>
      <w:tr w:rsidR="00436CD0" w:rsidRPr="00C44D8C" w14:paraId="5D45DE6D" w14:textId="77777777" w:rsidTr="00436CD0">
        <w:trPr>
          <w:trHeight w:val="290"/>
        </w:trPr>
        <w:tc>
          <w:tcPr>
            <w:tcW w:w="976" w:type="pct"/>
            <w:tcBorders>
              <w:top w:val="nil"/>
              <w:left w:val="nil"/>
              <w:bottom w:val="nil"/>
              <w:right w:val="nil"/>
            </w:tcBorders>
            <w:shd w:val="clear" w:color="auto" w:fill="auto"/>
            <w:noWrap/>
            <w:hideMark/>
          </w:tcPr>
          <w:p w14:paraId="23AE049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Mbar_A2618</w:t>
            </w:r>
          </w:p>
        </w:tc>
        <w:tc>
          <w:tcPr>
            <w:tcW w:w="3106" w:type="pct"/>
            <w:tcBorders>
              <w:top w:val="nil"/>
              <w:left w:val="nil"/>
              <w:bottom w:val="nil"/>
              <w:right w:val="nil"/>
            </w:tcBorders>
            <w:shd w:val="clear" w:color="auto" w:fill="auto"/>
            <w:noWrap/>
            <w:hideMark/>
          </w:tcPr>
          <w:p w14:paraId="65F2C9D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Sulfite reductase, beta subunit</w:t>
            </w:r>
          </w:p>
        </w:tc>
        <w:tc>
          <w:tcPr>
            <w:tcW w:w="918" w:type="pct"/>
            <w:tcBorders>
              <w:top w:val="nil"/>
              <w:left w:val="nil"/>
              <w:bottom w:val="nil"/>
              <w:right w:val="nil"/>
            </w:tcBorders>
            <w:shd w:val="clear" w:color="auto" w:fill="auto"/>
            <w:noWrap/>
            <w:hideMark/>
          </w:tcPr>
          <w:p w14:paraId="2E35B3F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2.11</w:t>
            </w:r>
          </w:p>
        </w:tc>
      </w:tr>
      <w:tr w:rsidR="00436CD0" w:rsidRPr="00C44D8C" w14:paraId="5115ABA3" w14:textId="77777777" w:rsidTr="00436CD0">
        <w:trPr>
          <w:trHeight w:val="290"/>
        </w:trPr>
        <w:tc>
          <w:tcPr>
            <w:tcW w:w="976" w:type="pct"/>
            <w:tcBorders>
              <w:top w:val="nil"/>
              <w:left w:val="nil"/>
              <w:bottom w:val="nil"/>
              <w:right w:val="nil"/>
            </w:tcBorders>
            <w:shd w:val="clear" w:color="auto" w:fill="auto"/>
            <w:noWrap/>
            <w:hideMark/>
          </w:tcPr>
          <w:p w14:paraId="5C72D15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Mbar_A1258</w:t>
            </w:r>
          </w:p>
        </w:tc>
        <w:tc>
          <w:tcPr>
            <w:tcW w:w="3106" w:type="pct"/>
            <w:tcBorders>
              <w:top w:val="nil"/>
              <w:left w:val="nil"/>
              <w:bottom w:val="nil"/>
              <w:right w:val="nil"/>
            </w:tcBorders>
            <w:shd w:val="clear" w:color="auto" w:fill="auto"/>
            <w:noWrap/>
            <w:hideMark/>
          </w:tcPr>
          <w:p w14:paraId="3BD4E27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Tetrahydromethanopterin S-methyltransferase subunit A </w:t>
            </w:r>
          </w:p>
        </w:tc>
        <w:tc>
          <w:tcPr>
            <w:tcW w:w="918" w:type="pct"/>
            <w:tcBorders>
              <w:top w:val="nil"/>
              <w:left w:val="nil"/>
              <w:bottom w:val="nil"/>
              <w:right w:val="nil"/>
            </w:tcBorders>
            <w:shd w:val="clear" w:color="auto" w:fill="auto"/>
            <w:noWrap/>
            <w:hideMark/>
          </w:tcPr>
          <w:p w14:paraId="710111D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2.04</w:t>
            </w:r>
          </w:p>
        </w:tc>
      </w:tr>
      <w:tr w:rsidR="00436CD0" w:rsidRPr="00C44D8C" w14:paraId="6A276906" w14:textId="77777777" w:rsidTr="00436CD0">
        <w:trPr>
          <w:trHeight w:val="290"/>
        </w:trPr>
        <w:tc>
          <w:tcPr>
            <w:tcW w:w="976" w:type="pct"/>
            <w:tcBorders>
              <w:top w:val="nil"/>
              <w:left w:val="nil"/>
              <w:bottom w:val="nil"/>
              <w:right w:val="nil"/>
            </w:tcBorders>
            <w:shd w:val="clear" w:color="auto" w:fill="auto"/>
            <w:noWrap/>
            <w:hideMark/>
          </w:tcPr>
          <w:p w14:paraId="476659E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Mbar_A1847</w:t>
            </w:r>
          </w:p>
        </w:tc>
        <w:tc>
          <w:tcPr>
            <w:tcW w:w="3106" w:type="pct"/>
            <w:tcBorders>
              <w:top w:val="nil"/>
              <w:left w:val="nil"/>
              <w:bottom w:val="nil"/>
              <w:right w:val="nil"/>
            </w:tcBorders>
            <w:shd w:val="clear" w:color="auto" w:fill="auto"/>
            <w:noWrap/>
            <w:hideMark/>
          </w:tcPr>
          <w:p w14:paraId="3C944DB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Methanophenazine-reducing hydrogenase, small subunit </w:t>
            </w:r>
          </w:p>
        </w:tc>
        <w:tc>
          <w:tcPr>
            <w:tcW w:w="918" w:type="pct"/>
            <w:tcBorders>
              <w:top w:val="nil"/>
              <w:left w:val="nil"/>
              <w:bottom w:val="nil"/>
              <w:right w:val="nil"/>
            </w:tcBorders>
            <w:shd w:val="clear" w:color="auto" w:fill="auto"/>
            <w:noWrap/>
            <w:hideMark/>
          </w:tcPr>
          <w:p w14:paraId="2076019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2.01</w:t>
            </w:r>
          </w:p>
        </w:tc>
      </w:tr>
      <w:tr w:rsidR="00436CD0" w:rsidRPr="00C44D8C" w14:paraId="13E97104" w14:textId="77777777" w:rsidTr="00436CD0">
        <w:trPr>
          <w:trHeight w:val="290"/>
        </w:trPr>
        <w:tc>
          <w:tcPr>
            <w:tcW w:w="976" w:type="pct"/>
            <w:tcBorders>
              <w:top w:val="nil"/>
              <w:left w:val="nil"/>
              <w:bottom w:val="nil"/>
              <w:right w:val="nil"/>
            </w:tcBorders>
            <w:shd w:val="clear" w:color="auto" w:fill="auto"/>
            <w:noWrap/>
            <w:hideMark/>
          </w:tcPr>
          <w:p w14:paraId="04F4F85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Mbar_A0392</w:t>
            </w:r>
          </w:p>
        </w:tc>
        <w:tc>
          <w:tcPr>
            <w:tcW w:w="3106" w:type="pct"/>
            <w:tcBorders>
              <w:top w:val="nil"/>
              <w:left w:val="nil"/>
              <w:bottom w:val="nil"/>
              <w:right w:val="nil"/>
            </w:tcBorders>
            <w:shd w:val="clear" w:color="auto" w:fill="auto"/>
            <w:noWrap/>
            <w:hideMark/>
          </w:tcPr>
          <w:p w14:paraId="44E8611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H(+)-transporting ATP synthase, subunit H</w:t>
            </w:r>
          </w:p>
        </w:tc>
        <w:tc>
          <w:tcPr>
            <w:tcW w:w="918" w:type="pct"/>
            <w:tcBorders>
              <w:top w:val="nil"/>
              <w:left w:val="nil"/>
              <w:bottom w:val="nil"/>
              <w:right w:val="nil"/>
            </w:tcBorders>
            <w:shd w:val="clear" w:color="auto" w:fill="auto"/>
            <w:noWrap/>
            <w:hideMark/>
          </w:tcPr>
          <w:p w14:paraId="21E2C69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49FFC7FA" w14:textId="77777777" w:rsidTr="00436CD0">
        <w:trPr>
          <w:trHeight w:val="290"/>
        </w:trPr>
        <w:tc>
          <w:tcPr>
            <w:tcW w:w="976" w:type="pct"/>
            <w:tcBorders>
              <w:top w:val="nil"/>
              <w:left w:val="nil"/>
              <w:bottom w:val="nil"/>
              <w:right w:val="nil"/>
            </w:tcBorders>
            <w:shd w:val="clear" w:color="auto" w:fill="auto"/>
            <w:noWrap/>
            <w:hideMark/>
          </w:tcPr>
          <w:p w14:paraId="7DA157F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Mbar_A0384</w:t>
            </w:r>
          </w:p>
        </w:tc>
        <w:tc>
          <w:tcPr>
            <w:tcW w:w="3106" w:type="pct"/>
            <w:tcBorders>
              <w:top w:val="nil"/>
              <w:left w:val="nil"/>
              <w:bottom w:val="nil"/>
              <w:right w:val="nil"/>
            </w:tcBorders>
            <w:shd w:val="clear" w:color="auto" w:fill="auto"/>
            <w:noWrap/>
            <w:hideMark/>
          </w:tcPr>
          <w:p w14:paraId="31B9147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V-type ATP synthase subunit D </w:t>
            </w:r>
          </w:p>
        </w:tc>
        <w:tc>
          <w:tcPr>
            <w:tcW w:w="918" w:type="pct"/>
            <w:tcBorders>
              <w:top w:val="nil"/>
              <w:left w:val="nil"/>
              <w:bottom w:val="nil"/>
              <w:right w:val="nil"/>
            </w:tcBorders>
            <w:shd w:val="clear" w:color="auto" w:fill="auto"/>
            <w:noWrap/>
            <w:hideMark/>
          </w:tcPr>
          <w:p w14:paraId="24541D9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1.95</w:t>
            </w:r>
          </w:p>
        </w:tc>
      </w:tr>
      <w:tr w:rsidR="00436CD0" w:rsidRPr="00C44D8C" w14:paraId="68556FED" w14:textId="77777777" w:rsidTr="00436CD0">
        <w:trPr>
          <w:trHeight w:val="290"/>
        </w:trPr>
        <w:tc>
          <w:tcPr>
            <w:tcW w:w="976" w:type="pct"/>
            <w:tcBorders>
              <w:top w:val="nil"/>
              <w:left w:val="nil"/>
              <w:bottom w:val="nil"/>
              <w:right w:val="nil"/>
            </w:tcBorders>
            <w:shd w:val="clear" w:color="auto" w:fill="auto"/>
            <w:noWrap/>
            <w:hideMark/>
          </w:tcPr>
          <w:p w14:paraId="74A79C6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Mbar_A2455</w:t>
            </w:r>
          </w:p>
        </w:tc>
        <w:tc>
          <w:tcPr>
            <w:tcW w:w="3106" w:type="pct"/>
            <w:tcBorders>
              <w:top w:val="nil"/>
              <w:left w:val="nil"/>
              <w:bottom w:val="nil"/>
              <w:right w:val="nil"/>
            </w:tcBorders>
            <w:shd w:val="clear" w:color="auto" w:fill="auto"/>
            <w:noWrap/>
            <w:hideMark/>
          </w:tcPr>
          <w:p w14:paraId="5D2832C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Ech hydrogenase subunit C</w:t>
            </w:r>
          </w:p>
        </w:tc>
        <w:tc>
          <w:tcPr>
            <w:tcW w:w="918" w:type="pct"/>
            <w:tcBorders>
              <w:top w:val="nil"/>
              <w:left w:val="nil"/>
              <w:bottom w:val="nil"/>
              <w:right w:val="nil"/>
            </w:tcBorders>
            <w:shd w:val="clear" w:color="auto" w:fill="auto"/>
            <w:noWrap/>
            <w:hideMark/>
          </w:tcPr>
          <w:p w14:paraId="6A30AC7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1.95</w:t>
            </w:r>
          </w:p>
        </w:tc>
      </w:tr>
      <w:tr w:rsidR="00436CD0" w:rsidRPr="00C44D8C" w14:paraId="78D5DA92" w14:textId="77777777" w:rsidTr="00436CD0">
        <w:trPr>
          <w:trHeight w:val="290"/>
        </w:trPr>
        <w:tc>
          <w:tcPr>
            <w:tcW w:w="976" w:type="pct"/>
            <w:tcBorders>
              <w:top w:val="nil"/>
              <w:left w:val="nil"/>
              <w:bottom w:val="nil"/>
              <w:right w:val="nil"/>
            </w:tcBorders>
            <w:shd w:val="clear" w:color="auto" w:fill="auto"/>
            <w:noWrap/>
            <w:hideMark/>
          </w:tcPr>
          <w:p w14:paraId="30B3CC5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Mbar_A3458</w:t>
            </w:r>
          </w:p>
        </w:tc>
        <w:tc>
          <w:tcPr>
            <w:tcW w:w="3106" w:type="pct"/>
            <w:tcBorders>
              <w:top w:val="nil"/>
              <w:left w:val="nil"/>
              <w:bottom w:val="nil"/>
              <w:right w:val="nil"/>
            </w:tcBorders>
            <w:shd w:val="clear" w:color="auto" w:fill="auto"/>
            <w:noWrap/>
            <w:hideMark/>
          </w:tcPr>
          <w:p w14:paraId="7CB3C98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ABC transporter, ATP-binding protein</w:t>
            </w:r>
          </w:p>
        </w:tc>
        <w:tc>
          <w:tcPr>
            <w:tcW w:w="918" w:type="pct"/>
            <w:tcBorders>
              <w:top w:val="nil"/>
              <w:left w:val="nil"/>
              <w:bottom w:val="nil"/>
              <w:right w:val="nil"/>
            </w:tcBorders>
            <w:shd w:val="clear" w:color="auto" w:fill="auto"/>
            <w:noWrap/>
            <w:hideMark/>
          </w:tcPr>
          <w:p w14:paraId="18470D4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1.91</w:t>
            </w:r>
          </w:p>
        </w:tc>
      </w:tr>
      <w:tr w:rsidR="00436CD0" w:rsidRPr="00C44D8C" w14:paraId="67DEA619" w14:textId="77777777" w:rsidTr="00436CD0">
        <w:trPr>
          <w:trHeight w:val="290"/>
        </w:trPr>
        <w:tc>
          <w:tcPr>
            <w:tcW w:w="976" w:type="pct"/>
            <w:tcBorders>
              <w:top w:val="nil"/>
              <w:left w:val="nil"/>
              <w:bottom w:val="nil"/>
              <w:right w:val="nil"/>
            </w:tcBorders>
            <w:shd w:val="clear" w:color="auto" w:fill="auto"/>
            <w:noWrap/>
            <w:hideMark/>
          </w:tcPr>
          <w:p w14:paraId="3F2F1B8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Mbar_A0255</w:t>
            </w:r>
          </w:p>
        </w:tc>
        <w:tc>
          <w:tcPr>
            <w:tcW w:w="3106" w:type="pct"/>
            <w:tcBorders>
              <w:top w:val="nil"/>
              <w:left w:val="nil"/>
              <w:bottom w:val="nil"/>
              <w:right w:val="nil"/>
            </w:tcBorders>
            <w:shd w:val="clear" w:color="auto" w:fill="auto"/>
            <w:noWrap/>
            <w:hideMark/>
          </w:tcPr>
          <w:p w14:paraId="0D4114F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F</w:t>
            </w:r>
            <w:r w:rsidRPr="00C44D8C">
              <w:rPr>
                <w:rFonts w:asciiTheme="minorHAnsi" w:hAnsiTheme="minorHAnsi"/>
                <w:color w:val="000000"/>
                <w:sz w:val="22"/>
                <w:szCs w:val="22"/>
                <w:vertAlign w:val="subscript"/>
                <w:lang w:eastAsia="en-GB"/>
              </w:rPr>
              <w:t>420</w:t>
            </w:r>
            <w:r w:rsidRPr="00C44D8C">
              <w:rPr>
                <w:rFonts w:asciiTheme="minorHAnsi" w:hAnsiTheme="minorHAnsi"/>
                <w:color w:val="000000"/>
                <w:sz w:val="22"/>
                <w:szCs w:val="22"/>
                <w:lang w:eastAsia="en-GB"/>
              </w:rPr>
              <w:t>H</w:t>
            </w:r>
            <w:r w:rsidRPr="00C44D8C">
              <w:rPr>
                <w:rFonts w:asciiTheme="minorHAnsi" w:hAnsiTheme="minorHAnsi"/>
                <w:color w:val="000000"/>
                <w:sz w:val="22"/>
                <w:szCs w:val="22"/>
                <w:vertAlign w:val="subscript"/>
                <w:lang w:eastAsia="en-GB"/>
              </w:rPr>
              <w:t xml:space="preserve">2 </w:t>
            </w:r>
            <w:r w:rsidRPr="00C44D8C">
              <w:rPr>
                <w:rFonts w:asciiTheme="minorHAnsi" w:hAnsiTheme="minorHAnsi"/>
                <w:color w:val="000000"/>
                <w:sz w:val="22"/>
                <w:szCs w:val="22"/>
                <w:lang w:eastAsia="en-GB"/>
              </w:rPr>
              <w:t>dehydrogenase subunit F</w:t>
            </w:r>
          </w:p>
        </w:tc>
        <w:tc>
          <w:tcPr>
            <w:tcW w:w="918" w:type="pct"/>
            <w:tcBorders>
              <w:top w:val="nil"/>
              <w:left w:val="nil"/>
              <w:bottom w:val="nil"/>
              <w:right w:val="nil"/>
            </w:tcBorders>
            <w:shd w:val="clear" w:color="auto" w:fill="auto"/>
            <w:noWrap/>
            <w:hideMark/>
          </w:tcPr>
          <w:p w14:paraId="14CF182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1EB25E44" w14:textId="77777777" w:rsidTr="00436CD0">
        <w:trPr>
          <w:trHeight w:val="290"/>
        </w:trPr>
        <w:tc>
          <w:tcPr>
            <w:tcW w:w="976" w:type="pct"/>
            <w:tcBorders>
              <w:top w:val="nil"/>
              <w:left w:val="nil"/>
              <w:bottom w:val="nil"/>
              <w:right w:val="nil"/>
            </w:tcBorders>
            <w:shd w:val="clear" w:color="auto" w:fill="auto"/>
            <w:noWrap/>
            <w:hideMark/>
          </w:tcPr>
          <w:p w14:paraId="6396F8A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Mbar_A0385</w:t>
            </w:r>
          </w:p>
        </w:tc>
        <w:tc>
          <w:tcPr>
            <w:tcW w:w="3106" w:type="pct"/>
            <w:tcBorders>
              <w:top w:val="nil"/>
              <w:left w:val="nil"/>
              <w:bottom w:val="nil"/>
              <w:right w:val="nil"/>
            </w:tcBorders>
            <w:shd w:val="clear" w:color="auto" w:fill="auto"/>
            <w:noWrap/>
            <w:hideMark/>
          </w:tcPr>
          <w:p w14:paraId="31CEFEC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V-type ATP synthase beta chain </w:t>
            </w:r>
          </w:p>
        </w:tc>
        <w:tc>
          <w:tcPr>
            <w:tcW w:w="918" w:type="pct"/>
            <w:tcBorders>
              <w:top w:val="nil"/>
              <w:left w:val="nil"/>
              <w:bottom w:val="nil"/>
              <w:right w:val="nil"/>
            </w:tcBorders>
            <w:shd w:val="clear" w:color="auto" w:fill="auto"/>
            <w:noWrap/>
            <w:hideMark/>
          </w:tcPr>
          <w:p w14:paraId="6D10204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596359BE" w14:textId="77777777" w:rsidTr="00436CD0">
        <w:trPr>
          <w:trHeight w:val="290"/>
        </w:trPr>
        <w:tc>
          <w:tcPr>
            <w:tcW w:w="976" w:type="pct"/>
            <w:tcBorders>
              <w:top w:val="nil"/>
              <w:left w:val="nil"/>
              <w:bottom w:val="nil"/>
              <w:right w:val="nil"/>
            </w:tcBorders>
            <w:shd w:val="clear" w:color="auto" w:fill="auto"/>
            <w:noWrap/>
            <w:hideMark/>
          </w:tcPr>
          <w:p w14:paraId="3BD72BE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Mbar_A0386</w:t>
            </w:r>
          </w:p>
        </w:tc>
        <w:tc>
          <w:tcPr>
            <w:tcW w:w="3106" w:type="pct"/>
            <w:tcBorders>
              <w:top w:val="nil"/>
              <w:left w:val="nil"/>
              <w:bottom w:val="nil"/>
              <w:right w:val="nil"/>
            </w:tcBorders>
            <w:shd w:val="clear" w:color="auto" w:fill="auto"/>
            <w:noWrap/>
            <w:hideMark/>
          </w:tcPr>
          <w:p w14:paraId="48BBDE3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V-type ATP synthase alpha chain </w:t>
            </w:r>
          </w:p>
        </w:tc>
        <w:tc>
          <w:tcPr>
            <w:tcW w:w="918" w:type="pct"/>
            <w:tcBorders>
              <w:top w:val="nil"/>
              <w:left w:val="nil"/>
              <w:bottom w:val="nil"/>
              <w:right w:val="nil"/>
            </w:tcBorders>
            <w:shd w:val="clear" w:color="auto" w:fill="auto"/>
            <w:noWrap/>
            <w:hideMark/>
          </w:tcPr>
          <w:p w14:paraId="6A47A3C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1.89</w:t>
            </w:r>
          </w:p>
        </w:tc>
      </w:tr>
      <w:tr w:rsidR="00436CD0" w:rsidRPr="00C44D8C" w14:paraId="05462C94" w14:textId="77777777" w:rsidTr="00436CD0">
        <w:trPr>
          <w:trHeight w:val="290"/>
        </w:trPr>
        <w:tc>
          <w:tcPr>
            <w:tcW w:w="976" w:type="pct"/>
            <w:tcBorders>
              <w:top w:val="nil"/>
              <w:left w:val="nil"/>
              <w:bottom w:val="nil"/>
              <w:right w:val="nil"/>
            </w:tcBorders>
            <w:shd w:val="clear" w:color="auto" w:fill="auto"/>
            <w:noWrap/>
            <w:hideMark/>
          </w:tcPr>
          <w:p w14:paraId="5376B44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Mbar_A1255</w:t>
            </w:r>
          </w:p>
        </w:tc>
        <w:tc>
          <w:tcPr>
            <w:tcW w:w="3106" w:type="pct"/>
            <w:tcBorders>
              <w:top w:val="nil"/>
              <w:left w:val="nil"/>
              <w:bottom w:val="nil"/>
              <w:right w:val="nil"/>
            </w:tcBorders>
            <w:shd w:val="clear" w:color="auto" w:fill="auto"/>
            <w:noWrap/>
            <w:hideMark/>
          </w:tcPr>
          <w:p w14:paraId="0BEFC57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Tetrahydromethanopterin S-methyltransferase subunit H </w:t>
            </w:r>
          </w:p>
        </w:tc>
        <w:tc>
          <w:tcPr>
            <w:tcW w:w="918" w:type="pct"/>
            <w:tcBorders>
              <w:top w:val="nil"/>
              <w:left w:val="nil"/>
              <w:bottom w:val="nil"/>
              <w:right w:val="nil"/>
            </w:tcBorders>
            <w:shd w:val="clear" w:color="auto" w:fill="auto"/>
            <w:noWrap/>
            <w:hideMark/>
          </w:tcPr>
          <w:p w14:paraId="08782C3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502346D8" w14:textId="77777777" w:rsidTr="00436CD0">
        <w:trPr>
          <w:trHeight w:val="290"/>
        </w:trPr>
        <w:tc>
          <w:tcPr>
            <w:tcW w:w="976" w:type="pct"/>
            <w:tcBorders>
              <w:top w:val="nil"/>
              <w:left w:val="nil"/>
              <w:bottom w:val="nil"/>
              <w:right w:val="nil"/>
            </w:tcBorders>
            <w:shd w:val="clear" w:color="auto" w:fill="auto"/>
            <w:noWrap/>
            <w:hideMark/>
          </w:tcPr>
          <w:p w14:paraId="7028EC6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Mbar_A0391</w:t>
            </w:r>
          </w:p>
        </w:tc>
        <w:tc>
          <w:tcPr>
            <w:tcW w:w="3106" w:type="pct"/>
            <w:tcBorders>
              <w:top w:val="nil"/>
              <w:left w:val="nil"/>
              <w:bottom w:val="nil"/>
              <w:right w:val="nil"/>
            </w:tcBorders>
            <w:shd w:val="clear" w:color="auto" w:fill="auto"/>
            <w:noWrap/>
            <w:hideMark/>
          </w:tcPr>
          <w:p w14:paraId="6D010B1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V-type ATP synthase subunit I</w:t>
            </w:r>
          </w:p>
        </w:tc>
        <w:tc>
          <w:tcPr>
            <w:tcW w:w="918" w:type="pct"/>
            <w:tcBorders>
              <w:top w:val="nil"/>
              <w:left w:val="nil"/>
              <w:bottom w:val="nil"/>
              <w:right w:val="nil"/>
            </w:tcBorders>
            <w:shd w:val="clear" w:color="auto" w:fill="auto"/>
            <w:noWrap/>
            <w:hideMark/>
          </w:tcPr>
          <w:p w14:paraId="5C12967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1.83</w:t>
            </w:r>
          </w:p>
        </w:tc>
      </w:tr>
      <w:tr w:rsidR="00436CD0" w:rsidRPr="00C44D8C" w14:paraId="77929F32" w14:textId="77777777" w:rsidTr="00436CD0">
        <w:trPr>
          <w:trHeight w:val="290"/>
        </w:trPr>
        <w:tc>
          <w:tcPr>
            <w:tcW w:w="976" w:type="pct"/>
            <w:tcBorders>
              <w:top w:val="nil"/>
              <w:left w:val="nil"/>
              <w:bottom w:val="nil"/>
              <w:right w:val="nil"/>
            </w:tcBorders>
            <w:shd w:val="clear" w:color="auto" w:fill="auto"/>
            <w:noWrap/>
            <w:hideMark/>
          </w:tcPr>
          <w:p w14:paraId="7461B0B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Mbar_A0389</w:t>
            </w:r>
          </w:p>
        </w:tc>
        <w:tc>
          <w:tcPr>
            <w:tcW w:w="3106" w:type="pct"/>
            <w:tcBorders>
              <w:top w:val="nil"/>
              <w:left w:val="nil"/>
              <w:bottom w:val="nil"/>
              <w:right w:val="nil"/>
            </w:tcBorders>
            <w:shd w:val="clear" w:color="auto" w:fill="auto"/>
            <w:noWrap/>
            <w:hideMark/>
          </w:tcPr>
          <w:p w14:paraId="62C5846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V-type ATP synthase subunit E </w:t>
            </w:r>
          </w:p>
        </w:tc>
        <w:tc>
          <w:tcPr>
            <w:tcW w:w="918" w:type="pct"/>
            <w:tcBorders>
              <w:top w:val="nil"/>
              <w:left w:val="nil"/>
              <w:bottom w:val="nil"/>
              <w:right w:val="nil"/>
            </w:tcBorders>
            <w:shd w:val="clear" w:color="auto" w:fill="auto"/>
            <w:noWrap/>
            <w:hideMark/>
          </w:tcPr>
          <w:p w14:paraId="4E74F2C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1.81</w:t>
            </w:r>
          </w:p>
        </w:tc>
      </w:tr>
      <w:tr w:rsidR="00436CD0" w:rsidRPr="00C44D8C" w14:paraId="4EF4C3FF" w14:textId="77777777" w:rsidTr="00436CD0">
        <w:trPr>
          <w:trHeight w:val="290"/>
        </w:trPr>
        <w:tc>
          <w:tcPr>
            <w:tcW w:w="976" w:type="pct"/>
            <w:tcBorders>
              <w:top w:val="nil"/>
              <w:left w:val="nil"/>
              <w:bottom w:val="nil"/>
              <w:right w:val="nil"/>
            </w:tcBorders>
            <w:shd w:val="clear" w:color="auto" w:fill="auto"/>
            <w:noWrap/>
            <w:hideMark/>
          </w:tcPr>
          <w:p w14:paraId="4EF2386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Mbar_A0387</w:t>
            </w:r>
          </w:p>
        </w:tc>
        <w:tc>
          <w:tcPr>
            <w:tcW w:w="3106" w:type="pct"/>
            <w:tcBorders>
              <w:top w:val="nil"/>
              <w:left w:val="nil"/>
              <w:bottom w:val="nil"/>
              <w:right w:val="nil"/>
            </w:tcBorders>
            <w:shd w:val="clear" w:color="auto" w:fill="auto"/>
            <w:noWrap/>
            <w:hideMark/>
          </w:tcPr>
          <w:p w14:paraId="3D69946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V-type ATP synthase subunit F</w:t>
            </w:r>
          </w:p>
        </w:tc>
        <w:tc>
          <w:tcPr>
            <w:tcW w:w="918" w:type="pct"/>
            <w:tcBorders>
              <w:top w:val="nil"/>
              <w:left w:val="nil"/>
              <w:bottom w:val="nil"/>
              <w:right w:val="nil"/>
            </w:tcBorders>
            <w:shd w:val="clear" w:color="auto" w:fill="auto"/>
            <w:noWrap/>
            <w:hideMark/>
          </w:tcPr>
          <w:p w14:paraId="166F82A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1.75</w:t>
            </w:r>
          </w:p>
        </w:tc>
      </w:tr>
      <w:tr w:rsidR="00436CD0" w:rsidRPr="00C44D8C" w14:paraId="1EB73D80" w14:textId="77777777" w:rsidTr="00436CD0">
        <w:trPr>
          <w:trHeight w:val="290"/>
        </w:trPr>
        <w:tc>
          <w:tcPr>
            <w:tcW w:w="976" w:type="pct"/>
            <w:tcBorders>
              <w:top w:val="nil"/>
              <w:left w:val="nil"/>
              <w:right w:val="nil"/>
            </w:tcBorders>
            <w:shd w:val="clear" w:color="auto" w:fill="auto"/>
            <w:noWrap/>
            <w:hideMark/>
          </w:tcPr>
          <w:p w14:paraId="1F0FDA5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Mbar_A1002</w:t>
            </w:r>
          </w:p>
        </w:tc>
        <w:tc>
          <w:tcPr>
            <w:tcW w:w="3106" w:type="pct"/>
            <w:tcBorders>
              <w:top w:val="nil"/>
              <w:left w:val="nil"/>
              <w:right w:val="nil"/>
            </w:tcBorders>
            <w:shd w:val="clear" w:color="auto" w:fill="auto"/>
            <w:noWrap/>
            <w:hideMark/>
          </w:tcPr>
          <w:p w14:paraId="3E38FBA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Pyruvate synthase subunit PorC </w:t>
            </w:r>
          </w:p>
        </w:tc>
        <w:tc>
          <w:tcPr>
            <w:tcW w:w="918" w:type="pct"/>
            <w:tcBorders>
              <w:top w:val="nil"/>
              <w:left w:val="nil"/>
              <w:right w:val="nil"/>
            </w:tcBorders>
            <w:shd w:val="clear" w:color="auto" w:fill="auto"/>
            <w:noWrap/>
            <w:hideMark/>
          </w:tcPr>
          <w:p w14:paraId="2B19FAC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45F87ABE" w14:textId="77777777" w:rsidTr="00436CD0">
        <w:trPr>
          <w:trHeight w:val="290"/>
        </w:trPr>
        <w:tc>
          <w:tcPr>
            <w:tcW w:w="976" w:type="pct"/>
            <w:tcBorders>
              <w:left w:val="nil"/>
              <w:bottom w:val="nil"/>
              <w:right w:val="nil"/>
            </w:tcBorders>
            <w:shd w:val="clear" w:color="auto" w:fill="auto"/>
            <w:noWrap/>
            <w:hideMark/>
          </w:tcPr>
          <w:p w14:paraId="76BF25B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Mbar_A1000</w:t>
            </w:r>
          </w:p>
        </w:tc>
        <w:tc>
          <w:tcPr>
            <w:tcW w:w="3106" w:type="pct"/>
            <w:tcBorders>
              <w:left w:val="nil"/>
              <w:bottom w:val="nil"/>
              <w:right w:val="nil"/>
            </w:tcBorders>
            <w:shd w:val="clear" w:color="auto" w:fill="auto"/>
            <w:noWrap/>
            <w:hideMark/>
          </w:tcPr>
          <w:p w14:paraId="1E171C5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Pyruvate synthase subunit PorA </w:t>
            </w:r>
          </w:p>
        </w:tc>
        <w:tc>
          <w:tcPr>
            <w:tcW w:w="918" w:type="pct"/>
            <w:tcBorders>
              <w:left w:val="nil"/>
              <w:bottom w:val="nil"/>
              <w:right w:val="nil"/>
            </w:tcBorders>
            <w:shd w:val="clear" w:color="auto" w:fill="auto"/>
            <w:noWrap/>
            <w:hideMark/>
          </w:tcPr>
          <w:p w14:paraId="77A6683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1.62</w:t>
            </w:r>
          </w:p>
        </w:tc>
      </w:tr>
      <w:tr w:rsidR="00436CD0" w:rsidRPr="00C44D8C" w14:paraId="0EDA42C7" w14:textId="77777777" w:rsidTr="002B29E5">
        <w:trPr>
          <w:trHeight w:val="290"/>
        </w:trPr>
        <w:tc>
          <w:tcPr>
            <w:tcW w:w="976" w:type="pct"/>
            <w:tcBorders>
              <w:top w:val="nil"/>
              <w:left w:val="nil"/>
              <w:bottom w:val="single" w:sz="4" w:space="0" w:color="auto"/>
              <w:right w:val="nil"/>
            </w:tcBorders>
            <w:shd w:val="clear" w:color="auto" w:fill="auto"/>
            <w:noWrap/>
            <w:hideMark/>
          </w:tcPr>
          <w:p w14:paraId="68899B92" w14:textId="77777777" w:rsidR="00436CD0" w:rsidRPr="00C44D8C" w:rsidRDefault="00436CD0" w:rsidP="00436CD0">
            <w:pPr>
              <w:rPr>
                <w:rFonts w:asciiTheme="minorHAnsi" w:hAnsiTheme="minorHAnsi"/>
                <w:color w:val="000000"/>
                <w:sz w:val="22"/>
                <w:szCs w:val="22"/>
                <w:lang w:eastAsia="en-GB"/>
              </w:rPr>
            </w:pPr>
          </w:p>
        </w:tc>
        <w:tc>
          <w:tcPr>
            <w:tcW w:w="3106" w:type="pct"/>
            <w:tcBorders>
              <w:top w:val="nil"/>
              <w:left w:val="nil"/>
              <w:bottom w:val="single" w:sz="4" w:space="0" w:color="auto"/>
              <w:right w:val="nil"/>
            </w:tcBorders>
            <w:shd w:val="clear" w:color="auto" w:fill="auto"/>
            <w:noWrap/>
            <w:hideMark/>
          </w:tcPr>
          <w:p w14:paraId="022213FF" w14:textId="77777777" w:rsidR="00436CD0" w:rsidRPr="00C44D8C" w:rsidRDefault="00436CD0" w:rsidP="00436CD0">
            <w:pPr>
              <w:rPr>
                <w:rFonts w:asciiTheme="minorHAnsi" w:hAnsiTheme="minorHAnsi"/>
                <w:sz w:val="22"/>
                <w:szCs w:val="22"/>
                <w:lang w:eastAsia="en-GB"/>
              </w:rPr>
            </w:pPr>
          </w:p>
        </w:tc>
        <w:tc>
          <w:tcPr>
            <w:tcW w:w="918" w:type="pct"/>
            <w:tcBorders>
              <w:top w:val="nil"/>
              <w:left w:val="nil"/>
              <w:bottom w:val="single" w:sz="4" w:space="0" w:color="auto"/>
              <w:right w:val="nil"/>
            </w:tcBorders>
            <w:shd w:val="clear" w:color="auto" w:fill="auto"/>
            <w:noWrap/>
            <w:hideMark/>
          </w:tcPr>
          <w:p w14:paraId="7065DCF3" w14:textId="77777777" w:rsidR="00436CD0" w:rsidRPr="00C44D8C" w:rsidRDefault="00436CD0" w:rsidP="00436CD0">
            <w:pPr>
              <w:jc w:val="center"/>
              <w:rPr>
                <w:rFonts w:asciiTheme="minorHAnsi" w:hAnsiTheme="minorHAnsi"/>
                <w:sz w:val="22"/>
                <w:szCs w:val="22"/>
                <w:lang w:eastAsia="en-GB"/>
              </w:rPr>
            </w:pPr>
          </w:p>
        </w:tc>
      </w:tr>
      <w:tr w:rsidR="00436CD0" w:rsidRPr="00C44D8C" w14:paraId="56FED15F" w14:textId="77777777" w:rsidTr="002B29E5">
        <w:trPr>
          <w:trHeight w:val="310"/>
        </w:trPr>
        <w:tc>
          <w:tcPr>
            <w:tcW w:w="5000" w:type="pct"/>
            <w:gridSpan w:val="3"/>
            <w:tcBorders>
              <w:top w:val="single" w:sz="4" w:space="0" w:color="auto"/>
              <w:bottom w:val="nil"/>
              <w:right w:val="nil"/>
            </w:tcBorders>
            <w:shd w:val="clear" w:color="auto" w:fill="auto"/>
            <w:noWrap/>
            <w:hideMark/>
          </w:tcPr>
          <w:p w14:paraId="66409772"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Inorganic ion transport and metabolism</w:t>
            </w:r>
          </w:p>
        </w:tc>
      </w:tr>
      <w:tr w:rsidR="00436CD0" w:rsidRPr="00C44D8C" w14:paraId="200780D2" w14:textId="77777777" w:rsidTr="00436CD0">
        <w:trPr>
          <w:trHeight w:val="290"/>
        </w:trPr>
        <w:tc>
          <w:tcPr>
            <w:tcW w:w="976" w:type="pct"/>
            <w:tcBorders>
              <w:top w:val="nil"/>
              <w:left w:val="nil"/>
              <w:bottom w:val="nil"/>
              <w:right w:val="nil"/>
            </w:tcBorders>
            <w:shd w:val="clear" w:color="auto" w:fill="auto"/>
            <w:noWrap/>
            <w:hideMark/>
          </w:tcPr>
          <w:p w14:paraId="08B3050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Mbar_A3651</w:t>
            </w:r>
          </w:p>
        </w:tc>
        <w:tc>
          <w:tcPr>
            <w:tcW w:w="3106" w:type="pct"/>
            <w:tcBorders>
              <w:top w:val="nil"/>
              <w:left w:val="nil"/>
              <w:bottom w:val="nil"/>
              <w:right w:val="nil"/>
            </w:tcBorders>
            <w:shd w:val="clear" w:color="auto" w:fill="auto"/>
            <w:noWrap/>
            <w:hideMark/>
          </w:tcPr>
          <w:p w14:paraId="56D3A28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HesB protein</w:t>
            </w:r>
          </w:p>
        </w:tc>
        <w:tc>
          <w:tcPr>
            <w:tcW w:w="918" w:type="pct"/>
            <w:tcBorders>
              <w:top w:val="nil"/>
              <w:left w:val="nil"/>
              <w:bottom w:val="nil"/>
              <w:right w:val="nil"/>
            </w:tcBorders>
            <w:shd w:val="clear" w:color="auto" w:fill="auto"/>
            <w:noWrap/>
            <w:hideMark/>
          </w:tcPr>
          <w:p w14:paraId="100EBA2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2.02</w:t>
            </w:r>
          </w:p>
        </w:tc>
      </w:tr>
      <w:tr w:rsidR="00436CD0" w:rsidRPr="00C44D8C" w14:paraId="59011619" w14:textId="77777777" w:rsidTr="00436CD0">
        <w:trPr>
          <w:trHeight w:val="290"/>
        </w:trPr>
        <w:tc>
          <w:tcPr>
            <w:tcW w:w="976" w:type="pct"/>
            <w:tcBorders>
              <w:top w:val="nil"/>
              <w:left w:val="nil"/>
              <w:bottom w:val="nil"/>
              <w:right w:val="nil"/>
            </w:tcBorders>
            <w:shd w:val="clear" w:color="auto" w:fill="auto"/>
            <w:noWrap/>
            <w:hideMark/>
          </w:tcPr>
          <w:p w14:paraId="5AE5C34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Mbar_A0228</w:t>
            </w:r>
          </w:p>
        </w:tc>
        <w:tc>
          <w:tcPr>
            <w:tcW w:w="3106" w:type="pct"/>
            <w:tcBorders>
              <w:top w:val="nil"/>
              <w:left w:val="nil"/>
              <w:bottom w:val="nil"/>
              <w:right w:val="nil"/>
            </w:tcBorders>
            <w:shd w:val="clear" w:color="auto" w:fill="auto"/>
            <w:noWrap/>
            <w:hideMark/>
          </w:tcPr>
          <w:p w14:paraId="3B81E74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Sulfide dehydrogenase </w:t>
            </w:r>
          </w:p>
        </w:tc>
        <w:tc>
          <w:tcPr>
            <w:tcW w:w="918" w:type="pct"/>
            <w:tcBorders>
              <w:top w:val="nil"/>
              <w:left w:val="nil"/>
              <w:bottom w:val="nil"/>
              <w:right w:val="nil"/>
            </w:tcBorders>
            <w:shd w:val="clear" w:color="auto" w:fill="auto"/>
            <w:noWrap/>
            <w:hideMark/>
          </w:tcPr>
          <w:p w14:paraId="0191FF7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1.99</w:t>
            </w:r>
          </w:p>
        </w:tc>
      </w:tr>
      <w:tr w:rsidR="00436CD0" w:rsidRPr="00C44D8C" w14:paraId="6E18239B" w14:textId="77777777" w:rsidTr="00436CD0">
        <w:trPr>
          <w:trHeight w:val="290"/>
        </w:trPr>
        <w:tc>
          <w:tcPr>
            <w:tcW w:w="976" w:type="pct"/>
            <w:tcBorders>
              <w:top w:val="nil"/>
              <w:left w:val="nil"/>
              <w:bottom w:val="nil"/>
              <w:right w:val="nil"/>
            </w:tcBorders>
            <w:shd w:val="clear" w:color="auto" w:fill="auto"/>
            <w:noWrap/>
            <w:hideMark/>
          </w:tcPr>
          <w:p w14:paraId="19B98F9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Mbar_A2290</w:t>
            </w:r>
          </w:p>
        </w:tc>
        <w:tc>
          <w:tcPr>
            <w:tcW w:w="3106" w:type="pct"/>
            <w:tcBorders>
              <w:top w:val="nil"/>
              <w:left w:val="nil"/>
              <w:bottom w:val="nil"/>
              <w:right w:val="nil"/>
            </w:tcBorders>
            <w:shd w:val="clear" w:color="auto" w:fill="auto"/>
            <w:noWrap/>
            <w:hideMark/>
          </w:tcPr>
          <w:p w14:paraId="7EC6058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Coenzyme F420-reducing hydrogenase, beta subunit</w:t>
            </w:r>
          </w:p>
        </w:tc>
        <w:tc>
          <w:tcPr>
            <w:tcW w:w="918" w:type="pct"/>
            <w:tcBorders>
              <w:top w:val="nil"/>
              <w:left w:val="nil"/>
              <w:bottom w:val="nil"/>
              <w:right w:val="nil"/>
            </w:tcBorders>
            <w:shd w:val="clear" w:color="auto" w:fill="auto"/>
            <w:noWrap/>
            <w:hideMark/>
          </w:tcPr>
          <w:p w14:paraId="0DCF8B1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2DAFDBB7" w14:textId="77777777" w:rsidTr="00436CD0">
        <w:trPr>
          <w:trHeight w:val="290"/>
        </w:trPr>
        <w:tc>
          <w:tcPr>
            <w:tcW w:w="976" w:type="pct"/>
            <w:tcBorders>
              <w:top w:val="nil"/>
              <w:left w:val="nil"/>
              <w:bottom w:val="nil"/>
              <w:right w:val="nil"/>
            </w:tcBorders>
            <w:shd w:val="clear" w:color="auto" w:fill="auto"/>
            <w:noWrap/>
            <w:hideMark/>
          </w:tcPr>
          <w:p w14:paraId="2F1AF63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Mbar_A0503</w:t>
            </w:r>
          </w:p>
        </w:tc>
        <w:tc>
          <w:tcPr>
            <w:tcW w:w="3106" w:type="pct"/>
            <w:tcBorders>
              <w:top w:val="nil"/>
              <w:left w:val="nil"/>
              <w:bottom w:val="nil"/>
              <w:right w:val="nil"/>
            </w:tcBorders>
            <w:shd w:val="clear" w:color="auto" w:fill="auto"/>
            <w:noWrap/>
            <w:hideMark/>
          </w:tcPr>
          <w:p w14:paraId="3865184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Aldehyde dehydrogenase </w:t>
            </w:r>
          </w:p>
        </w:tc>
        <w:tc>
          <w:tcPr>
            <w:tcW w:w="918" w:type="pct"/>
            <w:tcBorders>
              <w:top w:val="nil"/>
              <w:left w:val="nil"/>
              <w:bottom w:val="nil"/>
              <w:right w:val="nil"/>
            </w:tcBorders>
            <w:shd w:val="clear" w:color="auto" w:fill="auto"/>
            <w:noWrap/>
            <w:hideMark/>
          </w:tcPr>
          <w:p w14:paraId="1960B29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3332789E" w14:textId="77777777" w:rsidTr="00436CD0">
        <w:trPr>
          <w:trHeight w:val="290"/>
        </w:trPr>
        <w:tc>
          <w:tcPr>
            <w:tcW w:w="976" w:type="pct"/>
            <w:tcBorders>
              <w:top w:val="nil"/>
              <w:left w:val="nil"/>
              <w:bottom w:val="nil"/>
              <w:right w:val="nil"/>
            </w:tcBorders>
            <w:shd w:val="clear" w:color="auto" w:fill="auto"/>
            <w:noWrap/>
            <w:hideMark/>
          </w:tcPr>
          <w:p w14:paraId="4E8CD04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Mbar_A1793</w:t>
            </w:r>
          </w:p>
        </w:tc>
        <w:tc>
          <w:tcPr>
            <w:tcW w:w="3106" w:type="pct"/>
            <w:tcBorders>
              <w:top w:val="nil"/>
              <w:left w:val="nil"/>
              <w:bottom w:val="nil"/>
              <w:right w:val="nil"/>
            </w:tcBorders>
            <w:shd w:val="clear" w:color="auto" w:fill="auto"/>
            <w:noWrap/>
            <w:hideMark/>
          </w:tcPr>
          <w:p w14:paraId="0B1FE52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Metallo cofactor biosynthesis protein</w:t>
            </w:r>
          </w:p>
        </w:tc>
        <w:tc>
          <w:tcPr>
            <w:tcW w:w="918" w:type="pct"/>
            <w:tcBorders>
              <w:top w:val="nil"/>
              <w:left w:val="nil"/>
              <w:bottom w:val="nil"/>
              <w:right w:val="nil"/>
            </w:tcBorders>
            <w:shd w:val="clear" w:color="auto" w:fill="auto"/>
            <w:noWrap/>
            <w:hideMark/>
          </w:tcPr>
          <w:p w14:paraId="61A5DD9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1.93</w:t>
            </w:r>
          </w:p>
        </w:tc>
      </w:tr>
      <w:tr w:rsidR="00436CD0" w:rsidRPr="00C44D8C" w14:paraId="6737B948" w14:textId="77777777" w:rsidTr="00436CD0">
        <w:trPr>
          <w:trHeight w:val="290"/>
        </w:trPr>
        <w:tc>
          <w:tcPr>
            <w:tcW w:w="976" w:type="pct"/>
            <w:tcBorders>
              <w:top w:val="nil"/>
              <w:left w:val="nil"/>
              <w:bottom w:val="nil"/>
              <w:right w:val="nil"/>
            </w:tcBorders>
            <w:shd w:val="clear" w:color="auto" w:fill="auto"/>
            <w:noWrap/>
            <w:hideMark/>
          </w:tcPr>
          <w:p w14:paraId="324A16E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Mbar_A0187</w:t>
            </w:r>
          </w:p>
        </w:tc>
        <w:tc>
          <w:tcPr>
            <w:tcW w:w="3106" w:type="pct"/>
            <w:tcBorders>
              <w:top w:val="nil"/>
              <w:left w:val="nil"/>
              <w:bottom w:val="nil"/>
              <w:right w:val="nil"/>
            </w:tcBorders>
            <w:shd w:val="clear" w:color="auto" w:fill="auto"/>
            <w:noWrap/>
            <w:hideMark/>
          </w:tcPr>
          <w:p w14:paraId="5F5E273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K(+)-insensitive pyrophosphate-energized proton pump </w:t>
            </w:r>
          </w:p>
        </w:tc>
        <w:tc>
          <w:tcPr>
            <w:tcW w:w="918" w:type="pct"/>
            <w:tcBorders>
              <w:top w:val="nil"/>
              <w:left w:val="nil"/>
              <w:bottom w:val="nil"/>
              <w:right w:val="nil"/>
            </w:tcBorders>
            <w:shd w:val="clear" w:color="auto" w:fill="auto"/>
            <w:noWrap/>
            <w:hideMark/>
          </w:tcPr>
          <w:p w14:paraId="3A1232E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315C95F2" w14:textId="77777777" w:rsidTr="00436CD0">
        <w:trPr>
          <w:trHeight w:val="290"/>
        </w:trPr>
        <w:tc>
          <w:tcPr>
            <w:tcW w:w="976" w:type="pct"/>
            <w:tcBorders>
              <w:top w:val="nil"/>
              <w:left w:val="nil"/>
              <w:bottom w:val="nil"/>
              <w:right w:val="nil"/>
            </w:tcBorders>
            <w:shd w:val="clear" w:color="auto" w:fill="auto"/>
            <w:noWrap/>
            <w:hideMark/>
          </w:tcPr>
          <w:p w14:paraId="5FCBF88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Mbar_A1195</w:t>
            </w:r>
          </w:p>
        </w:tc>
        <w:tc>
          <w:tcPr>
            <w:tcW w:w="3106" w:type="pct"/>
            <w:tcBorders>
              <w:top w:val="nil"/>
              <w:left w:val="nil"/>
              <w:bottom w:val="nil"/>
              <w:right w:val="nil"/>
            </w:tcBorders>
            <w:shd w:val="clear" w:color="auto" w:fill="auto"/>
            <w:noWrap/>
            <w:hideMark/>
          </w:tcPr>
          <w:p w14:paraId="2F0AA9D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Polyphosphate kinase </w:t>
            </w:r>
          </w:p>
        </w:tc>
        <w:tc>
          <w:tcPr>
            <w:tcW w:w="918" w:type="pct"/>
            <w:tcBorders>
              <w:top w:val="nil"/>
              <w:left w:val="nil"/>
              <w:bottom w:val="nil"/>
              <w:right w:val="nil"/>
            </w:tcBorders>
            <w:shd w:val="clear" w:color="auto" w:fill="auto"/>
            <w:noWrap/>
            <w:hideMark/>
          </w:tcPr>
          <w:p w14:paraId="4723540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1.89</w:t>
            </w:r>
          </w:p>
        </w:tc>
      </w:tr>
      <w:tr w:rsidR="00436CD0" w:rsidRPr="00C44D8C" w14:paraId="64E70BF3" w14:textId="77777777" w:rsidTr="00436CD0">
        <w:trPr>
          <w:trHeight w:val="290"/>
        </w:trPr>
        <w:tc>
          <w:tcPr>
            <w:tcW w:w="976" w:type="pct"/>
            <w:tcBorders>
              <w:top w:val="nil"/>
              <w:left w:val="nil"/>
              <w:bottom w:val="nil"/>
              <w:right w:val="nil"/>
            </w:tcBorders>
            <w:shd w:val="clear" w:color="auto" w:fill="auto"/>
            <w:noWrap/>
            <w:hideMark/>
          </w:tcPr>
          <w:p w14:paraId="47F13E3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Mbar_A1851</w:t>
            </w:r>
          </w:p>
        </w:tc>
        <w:tc>
          <w:tcPr>
            <w:tcW w:w="3106" w:type="pct"/>
            <w:tcBorders>
              <w:top w:val="nil"/>
              <w:left w:val="nil"/>
              <w:bottom w:val="nil"/>
              <w:right w:val="nil"/>
            </w:tcBorders>
            <w:shd w:val="clear" w:color="auto" w:fill="auto"/>
            <w:noWrap/>
            <w:hideMark/>
          </w:tcPr>
          <w:p w14:paraId="0CED24B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Hydrogenase expression/formation protein</w:t>
            </w:r>
          </w:p>
        </w:tc>
        <w:tc>
          <w:tcPr>
            <w:tcW w:w="918" w:type="pct"/>
            <w:tcBorders>
              <w:top w:val="nil"/>
              <w:left w:val="nil"/>
              <w:bottom w:val="nil"/>
              <w:right w:val="nil"/>
            </w:tcBorders>
            <w:shd w:val="clear" w:color="auto" w:fill="auto"/>
            <w:noWrap/>
            <w:hideMark/>
          </w:tcPr>
          <w:p w14:paraId="00A56A2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573F710C" w14:textId="77777777" w:rsidTr="00436CD0">
        <w:trPr>
          <w:trHeight w:val="290"/>
        </w:trPr>
        <w:tc>
          <w:tcPr>
            <w:tcW w:w="976" w:type="pct"/>
            <w:tcBorders>
              <w:top w:val="nil"/>
              <w:left w:val="nil"/>
              <w:bottom w:val="nil"/>
              <w:right w:val="nil"/>
            </w:tcBorders>
            <w:shd w:val="clear" w:color="auto" w:fill="auto"/>
            <w:noWrap/>
            <w:hideMark/>
          </w:tcPr>
          <w:p w14:paraId="0EC24DB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Mbar_A1868</w:t>
            </w:r>
          </w:p>
        </w:tc>
        <w:tc>
          <w:tcPr>
            <w:tcW w:w="3106" w:type="pct"/>
            <w:tcBorders>
              <w:top w:val="nil"/>
              <w:left w:val="nil"/>
              <w:bottom w:val="nil"/>
              <w:right w:val="nil"/>
            </w:tcBorders>
            <w:shd w:val="clear" w:color="auto" w:fill="auto"/>
            <w:noWrap/>
            <w:hideMark/>
          </w:tcPr>
          <w:p w14:paraId="4F2B00CC" w14:textId="77777777" w:rsidR="00436CD0" w:rsidRPr="00224A2D" w:rsidRDefault="00436CD0" w:rsidP="00436CD0">
            <w:pPr>
              <w:rPr>
                <w:rFonts w:asciiTheme="minorHAnsi" w:hAnsiTheme="minorHAnsi"/>
                <w:color w:val="000000"/>
                <w:sz w:val="22"/>
                <w:szCs w:val="22"/>
                <w:lang w:val="nl-NL" w:eastAsia="en-GB"/>
              </w:rPr>
            </w:pPr>
            <w:r w:rsidRPr="00224A2D">
              <w:rPr>
                <w:rFonts w:asciiTheme="minorHAnsi" w:hAnsiTheme="minorHAnsi"/>
                <w:color w:val="000000"/>
                <w:sz w:val="22"/>
                <w:szCs w:val="22"/>
                <w:lang w:val="nl-NL" w:eastAsia="en-GB"/>
              </w:rPr>
              <w:t>Iron(III) dicitrate-binding protein</w:t>
            </w:r>
          </w:p>
        </w:tc>
        <w:tc>
          <w:tcPr>
            <w:tcW w:w="918" w:type="pct"/>
            <w:tcBorders>
              <w:top w:val="nil"/>
              <w:left w:val="nil"/>
              <w:bottom w:val="nil"/>
              <w:right w:val="nil"/>
            </w:tcBorders>
            <w:shd w:val="clear" w:color="auto" w:fill="auto"/>
            <w:noWrap/>
            <w:hideMark/>
          </w:tcPr>
          <w:p w14:paraId="3FCA843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1.84</w:t>
            </w:r>
          </w:p>
        </w:tc>
      </w:tr>
      <w:tr w:rsidR="00436CD0" w:rsidRPr="00C44D8C" w14:paraId="469F06A8" w14:textId="77777777" w:rsidTr="00436CD0">
        <w:trPr>
          <w:trHeight w:val="290"/>
        </w:trPr>
        <w:tc>
          <w:tcPr>
            <w:tcW w:w="976" w:type="pct"/>
            <w:tcBorders>
              <w:top w:val="nil"/>
              <w:left w:val="nil"/>
              <w:bottom w:val="nil"/>
              <w:right w:val="nil"/>
            </w:tcBorders>
            <w:shd w:val="clear" w:color="auto" w:fill="auto"/>
            <w:noWrap/>
            <w:hideMark/>
          </w:tcPr>
          <w:p w14:paraId="37E0BA3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Mbar_A1848</w:t>
            </w:r>
          </w:p>
        </w:tc>
        <w:tc>
          <w:tcPr>
            <w:tcW w:w="3106" w:type="pct"/>
            <w:tcBorders>
              <w:top w:val="nil"/>
              <w:left w:val="nil"/>
              <w:bottom w:val="nil"/>
              <w:right w:val="nil"/>
            </w:tcBorders>
            <w:shd w:val="clear" w:color="auto" w:fill="auto"/>
            <w:noWrap/>
            <w:hideMark/>
          </w:tcPr>
          <w:p w14:paraId="4355B10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Hydrogenase expression/formation protein</w:t>
            </w:r>
          </w:p>
        </w:tc>
        <w:tc>
          <w:tcPr>
            <w:tcW w:w="918" w:type="pct"/>
            <w:tcBorders>
              <w:top w:val="nil"/>
              <w:left w:val="nil"/>
              <w:bottom w:val="nil"/>
              <w:right w:val="nil"/>
            </w:tcBorders>
            <w:shd w:val="clear" w:color="auto" w:fill="auto"/>
            <w:noWrap/>
            <w:hideMark/>
          </w:tcPr>
          <w:p w14:paraId="4975C8A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1AED1C70" w14:textId="77777777" w:rsidTr="00436CD0">
        <w:trPr>
          <w:trHeight w:val="290"/>
        </w:trPr>
        <w:tc>
          <w:tcPr>
            <w:tcW w:w="976" w:type="pct"/>
            <w:tcBorders>
              <w:top w:val="nil"/>
              <w:left w:val="nil"/>
              <w:bottom w:val="nil"/>
              <w:right w:val="nil"/>
            </w:tcBorders>
            <w:shd w:val="clear" w:color="auto" w:fill="auto"/>
            <w:noWrap/>
            <w:hideMark/>
          </w:tcPr>
          <w:p w14:paraId="5DCF350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Mbar_A1846</w:t>
            </w:r>
          </w:p>
        </w:tc>
        <w:tc>
          <w:tcPr>
            <w:tcW w:w="3106" w:type="pct"/>
            <w:tcBorders>
              <w:top w:val="nil"/>
              <w:left w:val="nil"/>
              <w:bottom w:val="nil"/>
              <w:right w:val="nil"/>
            </w:tcBorders>
            <w:shd w:val="clear" w:color="auto" w:fill="auto"/>
            <w:noWrap/>
            <w:hideMark/>
          </w:tcPr>
          <w:p w14:paraId="7131E06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Methanophenazine-reducing hydrogenase, large subunit (EC 1.12.98.3)</w:t>
            </w:r>
          </w:p>
        </w:tc>
        <w:tc>
          <w:tcPr>
            <w:tcW w:w="918" w:type="pct"/>
            <w:tcBorders>
              <w:top w:val="nil"/>
              <w:left w:val="nil"/>
              <w:bottom w:val="nil"/>
              <w:right w:val="nil"/>
            </w:tcBorders>
            <w:shd w:val="clear" w:color="auto" w:fill="auto"/>
            <w:noWrap/>
            <w:hideMark/>
          </w:tcPr>
          <w:p w14:paraId="217B86B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1.73</w:t>
            </w:r>
          </w:p>
        </w:tc>
      </w:tr>
      <w:tr w:rsidR="00436CD0" w:rsidRPr="00C44D8C" w14:paraId="408085EA" w14:textId="77777777" w:rsidTr="00436CD0">
        <w:trPr>
          <w:trHeight w:val="290"/>
        </w:trPr>
        <w:tc>
          <w:tcPr>
            <w:tcW w:w="976" w:type="pct"/>
            <w:tcBorders>
              <w:top w:val="nil"/>
              <w:left w:val="nil"/>
              <w:bottom w:val="nil"/>
              <w:right w:val="nil"/>
            </w:tcBorders>
            <w:shd w:val="clear" w:color="auto" w:fill="auto"/>
            <w:noWrap/>
            <w:hideMark/>
          </w:tcPr>
          <w:p w14:paraId="1568C05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Mbar_A3322</w:t>
            </w:r>
          </w:p>
        </w:tc>
        <w:tc>
          <w:tcPr>
            <w:tcW w:w="3106" w:type="pct"/>
            <w:tcBorders>
              <w:top w:val="nil"/>
              <w:left w:val="nil"/>
              <w:bottom w:val="nil"/>
              <w:right w:val="nil"/>
            </w:tcBorders>
            <w:shd w:val="clear" w:color="auto" w:fill="auto"/>
            <w:noWrap/>
            <w:hideMark/>
          </w:tcPr>
          <w:p w14:paraId="6EA89B2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NADH-dependent flavine oxidoreductase</w:t>
            </w:r>
          </w:p>
        </w:tc>
        <w:tc>
          <w:tcPr>
            <w:tcW w:w="918" w:type="pct"/>
            <w:tcBorders>
              <w:top w:val="nil"/>
              <w:left w:val="nil"/>
              <w:bottom w:val="nil"/>
              <w:right w:val="nil"/>
            </w:tcBorders>
            <w:shd w:val="clear" w:color="auto" w:fill="auto"/>
            <w:noWrap/>
            <w:hideMark/>
          </w:tcPr>
          <w:p w14:paraId="5555328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1.73</w:t>
            </w:r>
          </w:p>
        </w:tc>
      </w:tr>
      <w:tr w:rsidR="00436CD0" w:rsidRPr="00C44D8C" w14:paraId="6B321D03" w14:textId="77777777" w:rsidTr="00436CD0">
        <w:trPr>
          <w:trHeight w:val="290"/>
        </w:trPr>
        <w:tc>
          <w:tcPr>
            <w:tcW w:w="976" w:type="pct"/>
            <w:tcBorders>
              <w:top w:val="nil"/>
              <w:left w:val="nil"/>
              <w:bottom w:val="nil"/>
              <w:right w:val="nil"/>
            </w:tcBorders>
            <w:shd w:val="clear" w:color="auto" w:fill="auto"/>
            <w:noWrap/>
            <w:hideMark/>
          </w:tcPr>
          <w:p w14:paraId="1D9E3B2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Mbar_A1781</w:t>
            </w:r>
          </w:p>
        </w:tc>
        <w:tc>
          <w:tcPr>
            <w:tcW w:w="3106" w:type="pct"/>
            <w:tcBorders>
              <w:top w:val="nil"/>
              <w:left w:val="nil"/>
              <w:bottom w:val="nil"/>
              <w:right w:val="nil"/>
            </w:tcBorders>
            <w:shd w:val="clear" w:color="auto" w:fill="auto"/>
            <w:noWrap/>
            <w:hideMark/>
          </w:tcPr>
          <w:p w14:paraId="5A50E6A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Phosphate import ATP-binding protein PstB </w:t>
            </w:r>
          </w:p>
        </w:tc>
        <w:tc>
          <w:tcPr>
            <w:tcW w:w="918" w:type="pct"/>
            <w:tcBorders>
              <w:top w:val="nil"/>
              <w:left w:val="nil"/>
              <w:bottom w:val="nil"/>
              <w:right w:val="nil"/>
            </w:tcBorders>
            <w:shd w:val="clear" w:color="auto" w:fill="auto"/>
            <w:noWrap/>
            <w:hideMark/>
          </w:tcPr>
          <w:p w14:paraId="6CAE063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1.71</w:t>
            </w:r>
          </w:p>
        </w:tc>
      </w:tr>
      <w:tr w:rsidR="00436CD0" w:rsidRPr="00C44D8C" w14:paraId="17EB92DE" w14:textId="77777777" w:rsidTr="00436CD0">
        <w:trPr>
          <w:trHeight w:val="290"/>
        </w:trPr>
        <w:tc>
          <w:tcPr>
            <w:tcW w:w="976" w:type="pct"/>
            <w:tcBorders>
              <w:top w:val="nil"/>
              <w:left w:val="nil"/>
              <w:bottom w:val="nil"/>
              <w:right w:val="nil"/>
            </w:tcBorders>
            <w:shd w:val="clear" w:color="auto" w:fill="auto"/>
            <w:noWrap/>
            <w:hideMark/>
          </w:tcPr>
          <w:p w14:paraId="7C8FE79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Mbar_A0227</w:t>
            </w:r>
          </w:p>
        </w:tc>
        <w:tc>
          <w:tcPr>
            <w:tcW w:w="3106" w:type="pct"/>
            <w:tcBorders>
              <w:top w:val="nil"/>
              <w:left w:val="nil"/>
              <w:bottom w:val="nil"/>
              <w:right w:val="nil"/>
            </w:tcBorders>
            <w:shd w:val="clear" w:color="auto" w:fill="auto"/>
            <w:noWrap/>
            <w:hideMark/>
          </w:tcPr>
          <w:p w14:paraId="37B53EB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Sulfide dehydrogenase</w:t>
            </w:r>
          </w:p>
        </w:tc>
        <w:tc>
          <w:tcPr>
            <w:tcW w:w="918" w:type="pct"/>
            <w:tcBorders>
              <w:top w:val="nil"/>
              <w:left w:val="nil"/>
              <w:bottom w:val="nil"/>
              <w:right w:val="nil"/>
            </w:tcBorders>
            <w:shd w:val="clear" w:color="auto" w:fill="auto"/>
            <w:noWrap/>
            <w:hideMark/>
          </w:tcPr>
          <w:p w14:paraId="3F32B8E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1.69</w:t>
            </w:r>
          </w:p>
        </w:tc>
      </w:tr>
      <w:tr w:rsidR="00436CD0" w:rsidRPr="00C44D8C" w14:paraId="7FAF98EA" w14:textId="77777777" w:rsidTr="00436CD0">
        <w:trPr>
          <w:trHeight w:val="290"/>
        </w:trPr>
        <w:tc>
          <w:tcPr>
            <w:tcW w:w="976" w:type="pct"/>
            <w:tcBorders>
              <w:top w:val="nil"/>
              <w:left w:val="nil"/>
              <w:bottom w:val="nil"/>
              <w:right w:val="nil"/>
            </w:tcBorders>
            <w:shd w:val="clear" w:color="auto" w:fill="auto"/>
            <w:noWrap/>
            <w:hideMark/>
          </w:tcPr>
          <w:p w14:paraId="436DFD2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Mbar_A1852</w:t>
            </w:r>
          </w:p>
        </w:tc>
        <w:tc>
          <w:tcPr>
            <w:tcW w:w="3106" w:type="pct"/>
            <w:tcBorders>
              <w:top w:val="nil"/>
              <w:left w:val="nil"/>
              <w:bottom w:val="nil"/>
              <w:right w:val="nil"/>
            </w:tcBorders>
            <w:shd w:val="clear" w:color="auto" w:fill="auto"/>
            <w:noWrap/>
            <w:hideMark/>
          </w:tcPr>
          <w:p w14:paraId="6D969FD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Hydrogenase expression/formation protein</w:t>
            </w:r>
          </w:p>
        </w:tc>
        <w:tc>
          <w:tcPr>
            <w:tcW w:w="918" w:type="pct"/>
            <w:tcBorders>
              <w:top w:val="nil"/>
              <w:left w:val="nil"/>
              <w:bottom w:val="nil"/>
              <w:right w:val="nil"/>
            </w:tcBorders>
            <w:shd w:val="clear" w:color="auto" w:fill="auto"/>
            <w:noWrap/>
            <w:hideMark/>
          </w:tcPr>
          <w:p w14:paraId="467E8B3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1.56</w:t>
            </w:r>
          </w:p>
        </w:tc>
      </w:tr>
      <w:tr w:rsidR="00436CD0" w:rsidRPr="00C44D8C" w14:paraId="0DC15042" w14:textId="77777777" w:rsidTr="00436CD0">
        <w:trPr>
          <w:trHeight w:val="290"/>
        </w:trPr>
        <w:tc>
          <w:tcPr>
            <w:tcW w:w="976" w:type="pct"/>
            <w:tcBorders>
              <w:top w:val="nil"/>
              <w:left w:val="nil"/>
              <w:bottom w:val="nil"/>
              <w:right w:val="nil"/>
            </w:tcBorders>
            <w:shd w:val="clear" w:color="auto" w:fill="auto"/>
            <w:noWrap/>
            <w:hideMark/>
          </w:tcPr>
          <w:p w14:paraId="0E8A445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Mbar_A1849</w:t>
            </w:r>
          </w:p>
        </w:tc>
        <w:tc>
          <w:tcPr>
            <w:tcW w:w="3106" w:type="pct"/>
            <w:tcBorders>
              <w:top w:val="nil"/>
              <w:left w:val="nil"/>
              <w:bottom w:val="nil"/>
              <w:right w:val="nil"/>
            </w:tcBorders>
            <w:shd w:val="clear" w:color="auto" w:fill="auto"/>
            <w:noWrap/>
            <w:hideMark/>
          </w:tcPr>
          <w:p w14:paraId="696C96D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Hydrogenase expression/formation protein</w:t>
            </w:r>
          </w:p>
        </w:tc>
        <w:tc>
          <w:tcPr>
            <w:tcW w:w="918" w:type="pct"/>
            <w:tcBorders>
              <w:top w:val="nil"/>
              <w:left w:val="nil"/>
              <w:bottom w:val="nil"/>
              <w:right w:val="nil"/>
            </w:tcBorders>
            <w:shd w:val="clear" w:color="auto" w:fill="auto"/>
            <w:noWrap/>
            <w:hideMark/>
          </w:tcPr>
          <w:p w14:paraId="05E3C32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1.54</w:t>
            </w:r>
          </w:p>
        </w:tc>
      </w:tr>
      <w:tr w:rsidR="00436CD0" w:rsidRPr="00C44D8C" w14:paraId="600E7124" w14:textId="77777777" w:rsidTr="00436CD0">
        <w:trPr>
          <w:trHeight w:val="290"/>
        </w:trPr>
        <w:tc>
          <w:tcPr>
            <w:tcW w:w="976" w:type="pct"/>
            <w:tcBorders>
              <w:top w:val="nil"/>
              <w:left w:val="nil"/>
              <w:bottom w:val="nil"/>
              <w:right w:val="nil"/>
            </w:tcBorders>
            <w:shd w:val="clear" w:color="auto" w:fill="auto"/>
            <w:noWrap/>
            <w:hideMark/>
          </w:tcPr>
          <w:p w14:paraId="4C30BF3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Mbar_A3112</w:t>
            </w:r>
          </w:p>
        </w:tc>
        <w:tc>
          <w:tcPr>
            <w:tcW w:w="3106" w:type="pct"/>
            <w:tcBorders>
              <w:top w:val="nil"/>
              <w:left w:val="nil"/>
              <w:bottom w:val="nil"/>
              <w:right w:val="nil"/>
            </w:tcBorders>
            <w:shd w:val="clear" w:color="auto" w:fill="auto"/>
            <w:noWrap/>
            <w:hideMark/>
          </w:tcPr>
          <w:p w14:paraId="052415D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Potassium channel protein</w:t>
            </w:r>
          </w:p>
        </w:tc>
        <w:tc>
          <w:tcPr>
            <w:tcW w:w="918" w:type="pct"/>
            <w:tcBorders>
              <w:top w:val="nil"/>
              <w:left w:val="nil"/>
              <w:bottom w:val="nil"/>
              <w:right w:val="nil"/>
            </w:tcBorders>
            <w:shd w:val="clear" w:color="auto" w:fill="auto"/>
            <w:noWrap/>
            <w:hideMark/>
          </w:tcPr>
          <w:p w14:paraId="5465CA4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1.53</w:t>
            </w:r>
          </w:p>
        </w:tc>
      </w:tr>
      <w:tr w:rsidR="00436CD0" w:rsidRPr="00C44D8C" w14:paraId="5E03D68B" w14:textId="77777777" w:rsidTr="00436CD0">
        <w:trPr>
          <w:trHeight w:val="290"/>
        </w:trPr>
        <w:tc>
          <w:tcPr>
            <w:tcW w:w="976" w:type="pct"/>
            <w:tcBorders>
              <w:top w:val="nil"/>
              <w:left w:val="nil"/>
              <w:bottom w:val="nil"/>
              <w:right w:val="nil"/>
            </w:tcBorders>
            <w:shd w:val="clear" w:color="auto" w:fill="auto"/>
            <w:noWrap/>
            <w:hideMark/>
          </w:tcPr>
          <w:p w14:paraId="2517606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Mbar_A0696</w:t>
            </w:r>
          </w:p>
        </w:tc>
        <w:tc>
          <w:tcPr>
            <w:tcW w:w="3106" w:type="pct"/>
            <w:tcBorders>
              <w:top w:val="nil"/>
              <w:left w:val="nil"/>
              <w:bottom w:val="nil"/>
              <w:right w:val="nil"/>
            </w:tcBorders>
            <w:shd w:val="clear" w:color="auto" w:fill="auto"/>
            <w:noWrap/>
            <w:hideMark/>
          </w:tcPr>
          <w:p w14:paraId="0CD904B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Aldehyde ferredoxin oxidoreductase</w:t>
            </w:r>
          </w:p>
        </w:tc>
        <w:tc>
          <w:tcPr>
            <w:tcW w:w="918" w:type="pct"/>
            <w:tcBorders>
              <w:top w:val="nil"/>
              <w:left w:val="nil"/>
              <w:bottom w:val="nil"/>
              <w:right w:val="nil"/>
            </w:tcBorders>
            <w:shd w:val="clear" w:color="auto" w:fill="auto"/>
            <w:noWrap/>
            <w:hideMark/>
          </w:tcPr>
          <w:p w14:paraId="7C97938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1.49</w:t>
            </w:r>
          </w:p>
        </w:tc>
      </w:tr>
      <w:tr w:rsidR="00436CD0" w:rsidRPr="00C44D8C" w14:paraId="3CCAA4E5" w14:textId="77777777" w:rsidTr="00436CD0">
        <w:trPr>
          <w:trHeight w:val="290"/>
        </w:trPr>
        <w:tc>
          <w:tcPr>
            <w:tcW w:w="976" w:type="pct"/>
            <w:tcBorders>
              <w:top w:val="nil"/>
              <w:left w:val="nil"/>
              <w:bottom w:val="nil"/>
              <w:right w:val="nil"/>
            </w:tcBorders>
            <w:shd w:val="clear" w:color="auto" w:fill="auto"/>
            <w:noWrap/>
            <w:hideMark/>
          </w:tcPr>
          <w:p w14:paraId="544A825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Mbar_A0771</w:t>
            </w:r>
          </w:p>
        </w:tc>
        <w:tc>
          <w:tcPr>
            <w:tcW w:w="3106" w:type="pct"/>
            <w:tcBorders>
              <w:top w:val="nil"/>
              <w:left w:val="nil"/>
              <w:bottom w:val="nil"/>
              <w:right w:val="nil"/>
            </w:tcBorders>
            <w:shd w:val="clear" w:color="auto" w:fill="auto"/>
            <w:noWrap/>
            <w:hideMark/>
          </w:tcPr>
          <w:p w14:paraId="49780AE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Zinc-binding alcohol dehydrogenase</w:t>
            </w:r>
          </w:p>
        </w:tc>
        <w:tc>
          <w:tcPr>
            <w:tcW w:w="918" w:type="pct"/>
            <w:tcBorders>
              <w:top w:val="nil"/>
              <w:left w:val="nil"/>
              <w:bottom w:val="nil"/>
              <w:right w:val="nil"/>
            </w:tcBorders>
            <w:shd w:val="clear" w:color="auto" w:fill="auto"/>
            <w:noWrap/>
            <w:hideMark/>
          </w:tcPr>
          <w:p w14:paraId="1D46B64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1.47</w:t>
            </w:r>
          </w:p>
        </w:tc>
      </w:tr>
      <w:tr w:rsidR="00436CD0" w:rsidRPr="00C44D8C" w14:paraId="607A31DA" w14:textId="77777777" w:rsidTr="00436CD0">
        <w:trPr>
          <w:trHeight w:val="290"/>
        </w:trPr>
        <w:tc>
          <w:tcPr>
            <w:tcW w:w="976" w:type="pct"/>
            <w:tcBorders>
              <w:top w:val="nil"/>
              <w:left w:val="nil"/>
              <w:bottom w:val="nil"/>
              <w:right w:val="nil"/>
            </w:tcBorders>
            <w:shd w:val="clear" w:color="auto" w:fill="auto"/>
            <w:noWrap/>
            <w:hideMark/>
          </w:tcPr>
          <w:p w14:paraId="4524B16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Mbar_A0634</w:t>
            </w:r>
          </w:p>
        </w:tc>
        <w:tc>
          <w:tcPr>
            <w:tcW w:w="3106" w:type="pct"/>
            <w:tcBorders>
              <w:top w:val="nil"/>
              <w:left w:val="nil"/>
              <w:bottom w:val="nil"/>
              <w:right w:val="nil"/>
            </w:tcBorders>
            <w:shd w:val="clear" w:color="auto" w:fill="auto"/>
            <w:noWrap/>
            <w:hideMark/>
          </w:tcPr>
          <w:p w14:paraId="2BB63F1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Iron-sulfur cluster carrier protein</w:t>
            </w:r>
          </w:p>
        </w:tc>
        <w:tc>
          <w:tcPr>
            <w:tcW w:w="918" w:type="pct"/>
            <w:tcBorders>
              <w:top w:val="nil"/>
              <w:left w:val="nil"/>
              <w:bottom w:val="nil"/>
              <w:right w:val="nil"/>
            </w:tcBorders>
            <w:shd w:val="clear" w:color="auto" w:fill="auto"/>
            <w:noWrap/>
            <w:hideMark/>
          </w:tcPr>
          <w:p w14:paraId="09A02A0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1.43</w:t>
            </w:r>
          </w:p>
        </w:tc>
      </w:tr>
      <w:tr w:rsidR="00436CD0" w:rsidRPr="00C44D8C" w14:paraId="4BC2610F" w14:textId="77777777" w:rsidTr="002B29E5">
        <w:trPr>
          <w:trHeight w:val="290"/>
        </w:trPr>
        <w:tc>
          <w:tcPr>
            <w:tcW w:w="976" w:type="pct"/>
            <w:tcBorders>
              <w:top w:val="nil"/>
              <w:left w:val="nil"/>
              <w:bottom w:val="single" w:sz="4" w:space="0" w:color="auto"/>
              <w:right w:val="nil"/>
            </w:tcBorders>
            <w:shd w:val="clear" w:color="auto" w:fill="auto"/>
            <w:noWrap/>
            <w:hideMark/>
          </w:tcPr>
          <w:p w14:paraId="4AD75F1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3106" w:type="pct"/>
            <w:tcBorders>
              <w:top w:val="nil"/>
              <w:left w:val="nil"/>
              <w:bottom w:val="single" w:sz="4" w:space="0" w:color="auto"/>
              <w:right w:val="nil"/>
            </w:tcBorders>
            <w:shd w:val="clear" w:color="auto" w:fill="auto"/>
            <w:noWrap/>
            <w:hideMark/>
          </w:tcPr>
          <w:p w14:paraId="43671E7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918" w:type="pct"/>
            <w:tcBorders>
              <w:top w:val="nil"/>
              <w:left w:val="nil"/>
              <w:bottom w:val="single" w:sz="4" w:space="0" w:color="auto"/>
              <w:right w:val="nil"/>
            </w:tcBorders>
            <w:shd w:val="clear" w:color="auto" w:fill="auto"/>
            <w:noWrap/>
            <w:hideMark/>
          </w:tcPr>
          <w:p w14:paraId="660793E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r>
      <w:tr w:rsidR="00436CD0" w:rsidRPr="00C44D8C" w14:paraId="0790FD10" w14:textId="77777777" w:rsidTr="002B29E5">
        <w:trPr>
          <w:trHeight w:val="310"/>
        </w:trPr>
        <w:tc>
          <w:tcPr>
            <w:tcW w:w="5000" w:type="pct"/>
            <w:gridSpan w:val="3"/>
            <w:tcBorders>
              <w:top w:val="single" w:sz="4" w:space="0" w:color="auto"/>
              <w:bottom w:val="nil"/>
              <w:right w:val="nil"/>
            </w:tcBorders>
            <w:shd w:val="clear" w:color="auto" w:fill="auto"/>
            <w:noWrap/>
            <w:hideMark/>
          </w:tcPr>
          <w:p w14:paraId="7B12493F"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Lipid transport and metabolism</w:t>
            </w:r>
          </w:p>
        </w:tc>
      </w:tr>
      <w:tr w:rsidR="00436CD0" w:rsidRPr="00C44D8C" w14:paraId="7F7EB5CA" w14:textId="77777777" w:rsidTr="00436CD0">
        <w:trPr>
          <w:trHeight w:val="290"/>
        </w:trPr>
        <w:tc>
          <w:tcPr>
            <w:tcW w:w="976" w:type="pct"/>
            <w:tcBorders>
              <w:top w:val="nil"/>
              <w:left w:val="nil"/>
              <w:bottom w:val="nil"/>
              <w:right w:val="nil"/>
            </w:tcBorders>
            <w:shd w:val="clear" w:color="auto" w:fill="auto"/>
            <w:noWrap/>
            <w:hideMark/>
          </w:tcPr>
          <w:p w14:paraId="6048F60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Mbar_A1040</w:t>
            </w:r>
          </w:p>
        </w:tc>
        <w:tc>
          <w:tcPr>
            <w:tcW w:w="3106" w:type="pct"/>
            <w:tcBorders>
              <w:top w:val="nil"/>
              <w:left w:val="nil"/>
              <w:bottom w:val="nil"/>
              <w:right w:val="nil"/>
            </w:tcBorders>
            <w:shd w:val="clear" w:color="auto" w:fill="auto"/>
            <w:noWrap/>
            <w:hideMark/>
          </w:tcPr>
          <w:p w14:paraId="6A1237C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Myo-inositol-1-phosphate synthase</w:t>
            </w:r>
          </w:p>
        </w:tc>
        <w:tc>
          <w:tcPr>
            <w:tcW w:w="918" w:type="pct"/>
            <w:tcBorders>
              <w:top w:val="nil"/>
              <w:left w:val="nil"/>
              <w:bottom w:val="nil"/>
              <w:right w:val="nil"/>
            </w:tcBorders>
            <w:shd w:val="clear" w:color="auto" w:fill="auto"/>
            <w:noWrap/>
            <w:hideMark/>
          </w:tcPr>
          <w:p w14:paraId="57F224E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1EDDD5FB" w14:textId="77777777" w:rsidTr="002B29E5">
        <w:trPr>
          <w:trHeight w:val="290"/>
        </w:trPr>
        <w:tc>
          <w:tcPr>
            <w:tcW w:w="976" w:type="pct"/>
            <w:tcBorders>
              <w:top w:val="nil"/>
              <w:left w:val="nil"/>
              <w:bottom w:val="single" w:sz="4" w:space="0" w:color="auto"/>
              <w:right w:val="nil"/>
            </w:tcBorders>
            <w:shd w:val="clear" w:color="auto" w:fill="auto"/>
            <w:noWrap/>
            <w:hideMark/>
          </w:tcPr>
          <w:p w14:paraId="3B10FA9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3106" w:type="pct"/>
            <w:tcBorders>
              <w:top w:val="nil"/>
              <w:left w:val="nil"/>
              <w:bottom w:val="single" w:sz="4" w:space="0" w:color="auto"/>
              <w:right w:val="nil"/>
            </w:tcBorders>
            <w:shd w:val="clear" w:color="auto" w:fill="auto"/>
            <w:noWrap/>
            <w:hideMark/>
          </w:tcPr>
          <w:p w14:paraId="156A8EE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918" w:type="pct"/>
            <w:tcBorders>
              <w:top w:val="nil"/>
              <w:left w:val="nil"/>
              <w:bottom w:val="single" w:sz="4" w:space="0" w:color="auto"/>
              <w:right w:val="nil"/>
            </w:tcBorders>
            <w:shd w:val="clear" w:color="auto" w:fill="auto"/>
            <w:noWrap/>
            <w:hideMark/>
          </w:tcPr>
          <w:p w14:paraId="33FA280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r>
      <w:tr w:rsidR="00436CD0" w:rsidRPr="00C44D8C" w14:paraId="63A03C35" w14:textId="77777777" w:rsidTr="002B29E5">
        <w:trPr>
          <w:trHeight w:val="310"/>
        </w:trPr>
        <w:tc>
          <w:tcPr>
            <w:tcW w:w="5000" w:type="pct"/>
            <w:gridSpan w:val="3"/>
            <w:tcBorders>
              <w:top w:val="single" w:sz="4" w:space="0" w:color="auto"/>
              <w:bottom w:val="nil"/>
              <w:right w:val="nil"/>
            </w:tcBorders>
            <w:shd w:val="clear" w:color="auto" w:fill="auto"/>
            <w:noWrap/>
            <w:hideMark/>
          </w:tcPr>
          <w:p w14:paraId="3F66BE53"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Nucleotide transport and metabolism</w:t>
            </w:r>
          </w:p>
        </w:tc>
      </w:tr>
      <w:tr w:rsidR="00436CD0" w:rsidRPr="00C44D8C" w14:paraId="6F46B5A6" w14:textId="77777777" w:rsidTr="00436CD0">
        <w:trPr>
          <w:trHeight w:val="290"/>
        </w:trPr>
        <w:tc>
          <w:tcPr>
            <w:tcW w:w="976" w:type="pct"/>
            <w:tcBorders>
              <w:top w:val="nil"/>
              <w:left w:val="nil"/>
              <w:bottom w:val="nil"/>
              <w:right w:val="nil"/>
            </w:tcBorders>
            <w:shd w:val="clear" w:color="auto" w:fill="auto"/>
            <w:noWrap/>
            <w:hideMark/>
          </w:tcPr>
          <w:p w14:paraId="1532B71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Mbar_A1467</w:t>
            </w:r>
          </w:p>
        </w:tc>
        <w:tc>
          <w:tcPr>
            <w:tcW w:w="3106" w:type="pct"/>
            <w:tcBorders>
              <w:top w:val="nil"/>
              <w:left w:val="nil"/>
              <w:bottom w:val="nil"/>
              <w:right w:val="nil"/>
            </w:tcBorders>
            <w:shd w:val="clear" w:color="auto" w:fill="auto"/>
            <w:noWrap/>
            <w:hideMark/>
          </w:tcPr>
          <w:p w14:paraId="55A6AE2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Probable dihydroorotate dehydrogenase B </w:t>
            </w:r>
          </w:p>
        </w:tc>
        <w:tc>
          <w:tcPr>
            <w:tcW w:w="918" w:type="pct"/>
            <w:tcBorders>
              <w:top w:val="nil"/>
              <w:left w:val="nil"/>
              <w:bottom w:val="nil"/>
              <w:right w:val="nil"/>
            </w:tcBorders>
            <w:shd w:val="clear" w:color="auto" w:fill="auto"/>
            <w:noWrap/>
            <w:hideMark/>
          </w:tcPr>
          <w:p w14:paraId="7674860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2.15</w:t>
            </w:r>
          </w:p>
        </w:tc>
      </w:tr>
      <w:tr w:rsidR="00436CD0" w:rsidRPr="00C44D8C" w14:paraId="3C6F22A2" w14:textId="77777777" w:rsidTr="00436CD0">
        <w:trPr>
          <w:trHeight w:val="290"/>
        </w:trPr>
        <w:tc>
          <w:tcPr>
            <w:tcW w:w="976" w:type="pct"/>
            <w:tcBorders>
              <w:top w:val="nil"/>
              <w:left w:val="nil"/>
              <w:bottom w:val="nil"/>
              <w:right w:val="nil"/>
            </w:tcBorders>
            <w:shd w:val="clear" w:color="auto" w:fill="auto"/>
            <w:noWrap/>
            <w:hideMark/>
          </w:tcPr>
          <w:p w14:paraId="06B38BE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Mbar_A2389</w:t>
            </w:r>
          </w:p>
        </w:tc>
        <w:tc>
          <w:tcPr>
            <w:tcW w:w="3106" w:type="pct"/>
            <w:tcBorders>
              <w:top w:val="nil"/>
              <w:left w:val="nil"/>
              <w:bottom w:val="nil"/>
              <w:right w:val="nil"/>
            </w:tcBorders>
            <w:shd w:val="clear" w:color="auto" w:fill="auto"/>
            <w:noWrap/>
            <w:hideMark/>
          </w:tcPr>
          <w:p w14:paraId="310BEF3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Glutamyl-tRNA(Gln) amidotransferase subunit E </w:t>
            </w:r>
          </w:p>
        </w:tc>
        <w:tc>
          <w:tcPr>
            <w:tcW w:w="918" w:type="pct"/>
            <w:tcBorders>
              <w:top w:val="nil"/>
              <w:left w:val="nil"/>
              <w:bottom w:val="nil"/>
              <w:right w:val="nil"/>
            </w:tcBorders>
            <w:shd w:val="clear" w:color="auto" w:fill="auto"/>
            <w:noWrap/>
            <w:hideMark/>
          </w:tcPr>
          <w:p w14:paraId="31E5154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2.02</w:t>
            </w:r>
          </w:p>
        </w:tc>
      </w:tr>
      <w:tr w:rsidR="00436CD0" w:rsidRPr="00C44D8C" w14:paraId="71F5C15E" w14:textId="77777777" w:rsidTr="00436CD0">
        <w:trPr>
          <w:trHeight w:val="290"/>
        </w:trPr>
        <w:tc>
          <w:tcPr>
            <w:tcW w:w="976" w:type="pct"/>
            <w:tcBorders>
              <w:top w:val="nil"/>
              <w:left w:val="nil"/>
              <w:bottom w:val="nil"/>
              <w:right w:val="nil"/>
            </w:tcBorders>
            <w:shd w:val="clear" w:color="auto" w:fill="auto"/>
            <w:noWrap/>
            <w:hideMark/>
          </w:tcPr>
          <w:p w14:paraId="0E907DC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Mbar_A1192</w:t>
            </w:r>
          </w:p>
        </w:tc>
        <w:tc>
          <w:tcPr>
            <w:tcW w:w="3106" w:type="pct"/>
            <w:tcBorders>
              <w:top w:val="nil"/>
              <w:left w:val="nil"/>
              <w:bottom w:val="nil"/>
              <w:right w:val="nil"/>
            </w:tcBorders>
            <w:shd w:val="clear" w:color="auto" w:fill="auto"/>
            <w:noWrap/>
            <w:hideMark/>
          </w:tcPr>
          <w:p w14:paraId="583584A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5'-nucleotidase SurE </w:t>
            </w:r>
          </w:p>
        </w:tc>
        <w:tc>
          <w:tcPr>
            <w:tcW w:w="918" w:type="pct"/>
            <w:tcBorders>
              <w:top w:val="nil"/>
              <w:left w:val="nil"/>
              <w:bottom w:val="nil"/>
              <w:right w:val="nil"/>
            </w:tcBorders>
            <w:shd w:val="clear" w:color="auto" w:fill="auto"/>
            <w:noWrap/>
            <w:hideMark/>
          </w:tcPr>
          <w:p w14:paraId="182F845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1.99</w:t>
            </w:r>
          </w:p>
        </w:tc>
      </w:tr>
      <w:tr w:rsidR="00436CD0" w:rsidRPr="00C44D8C" w14:paraId="58AC6EA4" w14:textId="77777777" w:rsidTr="00436CD0">
        <w:trPr>
          <w:trHeight w:val="290"/>
        </w:trPr>
        <w:tc>
          <w:tcPr>
            <w:tcW w:w="976" w:type="pct"/>
            <w:tcBorders>
              <w:top w:val="nil"/>
              <w:left w:val="nil"/>
              <w:bottom w:val="nil"/>
              <w:right w:val="nil"/>
            </w:tcBorders>
            <w:shd w:val="clear" w:color="auto" w:fill="auto"/>
            <w:noWrap/>
            <w:hideMark/>
          </w:tcPr>
          <w:p w14:paraId="7C082E5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Mbar_A0403</w:t>
            </w:r>
          </w:p>
        </w:tc>
        <w:tc>
          <w:tcPr>
            <w:tcW w:w="3106" w:type="pct"/>
            <w:tcBorders>
              <w:top w:val="nil"/>
              <w:left w:val="nil"/>
              <w:bottom w:val="nil"/>
              <w:right w:val="nil"/>
            </w:tcBorders>
            <w:shd w:val="clear" w:color="auto" w:fill="auto"/>
            <w:noWrap/>
            <w:hideMark/>
          </w:tcPr>
          <w:p w14:paraId="60E63E0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Adenylosuccinate synthetase </w:t>
            </w:r>
          </w:p>
        </w:tc>
        <w:tc>
          <w:tcPr>
            <w:tcW w:w="918" w:type="pct"/>
            <w:tcBorders>
              <w:top w:val="nil"/>
              <w:left w:val="nil"/>
              <w:bottom w:val="nil"/>
              <w:right w:val="nil"/>
            </w:tcBorders>
            <w:shd w:val="clear" w:color="auto" w:fill="auto"/>
            <w:noWrap/>
            <w:hideMark/>
          </w:tcPr>
          <w:p w14:paraId="7BE699E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4F59CB41" w14:textId="77777777" w:rsidTr="00436CD0">
        <w:trPr>
          <w:trHeight w:val="290"/>
        </w:trPr>
        <w:tc>
          <w:tcPr>
            <w:tcW w:w="976" w:type="pct"/>
            <w:tcBorders>
              <w:top w:val="nil"/>
              <w:left w:val="nil"/>
              <w:bottom w:val="nil"/>
              <w:right w:val="nil"/>
            </w:tcBorders>
            <w:shd w:val="clear" w:color="auto" w:fill="auto"/>
            <w:noWrap/>
            <w:hideMark/>
          </w:tcPr>
          <w:p w14:paraId="6A1D7D7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Mbar_A1168</w:t>
            </w:r>
          </w:p>
        </w:tc>
        <w:tc>
          <w:tcPr>
            <w:tcW w:w="3106" w:type="pct"/>
            <w:tcBorders>
              <w:top w:val="nil"/>
              <w:left w:val="nil"/>
              <w:bottom w:val="nil"/>
              <w:right w:val="nil"/>
            </w:tcBorders>
            <w:shd w:val="clear" w:color="auto" w:fill="auto"/>
            <w:noWrap/>
            <w:hideMark/>
          </w:tcPr>
          <w:p w14:paraId="0864248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Aspartate carbamoyltransferase </w:t>
            </w:r>
          </w:p>
        </w:tc>
        <w:tc>
          <w:tcPr>
            <w:tcW w:w="918" w:type="pct"/>
            <w:tcBorders>
              <w:top w:val="nil"/>
              <w:left w:val="nil"/>
              <w:bottom w:val="nil"/>
              <w:right w:val="nil"/>
            </w:tcBorders>
            <w:shd w:val="clear" w:color="auto" w:fill="auto"/>
            <w:noWrap/>
            <w:hideMark/>
          </w:tcPr>
          <w:p w14:paraId="04DA8CD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01D66B6D" w14:textId="77777777" w:rsidTr="00436CD0">
        <w:trPr>
          <w:trHeight w:val="290"/>
        </w:trPr>
        <w:tc>
          <w:tcPr>
            <w:tcW w:w="976" w:type="pct"/>
            <w:tcBorders>
              <w:top w:val="nil"/>
              <w:left w:val="nil"/>
              <w:bottom w:val="nil"/>
              <w:right w:val="nil"/>
            </w:tcBorders>
            <w:shd w:val="clear" w:color="auto" w:fill="auto"/>
            <w:noWrap/>
            <w:hideMark/>
          </w:tcPr>
          <w:p w14:paraId="42D74A7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Mbar_A2317</w:t>
            </w:r>
          </w:p>
        </w:tc>
        <w:tc>
          <w:tcPr>
            <w:tcW w:w="3106" w:type="pct"/>
            <w:tcBorders>
              <w:top w:val="nil"/>
              <w:left w:val="nil"/>
              <w:bottom w:val="nil"/>
              <w:right w:val="nil"/>
            </w:tcBorders>
            <w:shd w:val="clear" w:color="auto" w:fill="auto"/>
            <w:noWrap/>
            <w:hideMark/>
          </w:tcPr>
          <w:p w14:paraId="5850868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Formyltetrahydrofolate-dependent phosphoribosylglycinamide formyltransferase </w:t>
            </w:r>
          </w:p>
        </w:tc>
        <w:tc>
          <w:tcPr>
            <w:tcW w:w="918" w:type="pct"/>
            <w:tcBorders>
              <w:top w:val="nil"/>
              <w:left w:val="nil"/>
              <w:bottom w:val="nil"/>
              <w:right w:val="nil"/>
            </w:tcBorders>
            <w:shd w:val="clear" w:color="auto" w:fill="auto"/>
            <w:noWrap/>
            <w:hideMark/>
          </w:tcPr>
          <w:p w14:paraId="2444E37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30EE7586" w14:textId="77777777" w:rsidTr="00436CD0">
        <w:trPr>
          <w:trHeight w:val="290"/>
        </w:trPr>
        <w:tc>
          <w:tcPr>
            <w:tcW w:w="976" w:type="pct"/>
            <w:tcBorders>
              <w:top w:val="nil"/>
              <w:left w:val="nil"/>
              <w:bottom w:val="nil"/>
              <w:right w:val="nil"/>
            </w:tcBorders>
            <w:shd w:val="clear" w:color="auto" w:fill="auto"/>
            <w:noWrap/>
            <w:hideMark/>
          </w:tcPr>
          <w:p w14:paraId="19E3F45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Mbar_A0060</w:t>
            </w:r>
          </w:p>
        </w:tc>
        <w:tc>
          <w:tcPr>
            <w:tcW w:w="3106" w:type="pct"/>
            <w:tcBorders>
              <w:top w:val="nil"/>
              <w:left w:val="nil"/>
              <w:bottom w:val="nil"/>
              <w:right w:val="nil"/>
            </w:tcBorders>
            <w:shd w:val="clear" w:color="auto" w:fill="auto"/>
            <w:noWrap/>
            <w:hideMark/>
          </w:tcPr>
          <w:p w14:paraId="59225D5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Orotidine 5'-phosphate decarboxylase</w:t>
            </w:r>
          </w:p>
        </w:tc>
        <w:tc>
          <w:tcPr>
            <w:tcW w:w="918" w:type="pct"/>
            <w:tcBorders>
              <w:top w:val="nil"/>
              <w:left w:val="nil"/>
              <w:bottom w:val="nil"/>
              <w:right w:val="nil"/>
            </w:tcBorders>
            <w:shd w:val="clear" w:color="auto" w:fill="auto"/>
            <w:noWrap/>
            <w:hideMark/>
          </w:tcPr>
          <w:p w14:paraId="1664B7D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1.84</w:t>
            </w:r>
          </w:p>
        </w:tc>
      </w:tr>
      <w:tr w:rsidR="00436CD0" w:rsidRPr="00C44D8C" w14:paraId="4B6D17A1" w14:textId="77777777" w:rsidTr="00436CD0">
        <w:trPr>
          <w:trHeight w:val="290"/>
        </w:trPr>
        <w:tc>
          <w:tcPr>
            <w:tcW w:w="976" w:type="pct"/>
            <w:tcBorders>
              <w:top w:val="nil"/>
              <w:left w:val="nil"/>
              <w:bottom w:val="nil"/>
              <w:right w:val="nil"/>
            </w:tcBorders>
            <w:shd w:val="clear" w:color="auto" w:fill="auto"/>
            <w:noWrap/>
            <w:hideMark/>
          </w:tcPr>
          <w:p w14:paraId="471F602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lastRenderedPageBreak/>
              <w:t>Mbar_A1167</w:t>
            </w:r>
          </w:p>
        </w:tc>
        <w:tc>
          <w:tcPr>
            <w:tcW w:w="3106" w:type="pct"/>
            <w:tcBorders>
              <w:top w:val="nil"/>
              <w:left w:val="nil"/>
              <w:bottom w:val="nil"/>
              <w:right w:val="nil"/>
            </w:tcBorders>
            <w:shd w:val="clear" w:color="auto" w:fill="auto"/>
            <w:noWrap/>
            <w:hideMark/>
          </w:tcPr>
          <w:p w14:paraId="19B8CD8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Aspartate carbamoyltransferase regulatory chain</w:t>
            </w:r>
          </w:p>
        </w:tc>
        <w:tc>
          <w:tcPr>
            <w:tcW w:w="918" w:type="pct"/>
            <w:tcBorders>
              <w:top w:val="nil"/>
              <w:left w:val="nil"/>
              <w:bottom w:val="nil"/>
              <w:right w:val="nil"/>
            </w:tcBorders>
            <w:shd w:val="clear" w:color="auto" w:fill="auto"/>
            <w:noWrap/>
            <w:hideMark/>
          </w:tcPr>
          <w:p w14:paraId="61B081B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1.77</w:t>
            </w:r>
          </w:p>
        </w:tc>
      </w:tr>
      <w:tr w:rsidR="00436CD0" w:rsidRPr="00C44D8C" w14:paraId="56E0E514" w14:textId="77777777" w:rsidTr="00436CD0">
        <w:trPr>
          <w:trHeight w:val="290"/>
        </w:trPr>
        <w:tc>
          <w:tcPr>
            <w:tcW w:w="976" w:type="pct"/>
            <w:tcBorders>
              <w:top w:val="nil"/>
              <w:left w:val="nil"/>
              <w:bottom w:val="nil"/>
              <w:right w:val="nil"/>
            </w:tcBorders>
            <w:shd w:val="clear" w:color="auto" w:fill="auto"/>
            <w:noWrap/>
            <w:hideMark/>
          </w:tcPr>
          <w:p w14:paraId="333066A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Mbar_A0571</w:t>
            </w:r>
          </w:p>
        </w:tc>
        <w:tc>
          <w:tcPr>
            <w:tcW w:w="3106" w:type="pct"/>
            <w:tcBorders>
              <w:top w:val="nil"/>
              <w:left w:val="nil"/>
              <w:bottom w:val="nil"/>
              <w:right w:val="nil"/>
            </w:tcBorders>
            <w:shd w:val="clear" w:color="auto" w:fill="auto"/>
            <w:noWrap/>
            <w:hideMark/>
          </w:tcPr>
          <w:p w14:paraId="62DE4B5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IMP cyclohydrolase </w:t>
            </w:r>
          </w:p>
        </w:tc>
        <w:tc>
          <w:tcPr>
            <w:tcW w:w="918" w:type="pct"/>
            <w:tcBorders>
              <w:top w:val="nil"/>
              <w:left w:val="nil"/>
              <w:bottom w:val="nil"/>
              <w:right w:val="nil"/>
            </w:tcBorders>
            <w:shd w:val="clear" w:color="auto" w:fill="auto"/>
            <w:noWrap/>
            <w:hideMark/>
          </w:tcPr>
          <w:p w14:paraId="04FC1C9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1.60</w:t>
            </w:r>
          </w:p>
        </w:tc>
      </w:tr>
      <w:tr w:rsidR="00436CD0" w:rsidRPr="00C44D8C" w14:paraId="50612288" w14:textId="77777777" w:rsidTr="00436CD0">
        <w:trPr>
          <w:trHeight w:val="290"/>
        </w:trPr>
        <w:tc>
          <w:tcPr>
            <w:tcW w:w="976" w:type="pct"/>
            <w:tcBorders>
              <w:top w:val="nil"/>
              <w:left w:val="nil"/>
              <w:bottom w:val="nil"/>
              <w:right w:val="nil"/>
            </w:tcBorders>
            <w:shd w:val="clear" w:color="auto" w:fill="auto"/>
            <w:noWrap/>
            <w:hideMark/>
          </w:tcPr>
          <w:p w14:paraId="0CC11A8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Mbar_A0258</w:t>
            </w:r>
          </w:p>
        </w:tc>
        <w:tc>
          <w:tcPr>
            <w:tcW w:w="3106" w:type="pct"/>
            <w:tcBorders>
              <w:top w:val="nil"/>
              <w:left w:val="nil"/>
              <w:bottom w:val="nil"/>
              <w:right w:val="nil"/>
            </w:tcBorders>
            <w:shd w:val="clear" w:color="auto" w:fill="auto"/>
            <w:noWrap/>
            <w:hideMark/>
          </w:tcPr>
          <w:p w14:paraId="6723032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Putative adenylate kinase </w:t>
            </w:r>
          </w:p>
        </w:tc>
        <w:tc>
          <w:tcPr>
            <w:tcW w:w="918" w:type="pct"/>
            <w:tcBorders>
              <w:top w:val="nil"/>
              <w:left w:val="nil"/>
              <w:bottom w:val="nil"/>
              <w:right w:val="nil"/>
            </w:tcBorders>
            <w:shd w:val="clear" w:color="auto" w:fill="auto"/>
            <w:noWrap/>
            <w:hideMark/>
          </w:tcPr>
          <w:p w14:paraId="453D012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1.48</w:t>
            </w:r>
          </w:p>
        </w:tc>
      </w:tr>
      <w:tr w:rsidR="00436CD0" w:rsidRPr="00C44D8C" w14:paraId="0ECD44C9" w14:textId="77777777" w:rsidTr="002B29E5">
        <w:trPr>
          <w:trHeight w:val="290"/>
        </w:trPr>
        <w:tc>
          <w:tcPr>
            <w:tcW w:w="976" w:type="pct"/>
            <w:tcBorders>
              <w:top w:val="nil"/>
              <w:left w:val="nil"/>
              <w:bottom w:val="single" w:sz="4" w:space="0" w:color="auto"/>
              <w:right w:val="nil"/>
            </w:tcBorders>
            <w:shd w:val="clear" w:color="auto" w:fill="auto"/>
            <w:noWrap/>
            <w:hideMark/>
          </w:tcPr>
          <w:p w14:paraId="3976A98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3106" w:type="pct"/>
            <w:tcBorders>
              <w:top w:val="nil"/>
              <w:left w:val="nil"/>
              <w:bottom w:val="single" w:sz="4" w:space="0" w:color="auto"/>
              <w:right w:val="nil"/>
            </w:tcBorders>
            <w:shd w:val="clear" w:color="auto" w:fill="auto"/>
            <w:noWrap/>
            <w:hideMark/>
          </w:tcPr>
          <w:p w14:paraId="1853608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c>
          <w:tcPr>
            <w:tcW w:w="918" w:type="pct"/>
            <w:tcBorders>
              <w:top w:val="nil"/>
              <w:left w:val="nil"/>
              <w:bottom w:val="single" w:sz="4" w:space="0" w:color="auto"/>
              <w:right w:val="nil"/>
            </w:tcBorders>
            <w:shd w:val="clear" w:color="auto" w:fill="auto"/>
            <w:noWrap/>
            <w:hideMark/>
          </w:tcPr>
          <w:p w14:paraId="51AA56B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w:t>
            </w:r>
          </w:p>
        </w:tc>
      </w:tr>
      <w:tr w:rsidR="00436CD0" w:rsidRPr="00C44D8C" w14:paraId="39D137FA" w14:textId="77777777" w:rsidTr="002B29E5">
        <w:trPr>
          <w:trHeight w:val="310"/>
        </w:trPr>
        <w:tc>
          <w:tcPr>
            <w:tcW w:w="5000" w:type="pct"/>
            <w:gridSpan w:val="3"/>
            <w:tcBorders>
              <w:top w:val="single" w:sz="4" w:space="0" w:color="auto"/>
              <w:bottom w:val="nil"/>
              <w:right w:val="nil"/>
            </w:tcBorders>
            <w:shd w:val="clear" w:color="auto" w:fill="auto"/>
            <w:noWrap/>
            <w:hideMark/>
          </w:tcPr>
          <w:p w14:paraId="73D47D20" w14:textId="77777777" w:rsidR="00436CD0" w:rsidRPr="00C44D8C" w:rsidRDefault="00436CD0" w:rsidP="00436CD0">
            <w:pPr>
              <w:rPr>
                <w:rFonts w:asciiTheme="minorHAnsi" w:hAnsiTheme="minorHAnsi"/>
                <w:i/>
                <w:iCs/>
                <w:color w:val="000000"/>
                <w:sz w:val="22"/>
                <w:szCs w:val="22"/>
                <w:lang w:eastAsia="en-GB"/>
              </w:rPr>
            </w:pPr>
            <w:r w:rsidRPr="00C44D8C">
              <w:rPr>
                <w:rFonts w:asciiTheme="minorHAnsi" w:hAnsiTheme="minorHAnsi"/>
                <w:i/>
                <w:iCs/>
                <w:color w:val="000000"/>
                <w:sz w:val="22"/>
                <w:szCs w:val="22"/>
                <w:lang w:eastAsia="en-GB"/>
              </w:rPr>
              <w:t>Secondary metabolites transport and metabolism</w:t>
            </w:r>
          </w:p>
        </w:tc>
      </w:tr>
      <w:tr w:rsidR="00436CD0" w:rsidRPr="00C44D8C" w14:paraId="7E916179" w14:textId="77777777" w:rsidTr="00436CD0">
        <w:trPr>
          <w:trHeight w:val="290"/>
        </w:trPr>
        <w:tc>
          <w:tcPr>
            <w:tcW w:w="976" w:type="pct"/>
            <w:tcBorders>
              <w:top w:val="nil"/>
              <w:left w:val="nil"/>
              <w:bottom w:val="nil"/>
              <w:right w:val="nil"/>
            </w:tcBorders>
            <w:shd w:val="clear" w:color="auto" w:fill="auto"/>
            <w:noWrap/>
            <w:hideMark/>
          </w:tcPr>
          <w:p w14:paraId="2A5D355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Mbar_A1438</w:t>
            </w:r>
          </w:p>
        </w:tc>
        <w:tc>
          <w:tcPr>
            <w:tcW w:w="3106" w:type="pct"/>
            <w:tcBorders>
              <w:top w:val="nil"/>
              <w:left w:val="nil"/>
              <w:bottom w:val="nil"/>
              <w:right w:val="nil"/>
            </w:tcBorders>
            <w:shd w:val="clear" w:color="auto" w:fill="auto"/>
            <w:noWrap/>
            <w:hideMark/>
          </w:tcPr>
          <w:p w14:paraId="54D3CA9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Chorismate synthase</w:t>
            </w:r>
          </w:p>
        </w:tc>
        <w:tc>
          <w:tcPr>
            <w:tcW w:w="918" w:type="pct"/>
            <w:tcBorders>
              <w:top w:val="nil"/>
              <w:left w:val="nil"/>
              <w:bottom w:val="nil"/>
              <w:right w:val="nil"/>
            </w:tcBorders>
            <w:shd w:val="clear" w:color="auto" w:fill="auto"/>
            <w:noWrap/>
            <w:hideMark/>
          </w:tcPr>
          <w:p w14:paraId="5C107625"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2.52</w:t>
            </w:r>
          </w:p>
        </w:tc>
      </w:tr>
      <w:tr w:rsidR="00436CD0" w:rsidRPr="00C44D8C" w14:paraId="1177A814" w14:textId="77777777" w:rsidTr="00436CD0">
        <w:trPr>
          <w:trHeight w:val="290"/>
        </w:trPr>
        <w:tc>
          <w:tcPr>
            <w:tcW w:w="976" w:type="pct"/>
            <w:tcBorders>
              <w:top w:val="nil"/>
              <w:left w:val="nil"/>
              <w:bottom w:val="nil"/>
              <w:right w:val="nil"/>
            </w:tcBorders>
            <w:shd w:val="clear" w:color="auto" w:fill="auto"/>
            <w:noWrap/>
            <w:hideMark/>
          </w:tcPr>
          <w:p w14:paraId="2A555EB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Mbar_A0626</w:t>
            </w:r>
          </w:p>
        </w:tc>
        <w:tc>
          <w:tcPr>
            <w:tcW w:w="3106" w:type="pct"/>
            <w:tcBorders>
              <w:top w:val="nil"/>
              <w:left w:val="nil"/>
              <w:bottom w:val="nil"/>
              <w:right w:val="nil"/>
            </w:tcBorders>
            <w:shd w:val="clear" w:color="auto" w:fill="auto"/>
            <w:noWrap/>
            <w:hideMark/>
          </w:tcPr>
          <w:p w14:paraId="281F3A6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Cobalt-factor II C20-methyltransferase </w:t>
            </w:r>
          </w:p>
        </w:tc>
        <w:tc>
          <w:tcPr>
            <w:tcW w:w="918" w:type="pct"/>
            <w:tcBorders>
              <w:top w:val="nil"/>
              <w:left w:val="nil"/>
              <w:bottom w:val="nil"/>
              <w:right w:val="nil"/>
            </w:tcBorders>
            <w:shd w:val="clear" w:color="auto" w:fill="auto"/>
            <w:noWrap/>
            <w:hideMark/>
          </w:tcPr>
          <w:p w14:paraId="5110ED9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2.19</w:t>
            </w:r>
          </w:p>
        </w:tc>
      </w:tr>
      <w:tr w:rsidR="00436CD0" w:rsidRPr="00C44D8C" w14:paraId="09855563" w14:textId="77777777" w:rsidTr="00436CD0">
        <w:trPr>
          <w:trHeight w:val="290"/>
        </w:trPr>
        <w:tc>
          <w:tcPr>
            <w:tcW w:w="976" w:type="pct"/>
            <w:tcBorders>
              <w:top w:val="nil"/>
              <w:left w:val="nil"/>
              <w:bottom w:val="nil"/>
              <w:right w:val="nil"/>
            </w:tcBorders>
            <w:shd w:val="clear" w:color="auto" w:fill="auto"/>
            <w:noWrap/>
            <w:hideMark/>
          </w:tcPr>
          <w:p w14:paraId="3677C22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Mbar_A2424</w:t>
            </w:r>
          </w:p>
        </w:tc>
        <w:tc>
          <w:tcPr>
            <w:tcW w:w="3106" w:type="pct"/>
            <w:tcBorders>
              <w:top w:val="nil"/>
              <w:left w:val="nil"/>
              <w:bottom w:val="nil"/>
              <w:right w:val="nil"/>
            </w:tcBorders>
            <w:shd w:val="clear" w:color="auto" w:fill="auto"/>
            <w:noWrap/>
            <w:hideMark/>
          </w:tcPr>
          <w:p w14:paraId="2B606FE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Cysteine desulfurase IscS </w:t>
            </w:r>
          </w:p>
        </w:tc>
        <w:tc>
          <w:tcPr>
            <w:tcW w:w="918" w:type="pct"/>
            <w:tcBorders>
              <w:top w:val="nil"/>
              <w:left w:val="nil"/>
              <w:bottom w:val="nil"/>
              <w:right w:val="nil"/>
            </w:tcBorders>
            <w:shd w:val="clear" w:color="auto" w:fill="auto"/>
            <w:noWrap/>
            <w:hideMark/>
          </w:tcPr>
          <w:p w14:paraId="2DB1653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2.03</w:t>
            </w:r>
          </w:p>
        </w:tc>
      </w:tr>
      <w:tr w:rsidR="00436CD0" w:rsidRPr="00C44D8C" w14:paraId="18730062" w14:textId="77777777" w:rsidTr="00436CD0">
        <w:trPr>
          <w:trHeight w:val="290"/>
        </w:trPr>
        <w:tc>
          <w:tcPr>
            <w:tcW w:w="976" w:type="pct"/>
            <w:tcBorders>
              <w:top w:val="nil"/>
              <w:left w:val="nil"/>
              <w:bottom w:val="nil"/>
              <w:right w:val="nil"/>
            </w:tcBorders>
            <w:shd w:val="clear" w:color="auto" w:fill="auto"/>
            <w:noWrap/>
            <w:hideMark/>
          </w:tcPr>
          <w:p w14:paraId="5B297F5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Mbar_A1972</w:t>
            </w:r>
          </w:p>
        </w:tc>
        <w:tc>
          <w:tcPr>
            <w:tcW w:w="3106" w:type="pct"/>
            <w:tcBorders>
              <w:top w:val="nil"/>
              <w:left w:val="nil"/>
              <w:bottom w:val="nil"/>
              <w:right w:val="nil"/>
            </w:tcBorders>
            <w:shd w:val="clear" w:color="auto" w:fill="auto"/>
            <w:noWrap/>
            <w:hideMark/>
          </w:tcPr>
          <w:p w14:paraId="62073EA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3-hydroxy-3-methylglutaryl coenzyme A reductase </w:t>
            </w:r>
          </w:p>
        </w:tc>
        <w:tc>
          <w:tcPr>
            <w:tcW w:w="918" w:type="pct"/>
            <w:tcBorders>
              <w:top w:val="nil"/>
              <w:left w:val="nil"/>
              <w:bottom w:val="nil"/>
              <w:right w:val="nil"/>
            </w:tcBorders>
            <w:shd w:val="clear" w:color="auto" w:fill="auto"/>
            <w:noWrap/>
            <w:hideMark/>
          </w:tcPr>
          <w:p w14:paraId="4AFAF41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2.00</w:t>
            </w:r>
          </w:p>
        </w:tc>
      </w:tr>
      <w:tr w:rsidR="00436CD0" w:rsidRPr="00C44D8C" w14:paraId="3BC43D39" w14:textId="77777777" w:rsidTr="002B29E5">
        <w:trPr>
          <w:trHeight w:val="290"/>
        </w:trPr>
        <w:tc>
          <w:tcPr>
            <w:tcW w:w="976" w:type="pct"/>
            <w:tcBorders>
              <w:top w:val="nil"/>
              <w:left w:val="nil"/>
              <w:right w:val="nil"/>
            </w:tcBorders>
            <w:shd w:val="clear" w:color="auto" w:fill="auto"/>
            <w:noWrap/>
            <w:hideMark/>
          </w:tcPr>
          <w:p w14:paraId="0EE263E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Mbar_A3126</w:t>
            </w:r>
          </w:p>
        </w:tc>
        <w:tc>
          <w:tcPr>
            <w:tcW w:w="3106" w:type="pct"/>
            <w:tcBorders>
              <w:top w:val="nil"/>
              <w:left w:val="nil"/>
              <w:right w:val="nil"/>
            </w:tcBorders>
            <w:shd w:val="clear" w:color="auto" w:fill="auto"/>
            <w:noWrap/>
            <w:hideMark/>
          </w:tcPr>
          <w:p w14:paraId="1E1F668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Chorismate mutase </w:t>
            </w:r>
          </w:p>
        </w:tc>
        <w:tc>
          <w:tcPr>
            <w:tcW w:w="918" w:type="pct"/>
            <w:tcBorders>
              <w:top w:val="nil"/>
              <w:left w:val="nil"/>
              <w:right w:val="nil"/>
            </w:tcBorders>
            <w:shd w:val="clear" w:color="auto" w:fill="auto"/>
            <w:noWrap/>
            <w:hideMark/>
          </w:tcPr>
          <w:p w14:paraId="35ACA86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1.98</w:t>
            </w:r>
          </w:p>
        </w:tc>
      </w:tr>
      <w:tr w:rsidR="00436CD0" w:rsidRPr="00C44D8C" w14:paraId="75D0BA01" w14:textId="77777777" w:rsidTr="002B29E5">
        <w:trPr>
          <w:trHeight w:val="290"/>
        </w:trPr>
        <w:tc>
          <w:tcPr>
            <w:tcW w:w="976" w:type="pct"/>
            <w:tcBorders>
              <w:left w:val="nil"/>
              <w:bottom w:val="nil"/>
              <w:right w:val="nil"/>
            </w:tcBorders>
            <w:shd w:val="clear" w:color="auto" w:fill="auto"/>
            <w:noWrap/>
            <w:hideMark/>
          </w:tcPr>
          <w:p w14:paraId="263F1D8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Mbar_A3127</w:t>
            </w:r>
          </w:p>
        </w:tc>
        <w:tc>
          <w:tcPr>
            <w:tcW w:w="3106" w:type="pct"/>
            <w:tcBorders>
              <w:left w:val="nil"/>
              <w:bottom w:val="nil"/>
              <w:right w:val="nil"/>
            </w:tcBorders>
            <w:shd w:val="clear" w:color="auto" w:fill="auto"/>
            <w:noWrap/>
            <w:hideMark/>
          </w:tcPr>
          <w:p w14:paraId="5E5D18C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Shikimate kinase </w:t>
            </w:r>
          </w:p>
        </w:tc>
        <w:tc>
          <w:tcPr>
            <w:tcW w:w="918" w:type="pct"/>
            <w:tcBorders>
              <w:left w:val="nil"/>
              <w:bottom w:val="nil"/>
              <w:right w:val="nil"/>
            </w:tcBorders>
            <w:shd w:val="clear" w:color="auto" w:fill="auto"/>
            <w:noWrap/>
            <w:hideMark/>
          </w:tcPr>
          <w:p w14:paraId="348BE4AE"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1.90</w:t>
            </w:r>
          </w:p>
        </w:tc>
      </w:tr>
      <w:tr w:rsidR="00436CD0" w:rsidRPr="00C44D8C" w14:paraId="3E7F10A0" w14:textId="77777777" w:rsidTr="00436CD0">
        <w:trPr>
          <w:trHeight w:val="290"/>
        </w:trPr>
        <w:tc>
          <w:tcPr>
            <w:tcW w:w="976" w:type="pct"/>
            <w:tcBorders>
              <w:top w:val="nil"/>
              <w:left w:val="nil"/>
              <w:bottom w:val="nil"/>
              <w:right w:val="nil"/>
            </w:tcBorders>
            <w:shd w:val="clear" w:color="auto" w:fill="auto"/>
            <w:noWrap/>
            <w:hideMark/>
          </w:tcPr>
          <w:p w14:paraId="637CAD8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Mbar_A2214</w:t>
            </w:r>
          </w:p>
        </w:tc>
        <w:tc>
          <w:tcPr>
            <w:tcW w:w="3106" w:type="pct"/>
            <w:tcBorders>
              <w:top w:val="nil"/>
              <w:left w:val="nil"/>
              <w:bottom w:val="nil"/>
              <w:right w:val="nil"/>
            </w:tcBorders>
            <w:shd w:val="clear" w:color="auto" w:fill="auto"/>
            <w:noWrap/>
            <w:hideMark/>
          </w:tcPr>
          <w:p w14:paraId="411AD75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2-oxoacid ferredoxin oxidoreductase, subunit alpha</w:t>
            </w:r>
          </w:p>
        </w:tc>
        <w:tc>
          <w:tcPr>
            <w:tcW w:w="918" w:type="pct"/>
            <w:tcBorders>
              <w:top w:val="nil"/>
              <w:left w:val="nil"/>
              <w:bottom w:val="nil"/>
              <w:right w:val="nil"/>
            </w:tcBorders>
            <w:shd w:val="clear" w:color="auto" w:fill="auto"/>
            <w:noWrap/>
            <w:hideMark/>
          </w:tcPr>
          <w:p w14:paraId="3DC4B5C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679FC49A" w14:textId="77777777" w:rsidTr="00436CD0">
        <w:trPr>
          <w:trHeight w:val="290"/>
        </w:trPr>
        <w:tc>
          <w:tcPr>
            <w:tcW w:w="976" w:type="pct"/>
            <w:tcBorders>
              <w:top w:val="nil"/>
              <w:left w:val="nil"/>
              <w:bottom w:val="nil"/>
              <w:right w:val="nil"/>
            </w:tcBorders>
            <w:shd w:val="clear" w:color="auto" w:fill="auto"/>
            <w:noWrap/>
            <w:hideMark/>
          </w:tcPr>
          <w:p w14:paraId="2BADA8D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Mbar_A0721</w:t>
            </w:r>
          </w:p>
        </w:tc>
        <w:tc>
          <w:tcPr>
            <w:tcW w:w="3106" w:type="pct"/>
            <w:tcBorders>
              <w:top w:val="nil"/>
              <w:left w:val="nil"/>
              <w:bottom w:val="nil"/>
              <w:right w:val="nil"/>
            </w:tcBorders>
            <w:shd w:val="clear" w:color="auto" w:fill="auto"/>
            <w:noWrap/>
            <w:hideMark/>
          </w:tcPr>
          <w:p w14:paraId="4032E3F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Alpha-phosphoglucomutase </w:t>
            </w:r>
          </w:p>
        </w:tc>
        <w:tc>
          <w:tcPr>
            <w:tcW w:w="918" w:type="pct"/>
            <w:tcBorders>
              <w:top w:val="nil"/>
              <w:left w:val="nil"/>
              <w:bottom w:val="nil"/>
              <w:right w:val="nil"/>
            </w:tcBorders>
            <w:shd w:val="clear" w:color="auto" w:fill="auto"/>
            <w:noWrap/>
            <w:hideMark/>
          </w:tcPr>
          <w:p w14:paraId="7B6187B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1.88</w:t>
            </w:r>
          </w:p>
        </w:tc>
      </w:tr>
      <w:tr w:rsidR="00436CD0" w:rsidRPr="00C44D8C" w14:paraId="218F11E0" w14:textId="77777777" w:rsidTr="00436CD0">
        <w:trPr>
          <w:trHeight w:val="290"/>
        </w:trPr>
        <w:tc>
          <w:tcPr>
            <w:tcW w:w="976" w:type="pct"/>
            <w:tcBorders>
              <w:top w:val="nil"/>
              <w:left w:val="nil"/>
              <w:bottom w:val="nil"/>
              <w:right w:val="nil"/>
            </w:tcBorders>
            <w:shd w:val="clear" w:color="auto" w:fill="auto"/>
            <w:noWrap/>
            <w:hideMark/>
          </w:tcPr>
          <w:p w14:paraId="77463B6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Mbar_A0363</w:t>
            </w:r>
          </w:p>
        </w:tc>
        <w:tc>
          <w:tcPr>
            <w:tcW w:w="3106" w:type="pct"/>
            <w:tcBorders>
              <w:top w:val="nil"/>
              <w:left w:val="nil"/>
              <w:bottom w:val="nil"/>
              <w:right w:val="nil"/>
            </w:tcBorders>
            <w:shd w:val="clear" w:color="auto" w:fill="auto"/>
            <w:noWrap/>
            <w:hideMark/>
          </w:tcPr>
          <w:p w14:paraId="5C62017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Ribose-phosphate pyrophosphokinase</w:t>
            </w:r>
          </w:p>
        </w:tc>
        <w:tc>
          <w:tcPr>
            <w:tcW w:w="918" w:type="pct"/>
            <w:tcBorders>
              <w:top w:val="nil"/>
              <w:left w:val="nil"/>
              <w:bottom w:val="nil"/>
              <w:right w:val="nil"/>
            </w:tcBorders>
            <w:shd w:val="clear" w:color="auto" w:fill="auto"/>
            <w:noWrap/>
            <w:hideMark/>
          </w:tcPr>
          <w:p w14:paraId="36DEEF4C"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238EFD9A" w14:textId="77777777" w:rsidTr="00436CD0">
        <w:trPr>
          <w:trHeight w:val="290"/>
        </w:trPr>
        <w:tc>
          <w:tcPr>
            <w:tcW w:w="976" w:type="pct"/>
            <w:tcBorders>
              <w:top w:val="nil"/>
              <w:left w:val="nil"/>
              <w:bottom w:val="nil"/>
              <w:right w:val="nil"/>
            </w:tcBorders>
            <w:shd w:val="clear" w:color="auto" w:fill="auto"/>
            <w:noWrap/>
            <w:hideMark/>
          </w:tcPr>
          <w:p w14:paraId="08AD7AF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Mbar_A0137</w:t>
            </w:r>
          </w:p>
        </w:tc>
        <w:tc>
          <w:tcPr>
            <w:tcW w:w="3106" w:type="pct"/>
            <w:tcBorders>
              <w:top w:val="nil"/>
              <w:left w:val="nil"/>
              <w:bottom w:val="nil"/>
              <w:right w:val="nil"/>
            </w:tcBorders>
            <w:shd w:val="clear" w:color="auto" w:fill="auto"/>
            <w:noWrap/>
            <w:hideMark/>
          </w:tcPr>
          <w:p w14:paraId="02543A1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7-cyano-7-deazaguanine synthase</w:t>
            </w:r>
          </w:p>
        </w:tc>
        <w:tc>
          <w:tcPr>
            <w:tcW w:w="918" w:type="pct"/>
            <w:tcBorders>
              <w:top w:val="nil"/>
              <w:left w:val="nil"/>
              <w:bottom w:val="nil"/>
              <w:right w:val="nil"/>
            </w:tcBorders>
            <w:shd w:val="clear" w:color="auto" w:fill="auto"/>
            <w:noWrap/>
            <w:hideMark/>
          </w:tcPr>
          <w:p w14:paraId="744559B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1.86</w:t>
            </w:r>
          </w:p>
        </w:tc>
      </w:tr>
      <w:tr w:rsidR="00436CD0" w:rsidRPr="00C44D8C" w14:paraId="2A95B15C" w14:textId="77777777" w:rsidTr="00436CD0">
        <w:trPr>
          <w:trHeight w:val="290"/>
        </w:trPr>
        <w:tc>
          <w:tcPr>
            <w:tcW w:w="976" w:type="pct"/>
            <w:tcBorders>
              <w:top w:val="nil"/>
              <w:left w:val="nil"/>
              <w:bottom w:val="nil"/>
              <w:right w:val="nil"/>
            </w:tcBorders>
            <w:shd w:val="clear" w:color="auto" w:fill="auto"/>
            <w:noWrap/>
            <w:hideMark/>
          </w:tcPr>
          <w:p w14:paraId="3FA3B1C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Mbar_A3192</w:t>
            </w:r>
          </w:p>
        </w:tc>
        <w:tc>
          <w:tcPr>
            <w:tcW w:w="3106" w:type="pct"/>
            <w:tcBorders>
              <w:top w:val="nil"/>
              <w:left w:val="nil"/>
              <w:bottom w:val="nil"/>
              <w:right w:val="nil"/>
            </w:tcBorders>
            <w:shd w:val="clear" w:color="auto" w:fill="auto"/>
            <w:noWrap/>
            <w:hideMark/>
          </w:tcPr>
          <w:p w14:paraId="05E7AE9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Alanine dehydrogenase</w:t>
            </w:r>
          </w:p>
        </w:tc>
        <w:tc>
          <w:tcPr>
            <w:tcW w:w="918" w:type="pct"/>
            <w:tcBorders>
              <w:top w:val="nil"/>
              <w:left w:val="nil"/>
              <w:bottom w:val="nil"/>
              <w:right w:val="nil"/>
            </w:tcBorders>
            <w:shd w:val="clear" w:color="auto" w:fill="auto"/>
            <w:noWrap/>
            <w:hideMark/>
          </w:tcPr>
          <w:p w14:paraId="24213FB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5EE922E1" w14:textId="77777777" w:rsidTr="00436CD0">
        <w:trPr>
          <w:trHeight w:val="290"/>
        </w:trPr>
        <w:tc>
          <w:tcPr>
            <w:tcW w:w="976" w:type="pct"/>
            <w:tcBorders>
              <w:top w:val="nil"/>
              <w:left w:val="nil"/>
              <w:bottom w:val="nil"/>
              <w:right w:val="nil"/>
            </w:tcBorders>
            <w:shd w:val="clear" w:color="auto" w:fill="auto"/>
            <w:noWrap/>
            <w:hideMark/>
          </w:tcPr>
          <w:p w14:paraId="4BC1EF8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Mbar_A1462</w:t>
            </w:r>
          </w:p>
        </w:tc>
        <w:tc>
          <w:tcPr>
            <w:tcW w:w="3106" w:type="pct"/>
            <w:tcBorders>
              <w:top w:val="nil"/>
              <w:left w:val="nil"/>
              <w:bottom w:val="nil"/>
              <w:right w:val="nil"/>
            </w:tcBorders>
            <w:shd w:val="clear" w:color="auto" w:fill="auto"/>
            <w:noWrap/>
            <w:hideMark/>
          </w:tcPr>
          <w:p w14:paraId="6A0E4D4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Glutamyl-tRNA reductase</w:t>
            </w:r>
          </w:p>
        </w:tc>
        <w:tc>
          <w:tcPr>
            <w:tcW w:w="918" w:type="pct"/>
            <w:tcBorders>
              <w:top w:val="nil"/>
              <w:left w:val="nil"/>
              <w:bottom w:val="nil"/>
              <w:right w:val="nil"/>
            </w:tcBorders>
            <w:shd w:val="clear" w:color="auto" w:fill="auto"/>
            <w:noWrap/>
            <w:hideMark/>
          </w:tcPr>
          <w:p w14:paraId="41B8859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1.85</w:t>
            </w:r>
          </w:p>
        </w:tc>
      </w:tr>
      <w:tr w:rsidR="00436CD0" w:rsidRPr="00C44D8C" w14:paraId="57E0CEAB" w14:textId="77777777" w:rsidTr="00436CD0">
        <w:trPr>
          <w:trHeight w:val="290"/>
        </w:trPr>
        <w:tc>
          <w:tcPr>
            <w:tcW w:w="976" w:type="pct"/>
            <w:tcBorders>
              <w:top w:val="nil"/>
              <w:left w:val="nil"/>
              <w:bottom w:val="nil"/>
              <w:right w:val="nil"/>
            </w:tcBorders>
            <w:shd w:val="clear" w:color="auto" w:fill="auto"/>
            <w:noWrap/>
            <w:hideMark/>
          </w:tcPr>
          <w:p w14:paraId="30EC00B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Mbar_A0550</w:t>
            </w:r>
          </w:p>
        </w:tc>
        <w:tc>
          <w:tcPr>
            <w:tcW w:w="3106" w:type="pct"/>
            <w:tcBorders>
              <w:top w:val="nil"/>
              <w:left w:val="nil"/>
              <w:bottom w:val="nil"/>
              <w:right w:val="nil"/>
            </w:tcBorders>
            <w:shd w:val="clear" w:color="auto" w:fill="auto"/>
            <w:noWrap/>
            <w:hideMark/>
          </w:tcPr>
          <w:p w14:paraId="68E3F9F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Acetyl-CoA acyltransferase</w:t>
            </w:r>
          </w:p>
        </w:tc>
        <w:tc>
          <w:tcPr>
            <w:tcW w:w="918" w:type="pct"/>
            <w:tcBorders>
              <w:top w:val="nil"/>
              <w:left w:val="nil"/>
              <w:bottom w:val="nil"/>
              <w:right w:val="nil"/>
            </w:tcBorders>
            <w:shd w:val="clear" w:color="auto" w:fill="auto"/>
            <w:noWrap/>
            <w:hideMark/>
          </w:tcPr>
          <w:p w14:paraId="0CF96D3F"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1.84</w:t>
            </w:r>
          </w:p>
        </w:tc>
      </w:tr>
      <w:tr w:rsidR="00436CD0" w:rsidRPr="00C44D8C" w14:paraId="5841A8DC" w14:textId="77777777" w:rsidTr="00436CD0">
        <w:trPr>
          <w:trHeight w:val="290"/>
        </w:trPr>
        <w:tc>
          <w:tcPr>
            <w:tcW w:w="976" w:type="pct"/>
            <w:tcBorders>
              <w:top w:val="nil"/>
              <w:left w:val="nil"/>
              <w:bottom w:val="nil"/>
              <w:right w:val="nil"/>
            </w:tcBorders>
            <w:shd w:val="clear" w:color="auto" w:fill="auto"/>
            <w:noWrap/>
            <w:hideMark/>
          </w:tcPr>
          <w:p w14:paraId="66656C9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Mbar_A0199 </w:t>
            </w:r>
          </w:p>
        </w:tc>
        <w:tc>
          <w:tcPr>
            <w:tcW w:w="3106" w:type="pct"/>
            <w:tcBorders>
              <w:top w:val="nil"/>
              <w:left w:val="nil"/>
              <w:bottom w:val="nil"/>
              <w:right w:val="nil"/>
            </w:tcBorders>
            <w:shd w:val="clear" w:color="auto" w:fill="auto"/>
            <w:noWrap/>
            <w:hideMark/>
          </w:tcPr>
          <w:p w14:paraId="5C0370A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Acetyl-CoA decarbonylase/synthase gamma subunit </w:t>
            </w:r>
          </w:p>
        </w:tc>
        <w:tc>
          <w:tcPr>
            <w:tcW w:w="918" w:type="pct"/>
            <w:tcBorders>
              <w:top w:val="nil"/>
              <w:left w:val="nil"/>
              <w:bottom w:val="nil"/>
              <w:right w:val="nil"/>
            </w:tcBorders>
            <w:shd w:val="clear" w:color="auto" w:fill="auto"/>
            <w:noWrap/>
            <w:hideMark/>
          </w:tcPr>
          <w:p w14:paraId="0B04F54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1.82</w:t>
            </w:r>
          </w:p>
        </w:tc>
      </w:tr>
      <w:tr w:rsidR="00436CD0" w:rsidRPr="00C44D8C" w14:paraId="6650AF35" w14:textId="77777777" w:rsidTr="00436CD0">
        <w:trPr>
          <w:trHeight w:val="290"/>
        </w:trPr>
        <w:tc>
          <w:tcPr>
            <w:tcW w:w="976" w:type="pct"/>
            <w:tcBorders>
              <w:top w:val="nil"/>
              <w:left w:val="nil"/>
              <w:bottom w:val="nil"/>
              <w:right w:val="nil"/>
            </w:tcBorders>
            <w:shd w:val="clear" w:color="auto" w:fill="auto"/>
            <w:noWrap/>
            <w:hideMark/>
          </w:tcPr>
          <w:p w14:paraId="69F7EF7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Mbar_A3513</w:t>
            </w:r>
          </w:p>
        </w:tc>
        <w:tc>
          <w:tcPr>
            <w:tcW w:w="3106" w:type="pct"/>
            <w:tcBorders>
              <w:top w:val="nil"/>
              <w:left w:val="nil"/>
              <w:bottom w:val="nil"/>
              <w:right w:val="nil"/>
            </w:tcBorders>
            <w:shd w:val="clear" w:color="auto" w:fill="auto"/>
            <w:noWrap/>
            <w:hideMark/>
          </w:tcPr>
          <w:p w14:paraId="67AB7A0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Phosphoribosylamine--glycine ligase </w:t>
            </w:r>
          </w:p>
        </w:tc>
        <w:tc>
          <w:tcPr>
            <w:tcW w:w="918" w:type="pct"/>
            <w:tcBorders>
              <w:top w:val="nil"/>
              <w:left w:val="nil"/>
              <w:bottom w:val="nil"/>
              <w:right w:val="nil"/>
            </w:tcBorders>
            <w:shd w:val="clear" w:color="auto" w:fill="auto"/>
            <w:noWrap/>
            <w:hideMark/>
          </w:tcPr>
          <w:p w14:paraId="3874724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1.80</w:t>
            </w:r>
          </w:p>
        </w:tc>
      </w:tr>
      <w:tr w:rsidR="00436CD0" w:rsidRPr="00C44D8C" w14:paraId="2BBA1B1A" w14:textId="77777777" w:rsidTr="00436CD0">
        <w:trPr>
          <w:trHeight w:val="290"/>
        </w:trPr>
        <w:tc>
          <w:tcPr>
            <w:tcW w:w="976" w:type="pct"/>
            <w:tcBorders>
              <w:top w:val="nil"/>
              <w:left w:val="nil"/>
              <w:bottom w:val="nil"/>
              <w:right w:val="nil"/>
            </w:tcBorders>
            <w:shd w:val="clear" w:color="auto" w:fill="auto"/>
            <w:noWrap/>
            <w:hideMark/>
          </w:tcPr>
          <w:p w14:paraId="405E84E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Mbar_A3057</w:t>
            </w:r>
          </w:p>
        </w:tc>
        <w:tc>
          <w:tcPr>
            <w:tcW w:w="3106" w:type="pct"/>
            <w:tcBorders>
              <w:top w:val="nil"/>
              <w:left w:val="nil"/>
              <w:bottom w:val="nil"/>
              <w:right w:val="nil"/>
            </w:tcBorders>
            <w:shd w:val="clear" w:color="auto" w:fill="auto"/>
            <w:noWrap/>
            <w:hideMark/>
          </w:tcPr>
          <w:p w14:paraId="051D8D6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dCMP deaminase</w:t>
            </w:r>
          </w:p>
        </w:tc>
        <w:tc>
          <w:tcPr>
            <w:tcW w:w="918" w:type="pct"/>
            <w:tcBorders>
              <w:top w:val="nil"/>
              <w:left w:val="nil"/>
              <w:bottom w:val="nil"/>
              <w:right w:val="nil"/>
            </w:tcBorders>
            <w:shd w:val="clear" w:color="auto" w:fill="auto"/>
            <w:noWrap/>
            <w:hideMark/>
          </w:tcPr>
          <w:p w14:paraId="59C6691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1.80</w:t>
            </w:r>
          </w:p>
        </w:tc>
      </w:tr>
      <w:tr w:rsidR="00436CD0" w:rsidRPr="00C44D8C" w14:paraId="066F338C" w14:textId="77777777" w:rsidTr="00436CD0">
        <w:trPr>
          <w:trHeight w:val="290"/>
        </w:trPr>
        <w:tc>
          <w:tcPr>
            <w:tcW w:w="976" w:type="pct"/>
            <w:tcBorders>
              <w:top w:val="nil"/>
              <w:left w:val="nil"/>
              <w:bottom w:val="nil"/>
              <w:right w:val="nil"/>
            </w:tcBorders>
            <w:shd w:val="clear" w:color="auto" w:fill="auto"/>
            <w:noWrap/>
            <w:hideMark/>
          </w:tcPr>
          <w:p w14:paraId="1DAE916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Mbar_A1396</w:t>
            </w:r>
          </w:p>
        </w:tc>
        <w:tc>
          <w:tcPr>
            <w:tcW w:w="3106" w:type="pct"/>
            <w:tcBorders>
              <w:top w:val="nil"/>
              <w:left w:val="nil"/>
              <w:bottom w:val="nil"/>
              <w:right w:val="nil"/>
            </w:tcBorders>
            <w:shd w:val="clear" w:color="auto" w:fill="auto"/>
            <w:noWrap/>
            <w:hideMark/>
          </w:tcPr>
          <w:p w14:paraId="4D0E12C2"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Pyruvate phosphate dikinase</w:t>
            </w:r>
          </w:p>
        </w:tc>
        <w:tc>
          <w:tcPr>
            <w:tcW w:w="918" w:type="pct"/>
            <w:tcBorders>
              <w:top w:val="nil"/>
              <w:left w:val="nil"/>
              <w:bottom w:val="nil"/>
              <w:right w:val="nil"/>
            </w:tcBorders>
            <w:shd w:val="clear" w:color="auto" w:fill="auto"/>
            <w:noWrap/>
            <w:hideMark/>
          </w:tcPr>
          <w:p w14:paraId="2FF2889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1.80</w:t>
            </w:r>
          </w:p>
        </w:tc>
      </w:tr>
      <w:tr w:rsidR="00436CD0" w:rsidRPr="00C44D8C" w14:paraId="4D3CBF2A" w14:textId="77777777" w:rsidTr="00436CD0">
        <w:trPr>
          <w:trHeight w:val="290"/>
        </w:trPr>
        <w:tc>
          <w:tcPr>
            <w:tcW w:w="976" w:type="pct"/>
            <w:tcBorders>
              <w:top w:val="nil"/>
              <w:left w:val="nil"/>
              <w:bottom w:val="nil"/>
              <w:right w:val="nil"/>
            </w:tcBorders>
            <w:shd w:val="clear" w:color="auto" w:fill="auto"/>
            <w:noWrap/>
            <w:hideMark/>
          </w:tcPr>
          <w:p w14:paraId="73192CC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Mbar_A1792</w:t>
            </w:r>
          </w:p>
        </w:tc>
        <w:tc>
          <w:tcPr>
            <w:tcW w:w="3106" w:type="pct"/>
            <w:tcBorders>
              <w:top w:val="nil"/>
              <w:left w:val="nil"/>
              <w:bottom w:val="nil"/>
              <w:right w:val="nil"/>
            </w:tcBorders>
            <w:shd w:val="clear" w:color="auto" w:fill="auto"/>
            <w:noWrap/>
            <w:hideMark/>
          </w:tcPr>
          <w:p w14:paraId="27D844A9"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Uroporphyrinogen-III synthase </w:t>
            </w:r>
          </w:p>
        </w:tc>
        <w:tc>
          <w:tcPr>
            <w:tcW w:w="918" w:type="pct"/>
            <w:tcBorders>
              <w:top w:val="nil"/>
              <w:left w:val="nil"/>
              <w:bottom w:val="nil"/>
              <w:right w:val="nil"/>
            </w:tcBorders>
            <w:shd w:val="clear" w:color="auto" w:fill="auto"/>
            <w:noWrap/>
            <w:hideMark/>
          </w:tcPr>
          <w:p w14:paraId="2ECEC3D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1.79</w:t>
            </w:r>
          </w:p>
        </w:tc>
      </w:tr>
      <w:tr w:rsidR="00436CD0" w:rsidRPr="00C44D8C" w14:paraId="167C163B" w14:textId="77777777" w:rsidTr="00436CD0">
        <w:trPr>
          <w:trHeight w:val="290"/>
        </w:trPr>
        <w:tc>
          <w:tcPr>
            <w:tcW w:w="976" w:type="pct"/>
            <w:tcBorders>
              <w:top w:val="nil"/>
              <w:left w:val="nil"/>
              <w:bottom w:val="nil"/>
              <w:right w:val="nil"/>
            </w:tcBorders>
            <w:shd w:val="clear" w:color="auto" w:fill="auto"/>
            <w:noWrap/>
            <w:hideMark/>
          </w:tcPr>
          <w:p w14:paraId="2E7E8BD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Mbar_A3471</w:t>
            </w:r>
          </w:p>
        </w:tc>
        <w:tc>
          <w:tcPr>
            <w:tcW w:w="3106" w:type="pct"/>
            <w:tcBorders>
              <w:top w:val="nil"/>
              <w:left w:val="nil"/>
              <w:bottom w:val="nil"/>
              <w:right w:val="nil"/>
            </w:tcBorders>
            <w:shd w:val="clear" w:color="auto" w:fill="auto"/>
            <w:noWrap/>
            <w:hideMark/>
          </w:tcPr>
          <w:p w14:paraId="47C7B24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PyrE-like protein 2</w:t>
            </w:r>
          </w:p>
        </w:tc>
        <w:tc>
          <w:tcPr>
            <w:tcW w:w="918" w:type="pct"/>
            <w:tcBorders>
              <w:top w:val="nil"/>
              <w:left w:val="nil"/>
              <w:bottom w:val="nil"/>
              <w:right w:val="nil"/>
            </w:tcBorders>
            <w:shd w:val="clear" w:color="auto" w:fill="auto"/>
            <w:noWrap/>
            <w:hideMark/>
          </w:tcPr>
          <w:p w14:paraId="530F8C0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1.77</w:t>
            </w:r>
          </w:p>
        </w:tc>
      </w:tr>
      <w:tr w:rsidR="00436CD0" w:rsidRPr="00C44D8C" w14:paraId="6CE0D49C" w14:textId="77777777" w:rsidTr="00436CD0">
        <w:trPr>
          <w:trHeight w:val="290"/>
        </w:trPr>
        <w:tc>
          <w:tcPr>
            <w:tcW w:w="976" w:type="pct"/>
            <w:tcBorders>
              <w:top w:val="nil"/>
              <w:left w:val="nil"/>
              <w:bottom w:val="nil"/>
              <w:right w:val="nil"/>
            </w:tcBorders>
            <w:shd w:val="clear" w:color="auto" w:fill="auto"/>
            <w:noWrap/>
            <w:hideMark/>
          </w:tcPr>
          <w:p w14:paraId="316D8A8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Mbar_A1465</w:t>
            </w:r>
          </w:p>
        </w:tc>
        <w:tc>
          <w:tcPr>
            <w:tcW w:w="3106" w:type="pct"/>
            <w:tcBorders>
              <w:top w:val="nil"/>
              <w:left w:val="nil"/>
              <w:bottom w:val="nil"/>
              <w:right w:val="nil"/>
            </w:tcBorders>
            <w:shd w:val="clear" w:color="auto" w:fill="auto"/>
            <w:noWrap/>
            <w:hideMark/>
          </w:tcPr>
          <w:p w14:paraId="5269617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Probable porphobilinogen deaminase </w:t>
            </w:r>
          </w:p>
        </w:tc>
        <w:tc>
          <w:tcPr>
            <w:tcW w:w="918" w:type="pct"/>
            <w:tcBorders>
              <w:top w:val="nil"/>
              <w:left w:val="nil"/>
              <w:bottom w:val="nil"/>
              <w:right w:val="nil"/>
            </w:tcBorders>
            <w:shd w:val="clear" w:color="auto" w:fill="auto"/>
            <w:noWrap/>
            <w:hideMark/>
          </w:tcPr>
          <w:p w14:paraId="2FCD2A69"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1.77</w:t>
            </w:r>
          </w:p>
        </w:tc>
      </w:tr>
      <w:tr w:rsidR="00436CD0" w:rsidRPr="00C44D8C" w14:paraId="5C4B95B8" w14:textId="77777777" w:rsidTr="00436CD0">
        <w:trPr>
          <w:trHeight w:val="290"/>
        </w:trPr>
        <w:tc>
          <w:tcPr>
            <w:tcW w:w="976" w:type="pct"/>
            <w:tcBorders>
              <w:top w:val="nil"/>
              <w:left w:val="nil"/>
              <w:bottom w:val="nil"/>
              <w:right w:val="nil"/>
            </w:tcBorders>
            <w:shd w:val="clear" w:color="auto" w:fill="auto"/>
            <w:noWrap/>
            <w:hideMark/>
          </w:tcPr>
          <w:p w14:paraId="0849560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Mbar_A0211</w:t>
            </w:r>
          </w:p>
        </w:tc>
        <w:tc>
          <w:tcPr>
            <w:tcW w:w="3106" w:type="pct"/>
            <w:tcBorders>
              <w:top w:val="nil"/>
              <w:left w:val="nil"/>
              <w:bottom w:val="nil"/>
              <w:right w:val="nil"/>
            </w:tcBorders>
            <w:shd w:val="clear" w:color="auto" w:fill="auto"/>
            <w:noWrap/>
            <w:hideMark/>
          </w:tcPr>
          <w:p w14:paraId="007690B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Phenylacetate-CoA ligase </w:t>
            </w:r>
          </w:p>
        </w:tc>
        <w:tc>
          <w:tcPr>
            <w:tcW w:w="918" w:type="pct"/>
            <w:tcBorders>
              <w:top w:val="nil"/>
              <w:left w:val="nil"/>
              <w:bottom w:val="nil"/>
              <w:right w:val="nil"/>
            </w:tcBorders>
            <w:shd w:val="clear" w:color="auto" w:fill="auto"/>
            <w:noWrap/>
            <w:hideMark/>
          </w:tcPr>
          <w:p w14:paraId="5F9B1A4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63A7842F" w14:textId="77777777" w:rsidTr="00436CD0">
        <w:trPr>
          <w:trHeight w:val="290"/>
        </w:trPr>
        <w:tc>
          <w:tcPr>
            <w:tcW w:w="976" w:type="pct"/>
            <w:tcBorders>
              <w:top w:val="nil"/>
              <w:left w:val="nil"/>
              <w:bottom w:val="nil"/>
              <w:right w:val="nil"/>
            </w:tcBorders>
            <w:shd w:val="clear" w:color="auto" w:fill="auto"/>
            <w:noWrap/>
            <w:hideMark/>
          </w:tcPr>
          <w:p w14:paraId="5ABB922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Mbar_A0673</w:t>
            </w:r>
          </w:p>
        </w:tc>
        <w:tc>
          <w:tcPr>
            <w:tcW w:w="3106" w:type="pct"/>
            <w:tcBorders>
              <w:top w:val="nil"/>
              <w:left w:val="nil"/>
              <w:bottom w:val="nil"/>
              <w:right w:val="nil"/>
            </w:tcBorders>
            <w:shd w:val="clear" w:color="auto" w:fill="auto"/>
            <w:noWrap/>
            <w:hideMark/>
          </w:tcPr>
          <w:p w14:paraId="68E3BC7C"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Adenylosuccinate lyase</w:t>
            </w:r>
          </w:p>
        </w:tc>
        <w:tc>
          <w:tcPr>
            <w:tcW w:w="918" w:type="pct"/>
            <w:tcBorders>
              <w:top w:val="nil"/>
              <w:left w:val="nil"/>
              <w:bottom w:val="nil"/>
              <w:right w:val="nil"/>
            </w:tcBorders>
            <w:shd w:val="clear" w:color="auto" w:fill="auto"/>
            <w:noWrap/>
            <w:hideMark/>
          </w:tcPr>
          <w:p w14:paraId="03C2CFB8"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1.76</w:t>
            </w:r>
          </w:p>
        </w:tc>
      </w:tr>
      <w:tr w:rsidR="00436CD0" w:rsidRPr="00C44D8C" w14:paraId="22385526" w14:textId="77777777" w:rsidTr="00436CD0">
        <w:trPr>
          <w:trHeight w:val="290"/>
        </w:trPr>
        <w:tc>
          <w:tcPr>
            <w:tcW w:w="976" w:type="pct"/>
            <w:tcBorders>
              <w:top w:val="nil"/>
              <w:left w:val="nil"/>
              <w:bottom w:val="nil"/>
              <w:right w:val="nil"/>
            </w:tcBorders>
            <w:shd w:val="clear" w:color="auto" w:fill="auto"/>
            <w:noWrap/>
            <w:hideMark/>
          </w:tcPr>
          <w:p w14:paraId="2C86DDB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Mbar_A1821</w:t>
            </w:r>
          </w:p>
        </w:tc>
        <w:tc>
          <w:tcPr>
            <w:tcW w:w="3106" w:type="pct"/>
            <w:tcBorders>
              <w:top w:val="nil"/>
              <w:left w:val="nil"/>
              <w:bottom w:val="nil"/>
              <w:right w:val="nil"/>
            </w:tcBorders>
            <w:shd w:val="clear" w:color="auto" w:fill="auto"/>
            <w:noWrap/>
            <w:hideMark/>
          </w:tcPr>
          <w:p w14:paraId="4CF4526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Phosphotransacetylase </w:t>
            </w:r>
          </w:p>
        </w:tc>
        <w:tc>
          <w:tcPr>
            <w:tcW w:w="918" w:type="pct"/>
            <w:tcBorders>
              <w:top w:val="nil"/>
              <w:left w:val="nil"/>
              <w:bottom w:val="nil"/>
              <w:right w:val="nil"/>
            </w:tcBorders>
            <w:shd w:val="clear" w:color="auto" w:fill="auto"/>
            <w:noWrap/>
            <w:hideMark/>
          </w:tcPr>
          <w:p w14:paraId="540A179A"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1.72</w:t>
            </w:r>
          </w:p>
        </w:tc>
      </w:tr>
      <w:tr w:rsidR="00436CD0" w:rsidRPr="00C44D8C" w14:paraId="50DB69AE" w14:textId="77777777" w:rsidTr="00436CD0">
        <w:trPr>
          <w:trHeight w:val="290"/>
        </w:trPr>
        <w:tc>
          <w:tcPr>
            <w:tcW w:w="976" w:type="pct"/>
            <w:tcBorders>
              <w:top w:val="nil"/>
              <w:left w:val="nil"/>
              <w:bottom w:val="nil"/>
              <w:right w:val="nil"/>
            </w:tcBorders>
            <w:shd w:val="clear" w:color="auto" w:fill="auto"/>
            <w:noWrap/>
            <w:hideMark/>
          </w:tcPr>
          <w:p w14:paraId="6627635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Mbar_A0057</w:t>
            </w:r>
          </w:p>
        </w:tc>
        <w:tc>
          <w:tcPr>
            <w:tcW w:w="3106" w:type="pct"/>
            <w:tcBorders>
              <w:top w:val="nil"/>
              <w:left w:val="nil"/>
              <w:bottom w:val="nil"/>
              <w:right w:val="nil"/>
            </w:tcBorders>
            <w:shd w:val="clear" w:color="auto" w:fill="auto"/>
            <w:noWrap/>
            <w:hideMark/>
          </w:tcPr>
          <w:p w14:paraId="101B57A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Indolepyruvate ferredoxin oxidoreductase, subunit iorB </w:t>
            </w:r>
          </w:p>
        </w:tc>
        <w:tc>
          <w:tcPr>
            <w:tcW w:w="918" w:type="pct"/>
            <w:tcBorders>
              <w:top w:val="nil"/>
              <w:left w:val="nil"/>
              <w:bottom w:val="nil"/>
              <w:right w:val="nil"/>
            </w:tcBorders>
            <w:shd w:val="clear" w:color="auto" w:fill="auto"/>
            <w:noWrap/>
            <w:hideMark/>
          </w:tcPr>
          <w:p w14:paraId="03FE60FD"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499B3F7A" w14:textId="77777777" w:rsidTr="00436CD0">
        <w:trPr>
          <w:trHeight w:val="290"/>
        </w:trPr>
        <w:tc>
          <w:tcPr>
            <w:tcW w:w="976" w:type="pct"/>
            <w:tcBorders>
              <w:top w:val="nil"/>
              <w:left w:val="nil"/>
              <w:bottom w:val="nil"/>
              <w:right w:val="nil"/>
            </w:tcBorders>
            <w:shd w:val="clear" w:color="auto" w:fill="auto"/>
            <w:noWrap/>
            <w:hideMark/>
          </w:tcPr>
          <w:p w14:paraId="0C7212A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Mbar_A0531</w:t>
            </w:r>
          </w:p>
        </w:tc>
        <w:tc>
          <w:tcPr>
            <w:tcW w:w="3106" w:type="pct"/>
            <w:tcBorders>
              <w:top w:val="nil"/>
              <w:left w:val="nil"/>
              <w:bottom w:val="nil"/>
              <w:right w:val="nil"/>
            </w:tcBorders>
            <w:shd w:val="clear" w:color="auto" w:fill="auto"/>
            <w:noWrap/>
            <w:hideMark/>
          </w:tcPr>
          <w:p w14:paraId="0F424D5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Phosphoribosylaminoimidazole-succinocarboxamide synthase </w:t>
            </w:r>
          </w:p>
        </w:tc>
        <w:tc>
          <w:tcPr>
            <w:tcW w:w="918" w:type="pct"/>
            <w:tcBorders>
              <w:top w:val="nil"/>
              <w:left w:val="nil"/>
              <w:bottom w:val="nil"/>
              <w:right w:val="nil"/>
            </w:tcBorders>
            <w:shd w:val="clear" w:color="auto" w:fill="auto"/>
            <w:noWrap/>
            <w:hideMark/>
          </w:tcPr>
          <w:p w14:paraId="7D9EA134"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1.70</w:t>
            </w:r>
          </w:p>
        </w:tc>
      </w:tr>
      <w:tr w:rsidR="00436CD0" w:rsidRPr="00C44D8C" w14:paraId="06DB12F0" w14:textId="77777777" w:rsidTr="00436CD0">
        <w:trPr>
          <w:trHeight w:val="290"/>
        </w:trPr>
        <w:tc>
          <w:tcPr>
            <w:tcW w:w="976" w:type="pct"/>
            <w:tcBorders>
              <w:top w:val="nil"/>
              <w:left w:val="nil"/>
              <w:bottom w:val="nil"/>
              <w:right w:val="nil"/>
            </w:tcBorders>
            <w:shd w:val="clear" w:color="auto" w:fill="auto"/>
            <w:noWrap/>
            <w:hideMark/>
          </w:tcPr>
          <w:p w14:paraId="63DF0143"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Mbar_A1791</w:t>
            </w:r>
          </w:p>
        </w:tc>
        <w:tc>
          <w:tcPr>
            <w:tcW w:w="3106" w:type="pct"/>
            <w:tcBorders>
              <w:top w:val="nil"/>
              <w:left w:val="nil"/>
              <w:bottom w:val="nil"/>
              <w:right w:val="nil"/>
            </w:tcBorders>
            <w:shd w:val="clear" w:color="auto" w:fill="auto"/>
            <w:noWrap/>
            <w:hideMark/>
          </w:tcPr>
          <w:p w14:paraId="7D404E4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S-adenosyl-L-methionine-dependent uroporphyrinogen III methyltransferase</w:t>
            </w:r>
          </w:p>
        </w:tc>
        <w:tc>
          <w:tcPr>
            <w:tcW w:w="918" w:type="pct"/>
            <w:tcBorders>
              <w:top w:val="nil"/>
              <w:left w:val="nil"/>
              <w:bottom w:val="nil"/>
              <w:right w:val="nil"/>
            </w:tcBorders>
            <w:shd w:val="clear" w:color="auto" w:fill="auto"/>
            <w:noWrap/>
            <w:hideMark/>
          </w:tcPr>
          <w:p w14:paraId="27085CC1"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1.69</w:t>
            </w:r>
          </w:p>
        </w:tc>
      </w:tr>
      <w:tr w:rsidR="00436CD0" w:rsidRPr="00C44D8C" w14:paraId="4AC4F823" w14:textId="77777777" w:rsidTr="00436CD0">
        <w:trPr>
          <w:trHeight w:val="290"/>
        </w:trPr>
        <w:tc>
          <w:tcPr>
            <w:tcW w:w="976" w:type="pct"/>
            <w:tcBorders>
              <w:top w:val="nil"/>
              <w:left w:val="nil"/>
              <w:bottom w:val="nil"/>
              <w:right w:val="nil"/>
            </w:tcBorders>
            <w:shd w:val="clear" w:color="auto" w:fill="auto"/>
            <w:noWrap/>
            <w:hideMark/>
          </w:tcPr>
          <w:p w14:paraId="1D7224DB"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Mbar_A0762</w:t>
            </w:r>
          </w:p>
        </w:tc>
        <w:tc>
          <w:tcPr>
            <w:tcW w:w="3106" w:type="pct"/>
            <w:tcBorders>
              <w:top w:val="nil"/>
              <w:left w:val="nil"/>
              <w:bottom w:val="nil"/>
              <w:right w:val="nil"/>
            </w:tcBorders>
            <w:shd w:val="clear" w:color="auto" w:fill="auto"/>
            <w:noWrap/>
            <w:hideMark/>
          </w:tcPr>
          <w:p w14:paraId="3EFCAAB8"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AIR carboxylase</w:t>
            </w:r>
          </w:p>
        </w:tc>
        <w:tc>
          <w:tcPr>
            <w:tcW w:w="918" w:type="pct"/>
            <w:tcBorders>
              <w:top w:val="nil"/>
              <w:left w:val="nil"/>
              <w:bottom w:val="nil"/>
              <w:right w:val="nil"/>
            </w:tcBorders>
            <w:shd w:val="clear" w:color="auto" w:fill="auto"/>
            <w:noWrap/>
            <w:hideMark/>
          </w:tcPr>
          <w:p w14:paraId="7E2E216B"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1.68</w:t>
            </w:r>
          </w:p>
        </w:tc>
      </w:tr>
      <w:tr w:rsidR="00436CD0" w:rsidRPr="00C44D8C" w14:paraId="36EFCA3E" w14:textId="77777777" w:rsidTr="00436CD0">
        <w:trPr>
          <w:trHeight w:val="290"/>
        </w:trPr>
        <w:tc>
          <w:tcPr>
            <w:tcW w:w="976" w:type="pct"/>
            <w:tcBorders>
              <w:top w:val="nil"/>
              <w:left w:val="nil"/>
              <w:bottom w:val="nil"/>
              <w:right w:val="nil"/>
            </w:tcBorders>
            <w:shd w:val="clear" w:color="auto" w:fill="auto"/>
            <w:noWrap/>
            <w:hideMark/>
          </w:tcPr>
          <w:p w14:paraId="017030B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Mbar_A1586</w:t>
            </w:r>
          </w:p>
        </w:tc>
        <w:tc>
          <w:tcPr>
            <w:tcW w:w="3106" w:type="pct"/>
            <w:tcBorders>
              <w:top w:val="nil"/>
              <w:left w:val="nil"/>
              <w:bottom w:val="nil"/>
              <w:right w:val="nil"/>
            </w:tcBorders>
            <w:shd w:val="clear" w:color="auto" w:fill="auto"/>
            <w:noWrap/>
            <w:hideMark/>
          </w:tcPr>
          <w:p w14:paraId="48094900"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Pyruvate carboxylase subunit B </w:t>
            </w:r>
          </w:p>
        </w:tc>
        <w:tc>
          <w:tcPr>
            <w:tcW w:w="918" w:type="pct"/>
            <w:tcBorders>
              <w:top w:val="nil"/>
              <w:left w:val="nil"/>
              <w:bottom w:val="nil"/>
              <w:right w:val="nil"/>
            </w:tcBorders>
            <w:shd w:val="clear" w:color="auto" w:fill="auto"/>
            <w:noWrap/>
            <w:hideMark/>
          </w:tcPr>
          <w:p w14:paraId="2742562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1.67</w:t>
            </w:r>
          </w:p>
        </w:tc>
      </w:tr>
      <w:tr w:rsidR="00436CD0" w:rsidRPr="00C44D8C" w14:paraId="28600C5C" w14:textId="77777777" w:rsidTr="00436CD0">
        <w:trPr>
          <w:trHeight w:val="290"/>
        </w:trPr>
        <w:tc>
          <w:tcPr>
            <w:tcW w:w="976" w:type="pct"/>
            <w:tcBorders>
              <w:top w:val="nil"/>
              <w:left w:val="nil"/>
              <w:bottom w:val="nil"/>
              <w:right w:val="nil"/>
            </w:tcBorders>
            <w:shd w:val="clear" w:color="auto" w:fill="auto"/>
            <w:noWrap/>
            <w:hideMark/>
          </w:tcPr>
          <w:p w14:paraId="282E8F95"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Mbar_A1587</w:t>
            </w:r>
          </w:p>
        </w:tc>
        <w:tc>
          <w:tcPr>
            <w:tcW w:w="3106" w:type="pct"/>
            <w:tcBorders>
              <w:top w:val="nil"/>
              <w:left w:val="nil"/>
              <w:bottom w:val="nil"/>
              <w:right w:val="nil"/>
            </w:tcBorders>
            <w:shd w:val="clear" w:color="auto" w:fill="auto"/>
            <w:noWrap/>
            <w:hideMark/>
          </w:tcPr>
          <w:p w14:paraId="1D46FF8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Pyruvate carboxylase subunit A</w:t>
            </w:r>
          </w:p>
        </w:tc>
        <w:tc>
          <w:tcPr>
            <w:tcW w:w="918" w:type="pct"/>
            <w:tcBorders>
              <w:top w:val="nil"/>
              <w:left w:val="nil"/>
              <w:bottom w:val="nil"/>
              <w:right w:val="nil"/>
            </w:tcBorders>
            <w:shd w:val="clear" w:color="auto" w:fill="auto"/>
            <w:noWrap/>
            <w:hideMark/>
          </w:tcPr>
          <w:p w14:paraId="47C6957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1.66</w:t>
            </w:r>
          </w:p>
        </w:tc>
      </w:tr>
      <w:tr w:rsidR="00436CD0" w:rsidRPr="00C44D8C" w14:paraId="253FFB94" w14:textId="77777777" w:rsidTr="00436CD0">
        <w:trPr>
          <w:trHeight w:val="290"/>
        </w:trPr>
        <w:tc>
          <w:tcPr>
            <w:tcW w:w="976" w:type="pct"/>
            <w:tcBorders>
              <w:top w:val="nil"/>
              <w:left w:val="nil"/>
              <w:bottom w:val="nil"/>
              <w:right w:val="nil"/>
            </w:tcBorders>
            <w:shd w:val="clear" w:color="auto" w:fill="auto"/>
            <w:noWrap/>
            <w:hideMark/>
          </w:tcPr>
          <w:p w14:paraId="07C6E60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Mbar_A0536</w:t>
            </w:r>
          </w:p>
        </w:tc>
        <w:tc>
          <w:tcPr>
            <w:tcW w:w="3106" w:type="pct"/>
            <w:tcBorders>
              <w:top w:val="nil"/>
              <w:left w:val="nil"/>
              <w:bottom w:val="nil"/>
              <w:right w:val="nil"/>
            </w:tcBorders>
            <w:shd w:val="clear" w:color="auto" w:fill="auto"/>
            <w:noWrap/>
            <w:hideMark/>
          </w:tcPr>
          <w:p w14:paraId="7472CA97"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Phosphoribosylformylglycinamidine synthase subunit PurL</w:t>
            </w:r>
          </w:p>
        </w:tc>
        <w:tc>
          <w:tcPr>
            <w:tcW w:w="918" w:type="pct"/>
            <w:tcBorders>
              <w:top w:val="nil"/>
              <w:left w:val="nil"/>
              <w:bottom w:val="nil"/>
              <w:right w:val="nil"/>
            </w:tcBorders>
            <w:shd w:val="clear" w:color="auto" w:fill="auto"/>
            <w:noWrap/>
            <w:hideMark/>
          </w:tcPr>
          <w:p w14:paraId="72D30A53"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1.64</w:t>
            </w:r>
          </w:p>
        </w:tc>
      </w:tr>
      <w:tr w:rsidR="00436CD0" w:rsidRPr="00C44D8C" w14:paraId="76327804" w14:textId="77777777" w:rsidTr="00436CD0">
        <w:trPr>
          <w:trHeight w:val="290"/>
        </w:trPr>
        <w:tc>
          <w:tcPr>
            <w:tcW w:w="976" w:type="pct"/>
            <w:tcBorders>
              <w:top w:val="nil"/>
              <w:left w:val="nil"/>
              <w:bottom w:val="nil"/>
              <w:right w:val="nil"/>
            </w:tcBorders>
            <w:shd w:val="clear" w:color="auto" w:fill="auto"/>
            <w:noWrap/>
            <w:hideMark/>
          </w:tcPr>
          <w:p w14:paraId="22A3261F"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Mbar_A1464</w:t>
            </w:r>
          </w:p>
        </w:tc>
        <w:tc>
          <w:tcPr>
            <w:tcW w:w="3106" w:type="pct"/>
            <w:tcBorders>
              <w:top w:val="nil"/>
              <w:left w:val="nil"/>
              <w:bottom w:val="nil"/>
              <w:right w:val="nil"/>
            </w:tcBorders>
            <w:shd w:val="clear" w:color="auto" w:fill="auto"/>
            <w:noWrap/>
            <w:hideMark/>
          </w:tcPr>
          <w:p w14:paraId="67FA466E"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Glutamate-1-semialdehyde 2,1-aminomutase</w:t>
            </w:r>
          </w:p>
        </w:tc>
        <w:tc>
          <w:tcPr>
            <w:tcW w:w="918" w:type="pct"/>
            <w:tcBorders>
              <w:top w:val="nil"/>
              <w:left w:val="nil"/>
              <w:bottom w:val="nil"/>
              <w:right w:val="nil"/>
            </w:tcBorders>
            <w:shd w:val="clear" w:color="auto" w:fill="auto"/>
            <w:noWrap/>
            <w:hideMark/>
          </w:tcPr>
          <w:p w14:paraId="076CDBA2"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1.58</w:t>
            </w:r>
          </w:p>
        </w:tc>
      </w:tr>
      <w:tr w:rsidR="00436CD0" w:rsidRPr="00C44D8C" w14:paraId="1C7B4BEE" w14:textId="77777777" w:rsidTr="00436CD0">
        <w:trPr>
          <w:trHeight w:val="290"/>
        </w:trPr>
        <w:tc>
          <w:tcPr>
            <w:tcW w:w="976" w:type="pct"/>
            <w:tcBorders>
              <w:top w:val="nil"/>
              <w:left w:val="nil"/>
              <w:bottom w:val="nil"/>
              <w:right w:val="nil"/>
            </w:tcBorders>
            <w:shd w:val="clear" w:color="auto" w:fill="auto"/>
            <w:noWrap/>
            <w:hideMark/>
          </w:tcPr>
          <w:p w14:paraId="09332B11"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Mbar_A0891</w:t>
            </w:r>
          </w:p>
        </w:tc>
        <w:tc>
          <w:tcPr>
            <w:tcW w:w="3106" w:type="pct"/>
            <w:tcBorders>
              <w:top w:val="nil"/>
              <w:left w:val="nil"/>
              <w:bottom w:val="nil"/>
              <w:right w:val="nil"/>
            </w:tcBorders>
            <w:shd w:val="clear" w:color="auto" w:fill="auto"/>
            <w:noWrap/>
            <w:hideMark/>
          </w:tcPr>
          <w:p w14:paraId="0B07D72A"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3-phosphoshikimate 1-carboxyvinyltransferase</w:t>
            </w:r>
          </w:p>
        </w:tc>
        <w:tc>
          <w:tcPr>
            <w:tcW w:w="918" w:type="pct"/>
            <w:tcBorders>
              <w:top w:val="nil"/>
              <w:left w:val="nil"/>
              <w:bottom w:val="nil"/>
              <w:right w:val="nil"/>
            </w:tcBorders>
            <w:shd w:val="clear" w:color="auto" w:fill="auto"/>
            <w:noWrap/>
            <w:hideMark/>
          </w:tcPr>
          <w:p w14:paraId="46D60B46"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1.52</w:t>
            </w:r>
          </w:p>
        </w:tc>
      </w:tr>
      <w:tr w:rsidR="00436CD0" w:rsidRPr="00C44D8C" w14:paraId="5127671C" w14:textId="77777777" w:rsidTr="00436CD0">
        <w:trPr>
          <w:trHeight w:val="290"/>
        </w:trPr>
        <w:tc>
          <w:tcPr>
            <w:tcW w:w="976" w:type="pct"/>
            <w:tcBorders>
              <w:top w:val="nil"/>
              <w:left w:val="nil"/>
              <w:bottom w:val="nil"/>
              <w:right w:val="nil"/>
            </w:tcBorders>
            <w:shd w:val="clear" w:color="auto" w:fill="auto"/>
            <w:noWrap/>
            <w:hideMark/>
          </w:tcPr>
          <w:p w14:paraId="411CB896"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Mbar_A3498</w:t>
            </w:r>
          </w:p>
        </w:tc>
        <w:tc>
          <w:tcPr>
            <w:tcW w:w="3106" w:type="pct"/>
            <w:tcBorders>
              <w:top w:val="nil"/>
              <w:left w:val="nil"/>
              <w:bottom w:val="nil"/>
              <w:right w:val="nil"/>
            </w:tcBorders>
            <w:shd w:val="clear" w:color="auto" w:fill="auto"/>
            <w:noWrap/>
            <w:hideMark/>
          </w:tcPr>
          <w:p w14:paraId="05E22524"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Amidophosphoribosyltransferase </w:t>
            </w:r>
          </w:p>
        </w:tc>
        <w:tc>
          <w:tcPr>
            <w:tcW w:w="918" w:type="pct"/>
            <w:tcBorders>
              <w:top w:val="nil"/>
              <w:left w:val="nil"/>
              <w:bottom w:val="nil"/>
              <w:right w:val="nil"/>
            </w:tcBorders>
            <w:shd w:val="clear" w:color="auto" w:fill="auto"/>
            <w:noWrap/>
            <w:hideMark/>
          </w:tcPr>
          <w:p w14:paraId="4FB796F7"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1.51</w:t>
            </w:r>
          </w:p>
        </w:tc>
      </w:tr>
      <w:tr w:rsidR="00436CD0" w:rsidRPr="00C44D8C" w14:paraId="1F523D97" w14:textId="77777777" w:rsidTr="00436CD0">
        <w:trPr>
          <w:trHeight w:val="290"/>
        </w:trPr>
        <w:tc>
          <w:tcPr>
            <w:tcW w:w="976" w:type="pct"/>
            <w:tcBorders>
              <w:top w:val="nil"/>
              <w:left w:val="nil"/>
              <w:right w:val="nil"/>
            </w:tcBorders>
            <w:shd w:val="clear" w:color="auto" w:fill="auto"/>
            <w:noWrap/>
            <w:hideMark/>
          </w:tcPr>
          <w:p w14:paraId="6FAB6DCB"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Mbar_A2417</w:t>
            </w:r>
          </w:p>
        </w:tc>
        <w:tc>
          <w:tcPr>
            <w:tcW w:w="3106" w:type="pct"/>
            <w:tcBorders>
              <w:top w:val="nil"/>
              <w:left w:val="nil"/>
              <w:right w:val="nil"/>
            </w:tcBorders>
            <w:shd w:val="clear" w:color="auto" w:fill="auto"/>
            <w:noWrap/>
            <w:hideMark/>
          </w:tcPr>
          <w:p w14:paraId="1E9FEFAC" w14:textId="77777777" w:rsidR="00436CD0" w:rsidRPr="00C44D8C" w:rsidRDefault="00436CD0" w:rsidP="00436CD0">
            <w:pPr>
              <w:rPr>
                <w:rFonts w:asciiTheme="minorHAnsi" w:hAnsiTheme="minorHAnsi"/>
                <w:sz w:val="22"/>
                <w:szCs w:val="22"/>
                <w:lang w:eastAsia="en-GB"/>
              </w:rPr>
            </w:pPr>
            <w:r w:rsidRPr="00C44D8C">
              <w:rPr>
                <w:rFonts w:asciiTheme="minorHAnsi" w:hAnsiTheme="minorHAnsi"/>
                <w:sz w:val="22"/>
                <w:szCs w:val="22"/>
                <w:lang w:eastAsia="en-GB"/>
              </w:rPr>
              <w:t xml:space="preserve">Fumarase beta subunit </w:t>
            </w:r>
          </w:p>
        </w:tc>
        <w:tc>
          <w:tcPr>
            <w:tcW w:w="918" w:type="pct"/>
            <w:tcBorders>
              <w:top w:val="nil"/>
              <w:left w:val="nil"/>
              <w:right w:val="nil"/>
            </w:tcBorders>
            <w:shd w:val="clear" w:color="auto" w:fill="auto"/>
            <w:noWrap/>
            <w:hideMark/>
          </w:tcPr>
          <w:p w14:paraId="78BA54C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1.40</w:t>
            </w:r>
          </w:p>
        </w:tc>
      </w:tr>
      <w:tr w:rsidR="00436CD0" w:rsidRPr="00C44D8C" w14:paraId="27B1AB6D" w14:textId="77777777" w:rsidTr="00436CD0">
        <w:trPr>
          <w:trHeight w:val="290"/>
        </w:trPr>
        <w:tc>
          <w:tcPr>
            <w:tcW w:w="976" w:type="pct"/>
            <w:tcBorders>
              <w:top w:val="nil"/>
              <w:left w:val="nil"/>
              <w:bottom w:val="single" w:sz="4" w:space="0" w:color="auto"/>
              <w:right w:val="nil"/>
            </w:tcBorders>
            <w:shd w:val="clear" w:color="auto" w:fill="auto"/>
            <w:noWrap/>
            <w:hideMark/>
          </w:tcPr>
          <w:p w14:paraId="31119CC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Mbar_A2755</w:t>
            </w:r>
          </w:p>
        </w:tc>
        <w:tc>
          <w:tcPr>
            <w:tcW w:w="3106" w:type="pct"/>
            <w:tcBorders>
              <w:top w:val="nil"/>
              <w:left w:val="nil"/>
              <w:bottom w:val="single" w:sz="4" w:space="0" w:color="auto"/>
              <w:right w:val="nil"/>
            </w:tcBorders>
            <w:shd w:val="clear" w:color="auto" w:fill="auto"/>
            <w:noWrap/>
            <w:hideMark/>
          </w:tcPr>
          <w:p w14:paraId="0BB9413D" w14:textId="77777777" w:rsidR="00436CD0" w:rsidRPr="00C44D8C" w:rsidRDefault="00436CD0" w:rsidP="00436CD0">
            <w:pPr>
              <w:rPr>
                <w:rFonts w:asciiTheme="minorHAnsi" w:hAnsiTheme="minorHAnsi"/>
                <w:color w:val="000000"/>
                <w:sz w:val="22"/>
                <w:szCs w:val="22"/>
                <w:lang w:eastAsia="en-GB"/>
              </w:rPr>
            </w:pPr>
            <w:r w:rsidRPr="00C44D8C">
              <w:rPr>
                <w:rFonts w:asciiTheme="minorHAnsi" w:hAnsiTheme="minorHAnsi"/>
                <w:color w:val="000000"/>
                <w:sz w:val="22"/>
                <w:szCs w:val="22"/>
                <w:lang w:eastAsia="en-GB"/>
              </w:rPr>
              <w:t>Phosphoribosylformylglycinamidine synthase subunit PurQ</w:t>
            </w:r>
          </w:p>
        </w:tc>
        <w:tc>
          <w:tcPr>
            <w:tcW w:w="918" w:type="pct"/>
            <w:tcBorders>
              <w:top w:val="nil"/>
              <w:left w:val="nil"/>
              <w:bottom w:val="single" w:sz="4" w:space="0" w:color="auto"/>
              <w:right w:val="nil"/>
            </w:tcBorders>
            <w:shd w:val="clear" w:color="auto" w:fill="auto"/>
            <w:noWrap/>
            <w:hideMark/>
          </w:tcPr>
          <w:p w14:paraId="5D086FB0" w14:textId="77777777" w:rsidR="00436CD0" w:rsidRPr="00C44D8C" w:rsidRDefault="00436CD0" w:rsidP="00436CD0">
            <w:pPr>
              <w:jc w:val="center"/>
              <w:rPr>
                <w:rFonts w:asciiTheme="minorHAnsi" w:hAnsiTheme="minorHAnsi"/>
                <w:color w:val="000000"/>
                <w:sz w:val="22"/>
                <w:szCs w:val="22"/>
                <w:lang w:eastAsia="en-GB"/>
              </w:rPr>
            </w:pPr>
            <w:r w:rsidRPr="00C44D8C">
              <w:rPr>
                <w:rFonts w:asciiTheme="minorHAnsi" w:hAnsiTheme="minorHAnsi"/>
                <w:color w:val="000000"/>
                <w:sz w:val="22"/>
                <w:szCs w:val="22"/>
                <w:lang w:eastAsia="en-GB"/>
              </w:rPr>
              <w:t>1.40</w:t>
            </w:r>
          </w:p>
        </w:tc>
      </w:tr>
    </w:tbl>
    <w:p w14:paraId="2F232D67" w14:textId="77777777" w:rsidR="00436CD0" w:rsidRPr="00C44D8C" w:rsidRDefault="00436CD0" w:rsidP="00436CD0">
      <w:pPr>
        <w:spacing w:after="160" w:line="259" w:lineRule="auto"/>
        <w:rPr>
          <w:rFonts w:asciiTheme="minorHAnsi" w:hAnsiTheme="minorHAnsi"/>
          <w:color w:val="000000"/>
          <w:sz w:val="22"/>
          <w:szCs w:val="22"/>
          <w:lang w:eastAsia="en-GB"/>
        </w:rPr>
      </w:pPr>
    </w:p>
    <w:p w14:paraId="7391966A" w14:textId="2E55DF98"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color w:val="000000"/>
          <w:sz w:val="22"/>
          <w:szCs w:val="22"/>
          <w:lang w:eastAsia="en-GB"/>
        </w:rPr>
        <w:lastRenderedPageBreak/>
        <w:tab/>
      </w:r>
      <w:r w:rsidRPr="00C44D8C">
        <w:rPr>
          <w:rFonts w:asciiTheme="minorHAnsi" w:hAnsiTheme="minorHAnsi"/>
          <w:sz w:val="22"/>
          <w:szCs w:val="22"/>
          <w:lang w:eastAsia="en-GB"/>
        </w:rPr>
        <w:t>Nicotinamide-nucleotide adenylyltransferase is involved in the synthesis of n</w:t>
      </w:r>
      <w:r w:rsidRPr="00C44D8C">
        <w:rPr>
          <w:rFonts w:asciiTheme="minorHAnsi" w:eastAsia="Calibri" w:hAnsiTheme="minorHAnsi" w:cs="Arial"/>
          <w:sz w:val="22"/>
          <w:szCs w:val="22"/>
        </w:rPr>
        <w:t>icotinamide adenine dinucleotide (NAD+). NAD+ is a main substrate in various intracellular metabolic and regulatory processes, involved in the breakdown of nutrients, and the biosynthesis of new macromolecules</w:t>
      </w:r>
      <w:r w:rsidR="009C6F0F">
        <w:rPr>
          <w:rFonts w:asciiTheme="minorHAnsi" w:eastAsia="Calibri" w:hAnsiTheme="minorHAnsi" w:cs="Arial"/>
          <w:sz w:val="22"/>
          <w:szCs w:val="22"/>
        </w:rPr>
        <w:t xml:space="preserve"> in archaea </w:t>
      </w:r>
      <w:r w:rsidR="009C6F0F">
        <w:rPr>
          <w:rFonts w:asciiTheme="minorHAnsi" w:eastAsia="Calibri" w:hAnsiTheme="minorHAnsi" w:cs="Arial"/>
          <w:sz w:val="22"/>
          <w:szCs w:val="22"/>
        </w:rPr>
        <w:fldChar w:fldCharType="begin" w:fldLock="1"/>
      </w:r>
      <w:r w:rsidR="007E3308">
        <w:rPr>
          <w:rFonts w:asciiTheme="minorHAnsi" w:eastAsia="Calibri" w:hAnsiTheme="minorHAnsi" w:cs="Arial"/>
          <w:sz w:val="22"/>
          <w:szCs w:val="22"/>
        </w:rPr>
        <w:instrText>ADDIN CSL_CITATION { "citationItems" : [ { "id" : "ITEM-1", "itemData" : { "ISBN" : "0021-9193", "ISSN" : "00219193", "PMID" : "9401030", "abstract" : "The enzyme nicotinamide mononucleotide (NMN) adenylyltransferase (EC 2.7.7.1) catalyzes the synthesis of NAD+ and nicotinic acid adenine dinucleotide. It has been purified to homogeneity from cellular extracts of the thermophilic archaeon Sulfolobus solfataricus. Through a database search, a highly significant match was found between its N-terminal sequence and a hypothetical protein coded by the thermophilic archaeon Methanococcus jannaschii MJ0541 open reading frame (GenBank accession no. U67503). The MJ0541 gene was isolated, cloned into a T7-based vector, and expressed in Escherichia coli cells, yielding a high level of thermophilic NMN adenylyltransferase activity. The expressed protein was purified to homogeneity by a single-step chromatographic procedure. Both the subunit molecular mass and the N-terminal sequence of the pure recombinant protein were as expected from the deduced amino acid sequence of the MJ0541 open reading frame-encoded protein. Molecular and kinetic properties of the enzymes from both archaea are reported and compared with those already known for the mesophilic eukaryotic NMN adenylyltransferase.", "author" : [ { "dropping-particle" : "", "family" : "Raffaelli", "given" : "Nadia", "non-dropping-particle" : "", "parse-names" : false, "suffix" : "" }, { "dropping-particle" : "", "family" : "Pisani", "given" : "Francesca M.", "non-dropping-particle" : "", "parse-names" : false, "suffix" : "" }, { "dropping-particle" : "", "family" : "Lorenzi", "given" : "Teresa", "non-dropping-particle" : "", "parse-names" : false, "suffix" : "" }, { "dropping-particle" : "", "family" : "Emanuelli", "given" : "Monica", "non-dropping-particle" : "", "parse-names" : false, "suffix" : "" }, { "dropping-particle" : "", "family" : "Amici", "given" : "Adolfo", "non-dropping-particle" : "", "parse-names" : false, "suffix" : "" }, { "dropping-particle" : "", "family" : "Ruggieri", "given" : "Silverio", "non-dropping-particle" : "", "parse-names" : false, "suffix" : "" }, { "dropping-particle" : "", "family" : "Magni", "given" : "Giulio", "non-dropping-particle" : "", "parse-names" : false, "suffix" : "" } ], "container-title" : "Journal of Bacteriology", "id" : "ITEM-1", "issue" : "24", "issued" : { "date-parts" : [ [ "1997" ] ] }, "page" : "7718-7723", "title" : "Characterization of nicotinamide mononucleotide adenylyltransferase from thermophilic archaea", "type" : "article-journal", "volume" : "179" }, "uris" : [ "http://www.mendeley.com/documents/?uuid=987643c0-ab88-447b-bd51-230cb691bf27" ] } ], "mendeley" : { "formattedCitation" : "[227]", "plainTextFormattedCitation" : "[227]", "previouslyFormattedCitation" : "[227]" }, "properties" : { "noteIndex" : 0 }, "schema" : "https://github.com/citation-style-language/schema/raw/master/csl-citation.json" }</w:instrText>
      </w:r>
      <w:r w:rsidR="009C6F0F">
        <w:rPr>
          <w:rFonts w:asciiTheme="minorHAnsi" w:eastAsia="Calibri" w:hAnsiTheme="minorHAnsi" w:cs="Arial"/>
          <w:sz w:val="22"/>
          <w:szCs w:val="22"/>
        </w:rPr>
        <w:fldChar w:fldCharType="separate"/>
      </w:r>
      <w:r w:rsidR="007E3308" w:rsidRPr="007E3308">
        <w:rPr>
          <w:rFonts w:asciiTheme="minorHAnsi" w:eastAsia="Calibri" w:hAnsiTheme="minorHAnsi" w:cs="Arial"/>
          <w:noProof/>
          <w:sz w:val="22"/>
          <w:szCs w:val="22"/>
        </w:rPr>
        <w:t>[227]</w:t>
      </w:r>
      <w:r w:rsidR="009C6F0F">
        <w:rPr>
          <w:rFonts w:asciiTheme="minorHAnsi" w:eastAsia="Calibri" w:hAnsiTheme="minorHAnsi" w:cs="Arial"/>
          <w:sz w:val="22"/>
          <w:szCs w:val="22"/>
        </w:rPr>
        <w:fldChar w:fldCharType="end"/>
      </w:r>
      <w:r w:rsidRPr="00C44D8C">
        <w:rPr>
          <w:rFonts w:asciiTheme="minorHAnsi" w:eastAsia="Calibri" w:hAnsiTheme="minorHAnsi" w:cs="Arial"/>
          <w:sz w:val="22"/>
          <w:szCs w:val="22"/>
        </w:rPr>
        <w:t>. This protein (</w:t>
      </w:r>
      <w:r w:rsidRPr="00C44D8C">
        <w:rPr>
          <w:rFonts w:asciiTheme="minorHAnsi" w:hAnsiTheme="minorHAnsi"/>
          <w:sz w:val="22"/>
          <w:szCs w:val="22"/>
          <w:lang w:eastAsia="en-GB"/>
        </w:rPr>
        <w:t xml:space="preserve">Mbar_A0256) </w:t>
      </w:r>
      <w:r w:rsidRPr="00C44D8C">
        <w:rPr>
          <w:rFonts w:asciiTheme="minorHAnsi" w:eastAsia="Calibri" w:hAnsiTheme="minorHAnsi" w:cs="Arial"/>
          <w:sz w:val="22"/>
          <w:szCs w:val="22"/>
        </w:rPr>
        <w:t xml:space="preserve">was </w:t>
      </w:r>
      <w:r w:rsidR="003D18AD">
        <w:rPr>
          <w:rFonts w:asciiTheme="minorHAnsi" w:hAnsiTheme="minorHAnsi"/>
          <w:color w:val="000000"/>
          <w:sz w:val="22"/>
          <w:szCs w:val="22"/>
          <w:lang w:eastAsia="en-GB"/>
        </w:rPr>
        <w:t>found in higher relative abundance</w:t>
      </w:r>
      <w:r w:rsidRPr="00C44D8C">
        <w:rPr>
          <w:rFonts w:asciiTheme="minorHAnsi" w:eastAsia="Calibri" w:hAnsiTheme="minorHAnsi" w:cs="Arial"/>
          <w:sz w:val="22"/>
          <w:szCs w:val="22"/>
        </w:rPr>
        <w:t xml:space="preserve"> in biofilms attached to PETG, and may suggest that biofilms on PETG are metabolically active, but have not yet triggered biofilm formation to the same extent as biofilms on PVC. This finding corresponds to the results from the biofilm accumulation experiment (Figs. 5.2-5.3).</w:t>
      </w:r>
    </w:p>
    <w:p w14:paraId="33446415" w14:textId="56F197A2" w:rsidR="00436CD0" w:rsidRPr="00C44D8C" w:rsidRDefault="00436CD0" w:rsidP="00436CD0">
      <w:pPr>
        <w:spacing w:line="360" w:lineRule="auto"/>
        <w:ind w:firstLine="720"/>
        <w:textAlignment w:val="baseline"/>
        <w:rPr>
          <w:rFonts w:asciiTheme="minorHAnsi" w:eastAsia="Calibri" w:hAnsiTheme="minorHAnsi" w:cs="Arial"/>
          <w:sz w:val="22"/>
          <w:szCs w:val="22"/>
        </w:rPr>
      </w:pPr>
      <w:r w:rsidRPr="00C44D8C">
        <w:rPr>
          <w:rFonts w:asciiTheme="minorHAnsi" w:hAnsiTheme="minorHAnsi"/>
          <w:color w:val="000000"/>
          <w:sz w:val="22"/>
          <w:szCs w:val="22"/>
          <w:lang w:eastAsia="en-GB"/>
        </w:rPr>
        <w:t xml:space="preserve">Evidence for changes in carbon and energy metabolism were given by the </w:t>
      </w:r>
      <w:r w:rsidR="00BA6EB9">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proteins involved in gluconeogenesis and the tricarboxylic acid</w:t>
      </w:r>
      <w:r w:rsidRPr="00C44D8C">
        <w:rPr>
          <w:rFonts w:asciiTheme="minorHAnsi" w:hAnsiTheme="minorHAnsi"/>
          <w:sz w:val="22"/>
          <w:szCs w:val="22"/>
          <w:lang w:eastAsia="en-GB"/>
        </w:rPr>
        <w:t xml:space="preserve"> (TCA) cycle. </w:t>
      </w:r>
      <w:r w:rsidRPr="00C44D8C">
        <w:rPr>
          <w:rFonts w:asciiTheme="minorHAnsi" w:hAnsiTheme="minorHAnsi"/>
          <w:color w:val="000000"/>
          <w:sz w:val="22"/>
          <w:szCs w:val="22"/>
          <w:lang w:eastAsia="en-GB"/>
        </w:rPr>
        <w:t xml:space="preserve">Archaea use a modified Embden-Meyerhof pathway for gluconeogenesis, which is the synthesis of glucose 6-phosphate from pyruvate. Glyceraldehyde-3-phosphate dehydrogenase (GAPDH) is exclusively involved in gluconeogenesis in archaea, and catalyses the conversion of glyceraldehyde-3-phosphate to </w:t>
      </w:r>
      <w:r w:rsidRPr="00C44D8C">
        <w:rPr>
          <w:rFonts w:asciiTheme="minorHAnsi" w:hAnsiTheme="minorHAnsi"/>
          <w:sz w:val="22"/>
          <w:szCs w:val="22"/>
          <w:lang w:eastAsia="en-GB"/>
        </w:rPr>
        <w:t xml:space="preserve">1,3-bisphosphoglycerate </w:t>
      </w:r>
      <w:r w:rsidR="009C6F0F">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"10.1016/j.mib.2005.10.014", "author" : [ { "dropping-particle" : "", "family" : "Siebers", "given" : "Bettina", "non-dropping-particle" : "", "parse-names" : false, "suffix" : "" }, { "dropping-particle" : "", "family" : "Schonheit", "given" : "Peter", "non-dropping-particle" : "", "parse-names" : false, "suffix" : "" } ], "container-title" : "Current Opinion in Microbiology", "id" : "ITEM-1", "issued" : { "date-parts" : [ [ "2005" ] ] }, "page" : "695-705", "title" : "Unusual pathways and enzymes of central carbohydrate metabolism in Archaea", "type" : "article-journal", "volume" : "8" }, "uris" : [ "http://www.mendeley.com/documents/?uuid=35990da5-192b-40ee-bbef-e769470584b1" ] } ], "mendeley" : { "formattedCitation" : "[228]", "plainTextFormattedCitation" : "[228]", "previouslyFormattedCitation" : "[228]" }, "properties" : { "noteIndex" : 0 }, "schema" : "https://github.com/citation-style-language/schema/raw/master/csl-citation.json" }</w:instrText>
      </w:r>
      <w:r w:rsidR="009C6F0F">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[228]</w:t>
      </w:r>
      <w:r w:rsidR="009C6F0F">
        <w:rPr>
          <w:rFonts w:asciiTheme="minorHAnsi" w:hAnsiTheme="minorHAnsi"/>
          <w:sz w:val="22"/>
          <w:szCs w:val="22"/>
          <w:lang w:eastAsia="en-GB"/>
        </w:rPr>
        <w:fldChar w:fldCharType="end"/>
      </w:r>
      <w:r w:rsidRPr="00C44D8C">
        <w:rPr>
          <w:rFonts w:asciiTheme="minorHAnsi" w:hAnsiTheme="minorHAnsi"/>
          <w:color w:val="000000"/>
          <w:sz w:val="22"/>
          <w:szCs w:val="22"/>
          <w:lang w:eastAsia="en-GB"/>
        </w:rPr>
        <w:t xml:space="preserve">. This protein was two-fold </w:t>
      </w:r>
      <w:r w:rsidR="003D18AD">
        <w:rPr>
          <w:rFonts w:asciiTheme="minorHAnsi" w:hAnsiTheme="minorHAnsi"/>
          <w:color w:val="000000"/>
          <w:sz w:val="22"/>
          <w:szCs w:val="22"/>
          <w:lang w:eastAsia="en-GB"/>
        </w:rPr>
        <w:t xml:space="preserve">higher in abundance </w:t>
      </w:r>
      <w:r w:rsidRPr="00C44D8C">
        <w:rPr>
          <w:rFonts w:asciiTheme="minorHAnsi" w:hAnsiTheme="minorHAnsi"/>
          <w:sz w:val="22"/>
          <w:szCs w:val="22"/>
          <w:lang w:eastAsia="en-GB"/>
        </w:rPr>
        <w:t xml:space="preserve">in biofilms of </w:t>
      </w:r>
      <w:r w:rsidRPr="00C44D8C">
        <w:rPr>
          <w:rFonts w:asciiTheme="minorHAnsi" w:hAnsiTheme="minorHAnsi"/>
          <w:i/>
          <w:sz w:val="22"/>
          <w:szCs w:val="22"/>
          <w:lang w:eastAsia="en-GB"/>
        </w:rPr>
        <w:t xml:space="preserve">M. barkeri </w:t>
      </w:r>
      <w:r w:rsidRPr="00C44D8C">
        <w:rPr>
          <w:rFonts w:asciiTheme="minorHAnsi" w:hAnsiTheme="minorHAnsi"/>
          <w:sz w:val="22"/>
          <w:szCs w:val="22"/>
          <w:lang w:eastAsia="en-GB"/>
        </w:rPr>
        <w:t xml:space="preserve">attached to PVC compared to PETG, as well as other proteins involved in gluconeogenesis, such as fructose-1,6-bisphosphatase (Mbar_A1836), phosphoenolpyruvate synthase </w:t>
      </w:r>
      <w:r w:rsidRPr="00C44D8C">
        <w:rPr>
          <w:rFonts w:asciiTheme="minorHAnsi" w:hAnsiTheme="minorHAnsi"/>
          <w:color w:val="000000"/>
          <w:sz w:val="22"/>
          <w:szCs w:val="22"/>
          <w:lang w:eastAsia="en-GB"/>
        </w:rPr>
        <w:t xml:space="preserve">(Mbar_A2223), </w:t>
      </w:r>
      <w:r w:rsidRPr="00C44D8C">
        <w:rPr>
          <w:rFonts w:asciiTheme="minorHAnsi" w:hAnsiTheme="minorHAnsi"/>
          <w:sz w:val="22"/>
          <w:szCs w:val="22"/>
          <w:lang w:eastAsia="en-GB"/>
        </w:rPr>
        <w:t>phosphoglycerate kinase (</w:t>
      </w:r>
      <w:r w:rsidRPr="00C44D8C">
        <w:rPr>
          <w:rFonts w:asciiTheme="minorHAnsi" w:hAnsiTheme="minorHAnsi"/>
          <w:color w:val="000000"/>
          <w:sz w:val="22"/>
          <w:szCs w:val="22"/>
          <w:lang w:eastAsia="en-GB"/>
        </w:rPr>
        <w:t xml:space="preserve">Mbar_A1808) and enolase (Mbar_A2850) </w:t>
      </w:r>
      <w:r w:rsidR="009C6F0F">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"10.1042/BJ20021472", "ISBN" : "1470-8728 (Electronic) 0264-6021 (Linking)", "ISSN" : "02646021", "PMID" : "12921536", "abstract" : "An early divergence in evolution has resulted in two prokaryotic domains, the Bacteria and the Archaea. Whereas the central metabolic routes of bacteria and eukaryotes are generally well-conserved, variant pathways have developed in Archaea involving several novel enzymes with a distinct control. A spectacular example of convergent evolution concerns the glucose-degrading pathways of saccharolytic archaea. The identification, characterization and comparison of the glycolytic enzymes of a variety of phylogenetic lineages have revealed a mosaic of canonical and novel enzymes in the archaeal variants of the Embden-Meyerhof and the Entner-Doudoroff pathways. By means of integrating results from biochemical and genetic studies with recently obtained comparative and functional genomics data, the structure and function of the archaeal glycolytic routes, the participating enzymes and their regulation are re-evaluated.", "author" : [ { "dropping-particle" : "", "family" : "Verhees", "given" : "Corn\u00e9 H", "non-dropping-particle" : "", "parse-names" : false, "suffix" : "" }, { "dropping-particle" : "", "family" : "Kengen", "given" : "Serv\u00e9 W M", "non-dropping-particle" : "", "parse-names" : false, "suffix" : "" }, { "dropping-particle" : "", "family" : "Tuininga", "given" : "Judith E", "non-dropping-particle" : "", "parse-names" : false, "suffix" : "" }, { "dropping-particle" : "", "family" : "Schut", "given" : "Gerrit J", "non-dropping-particle" : "", "parse-names" : false, "suffix" : "" }, { "dropping-particle" : "", "family" : "Adams", "given" : "Michael W W", "non-dropping-particle" : "", "parse-names" : false, "suffix" : "" }, { "dropping-particle" : "", "family" : "Vos", "given" : "Willem M", "non-dropping-particle" : "De", "parse-names" : false, "suffix" : "" }, { "dropping-particle" : "", "family" : "Oost", "given" : "John", "non-dropping-particle" : "Van Der", "parse-names" : false, "suffix" : "" } ], "container-title" : "The Biochemical journal", "id" : "ITEM-1", "issue" : "Pt 2", "issued" : { "date-parts" : [ [ "2003" ] ] }, "page" : "231-246", "title" : "The unique features of glycolytic pathways in Archaea.", "type" : "article-journal", "volume" : "375" }, "uris" : [ "http://www.mendeley.com/documents/?uuid=64bf2b48-615c-423a-b981-aa49ba63df87" ] } ], "mendeley" : { "formattedCitation" : "[229]", "plainTextFormattedCitation" : "[229]", "previouslyFormattedCitation" : "[229]"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[229]</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The </w:t>
      </w:r>
      <w:r w:rsidR="00BA6EB9">
        <w:rPr>
          <w:rFonts w:asciiTheme="minorHAnsi" w:hAnsiTheme="minorHAnsi"/>
          <w:color w:val="000000"/>
          <w:sz w:val="22"/>
          <w:szCs w:val="22"/>
          <w:lang w:eastAsia="en-GB"/>
        </w:rPr>
        <w:t>higher relative abundance</w:t>
      </w:r>
      <w:r w:rsidR="00BA6EB9"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of these proteins </w:t>
      </w:r>
      <w:r w:rsidRPr="00C44D8C">
        <w:rPr>
          <w:rFonts w:asciiTheme="minorHAnsi" w:eastAsia="Calibri" w:hAnsiTheme="minorHAnsi" w:cs="Arial"/>
          <w:sz w:val="22"/>
          <w:szCs w:val="22"/>
        </w:rPr>
        <w:t>in biofilms attached to PVC</w:t>
      </w:r>
      <w:r w:rsidRPr="00C44D8C">
        <w:rPr>
          <w:rFonts w:asciiTheme="minorHAnsi" w:hAnsiTheme="minorHAnsi"/>
          <w:color w:val="000000"/>
          <w:sz w:val="22"/>
          <w:szCs w:val="22"/>
          <w:lang w:eastAsia="en-GB"/>
        </w:rPr>
        <w:t xml:space="preserve"> may correspond to the similar</w:t>
      </w:r>
      <w:r w:rsidR="00BA6EB9">
        <w:rPr>
          <w:rFonts w:asciiTheme="minorHAnsi" w:hAnsiTheme="minorHAnsi"/>
          <w:color w:val="000000"/>
          <w:sz w:val="22"/>
          <w:szCs w:val="22"/>
          <w:lang w:eastAsia="en-GB"/>
        </w:rPr>
        <w:t>ly</w:t>
      </w:r>
      <w:r w:rsidRPr="00C44D8C">
        <w:rPr>
          <w:rFonts w:asciiTheme="minorHAnsi" w:hAnsiTheme="minorHAnsi"/>
          <w:color w:val="000000"/>
          <w:sz w:val="22"/>
          <w:szCs w:val="22"/>
          <w:lang w:eastAsia="en-GB"/>
        </w:rPr>
        <w:t xml:space="preserve"> </w:t>
      </w:r>
      <w:r w:rsidR="00BA6EB9">
        <w:rPr>
          <w:rFonts w:asciiTheme="minorHAnsi" w:hAnsiTheme="minorHAnsi"/>
          <w:color w:val="000000"/>
          <w:sz w:val="22"/>
          <w:szCs w:val="22"/>
          <w:lang w:eastAsia="en-GB"/>
        </w:rPr>
        <w:t>high relative abundance</w:t>
      </w:r>
      <w:r w:rsidRPr="00C44D8C">
        <w:rPr>
          <w:rFonts w:asciiTheme="minorHAnsi" w:hAnsiTheme="minorHAnsi"/>
          <w:color w:val="000000"/>
          <w:sz w:val="22"/>
          <w:szCs w:val="22"/>
          <w:lang w:eastAsia="en-GB"/>
        </w:rPr>
        <w:t xml:space="preserve"> of </w:t>
      </w:r>
      <w:r w:rsidRPr="00C44D8C">
        <w:rPr>
          <w:rFonts w:asciiTheme="minorHAnsi" w:eastAsia="Calibri" w:hAnsiTheme="minorHAnsi" w:cs="Arial"/>
          <w:sz w:val="22"/>
          <w:szCs w:val="22"/>
        </w:rPr>
        <w:t>glycosyltransferases, suggesting that cells may be using precursors from gluconeogenesis for N-glycosylation.</w:t>
      </w:r>
    </w:p>
    <w:p w14:paraId="61C051F8" w14:textId="4651A729"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ab/>
        <w:t xml:space="preserve">In terms of energy production from carbohydrate metabolism, </w:t>
      </w:r>
      <w:r w:rsidRPr="00C44D8C">
        <w:rPr>
          <w:rFonts w:asciiTheme="minorHAnsi" w:hAnsiTheme="minorHAnsi"/>
          <w:sz w:val="22"/>
          <w:szCs w:val="22"/>
          <w:lang w:eastAsia="en-GB"/>
        </w:rPr>
        <w:t xml:space="preserve">methanogens are known to utilise an incomplete TCA cycle for the generation of energy from acetyl-CoA </w:t>
      </w:r>
      <w:r w:rsidR="009C6F0F">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"10.1111/j.1365-2958.2004.04130.x", "ISBN" : "0950382X", "ISSN" : "0950382X", "PMID" : "15225324", "abstract" : "A global view of the biology of the cold-adapted archaeon Methanococcoides burtonii was achieved using proteomics. Proteins specific to growth at 4 degrees C versus T(opt) (23 degrees C) were identified by mass spectrometry using the draft genome sequence of M. burtonii. mRNA levels were determined for all genes identified by proteomics, and specific enzyme assays confirmed the protein expression results. Key aspects of cold adaptation related to transcription, protein folding and metabolism, including specific roles for RNA polymerase subunit E, a response regulator and peptidyl prolyl cis/trans isomerase. Heat shock protein DnaK was expressed during growth at T(opt), indicating that growth at 'optimal' temperatures was stressful for this cold-adapted organism. Expression of trimethylamine methyltransferase involves contiguous translation of two open reading frames, which is likely to result from incorporation of pyrrolysine at an amber stop codon. Thermal regulation in M. burtonii is achieved through complex gene expression events involving gene clusters and operons, through to protein modifications.", "author" : [ { "dropping-particle" : "", "family" : "Goodchild", "given" : "Amber", "non-dropping-particle" : "", "parse-names" : false, "suffix" : "" }, { "dropping-particle" : "", "family" : "Saunders", "given" : "Neil F W", "non-dropping-particle" : "", "parse-names" : false, "suffix" : "" }, { "dropping-particle" : "", "family" : "Ertan", "given" : "Haluk", "non-dropping-particle" : "", "parse-names" : false, "suffix" : "" }, { "dropping-particle" : "", "family" : "Raftery", "given" : "Mark", "non-dropping-particle" : "", "parse-names" : false, "suffix" : "" }, { "dropping-particle" : "", "family" : "Guilhaus", "given" : "Michael", "non-dropping-particle" : "", "parse-names" : false, "suffix" : "" }, { "dropping-particle" : "", "family" : "Curmi", "given" : "Paul M G", "non-dropping-particle" : "", "parse-names" : false, "suffix" : "" }, { "dropping-particle" : "", "family" : "Cavicchioli", "given" : "Ricardo", "non-dropping-particle" : "", "parse-names" : false, "suffix" : "" } ], "container-title" : "Molecular Microbiology", "id" : "ITEM-1", "issue" : "1", "issued" : { "date-parts" : [ [ "2004" ] ] }, "page" : "309-321", "title" : "A proteomic determination of cold adaptation in the Antarctic archaeon, Methanococcoides burtonii", "type" : "article-journal", "volume" : "53" }, "uris" : [ "http://www.mendeley.com/documents/?uuid=74942998-60ae-4e7f-81db-4dde8e81c2dc" ] } ], "mendeley" : { "formattedCitation" : "[230]", "plainTextFormattedCitation" : "[230]", "previouslyFormattedCitation" : "[230]" }, "properties" : { "noteIndex" : 0 }, "schema" : "https://github.com/citation-style-language/schema/raw/master/csl-citation.json" }</w:instrText>
      </w:r>
      <w:r w:rsidR="009C6F0F">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[230]</w:t>
      </w:r>
      <w:r w:rsidR="009C6F0F">
        <w:rPr>
          <w:rFonts w:asciiTheme="minorHAnsi" w:hAnsiTheme="minorHAnsi"/>
          <w:sz w:val="22"/>
          <w:szCs w:val="22"/>
          <w:lang w:eastAsia="en-GB"/>
        </w:rPr>
        <w:fldChar w:fldCharType="end"/>
      </w:r>
      <w:r w:rsidRPr="00C44D8C">
        <w:rPr>
          <w:rFonts w:asciiTheme="minorHAnsi" w:hAnsiTheme="minorHAnsi"/>
          <w:color w:val="000000"/>
          <w:sz w:val="22"/>
          <w:szCs w:val="22"/>
          <w:lang w:eastAsia="en-GB"/>
        </w:rPr>
        <w:t xml:space="preserve">. Key biosynthetic intermediates arising from this incomplete TCA cycle were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cells attached to PVC compared to PETG, such as aconitase (Mbar_A0714) and isocitrate dehydrogenase (</w:t>
      </w:r>
      <w:r w:rsidRPr="00C44D8C">
        <w:rPr>
          <w:rFonts w:asciiTheme="minorHAnsi" w:hAnsiTheme="minorHAnsi"/>
          <w:sz w:val="22"/>
          <w:szCs w:val="22"/>
          <w:lang w:eastAsia="en-GB"/>
        </w:rPr>
        <w:t xml:space="preserve">Mbar_A0623). </w:t>
      </w:r>
      <w:r w:rsidRPr="00C44D8C">
        <w:rPr>
          <w:rFonts w:asciiTheme="minorHAnsi" w:hAnsiTheme="minorHAnsi"/>
          <w:color w:val="000000"/>
          <w:sz w:val="22"/>
          <w:szCs w:val="22"/>
          <w:lang w:eastAsia="en-GB"/>
        </w:rPr>
        <w:t xml:space="preserve">Therefore, this could suggest a larger requirement for energy from more established biofilms attached to PVC compared to PETG in order to drive the large number of amino acid, carbohydrate, nucleotide, cofactor and lipid metabolism pathways observed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when attached to PVC (Table 5.6), as well as cell growth and metabolism during biofilm formation. Indeed, the </w:t>
      </w:r>
      <w:r w:rsidR="00A4127F">
        <w:rPr>
          <w:rFonts w:asciiTheme="minorHAnsi" w:hAnsiTheme="minorHAnsi"/>
          <w:color w:val="000000"/>
          <w:sz w:val="22"/>
          <w:szCs w:val="22"/>
          <w:lang w:eastAsia="en-GB"/>
        </w:rPr>
        <w:t>increased abundance</w:t>
      </w:r>
      <w:r w:rsidR="00A4127F" w:rsidRPr="00C44D8C">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of proteins involved in energy production and carbohydrate metabolism has been reported in more developed biofilms of bacterial systems </w:t>
      </w:r>
      <w:r w:rsidR="009C6F0F">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"10.1128/JB.184.4.1140", "author" : [ { "dropping-particle" : "", "family" : "Sauer", "given" : "Karin", "non-dropping-particle" : "", "parse-names" : false, "suffix" : "" }, { "dropping-particle" : "", "family" : "Camper", "given" : "Anne K", "non-dropping-particle" : "", "parse-names" : false, "suffix" : "" }, { "dropping-particle" : "", "family" : "Ehrlich", "given" : "Garth D", "non-dropping-particle" : "", "parse-names" : false, "suffix" : "" }, { "dropping-particle" : "", "family" : "Costerton", "given" : "J William", "non-dropping-particle" : "", "parse-names" : false, "suffix" : "" }, { "dropping-particle" : "", "family" : "Davies", "given" : "David G", "non-dropping-particle" : "", "parse-names" : false, "suffix" : "" } ], "container-title" : "Journal of bacteriology", "id" : "ITEM-1", "issue" : "4", "issued" : { "date-parts" : [ [ "2002" ] ] }, "page" : "1140-1154", "title" : "Pseudomonas aeruginosa Displays Multiple Phenotypes during Development as a Biofilm", "type" : "article-journal", "volume" : "184" }, "uris" : [ "http://www.mendeley.com/documents/?uuid=e60e637a-d417-4100-956a-1f1ed9275792" ] } ], "mendeley" : { "formattedCitation" : "[90]", "plainTextFormattedCitation" : "[90]", "previouslyFormattedCitation" : "[90]"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[90]</w:t>
      </w:r>
      <w:r w:rsidR="009C6F0F">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w:t>
      </w:r>
    </w:p>
    <w:p w14:paraId="2A1576DB" w14:textId="77777777" w:rsidR="00436CD0" w:rsidRPr="00C44D8C" w:rsidRDefault="00436CD0" w:rsidP="00436CD0">
      <w:pPr>
        <w:spacing w:line="360" w:lineRule="auto"/>
        <w:rPr>
          <w:rFonts w:asciiTheme="minorHAnsi" w:hAnsiTheme="minorHAnsi"/>
          <w:b/>
          <w:bCs/>
          <w:color w:val="000000"/>
          <w:sz w:val="22"/>
          <w:szCs w:val="22"/>
          <w:lang w:eastAsia="en-GB"/>
        </w:rPr>
      </w:pPr>
    </w:p>
    <w:p w14:paraId="147D6848" w14:textId="1C28FCE1" w:rsidR="00436CD0" w:rsidRPr="00C44D8C" w:rsidRDefault="003915E9" w:rsidP="002B29E5">
      <w:pPr>
        <w:pStyle w:val="Heading6"/>
        <w:rPr>
          <w:lang w:eastAsia="en-GB"/>
        </w:rPr>
      </w:pPr>
      <w:bookmarkStart w:id="156" w:name="_Toc462575365"/>
      <w:r>
        <w:rPr>
          <w:lang w:eastAsia="en-GB"/>
        </w:rPr>
        <w:lastRenderedPageBreak/>
        <w:t>5.3.6</w:t>
      </w:r>
      <w:r w:rsidR="00436CD0" w:rsidRPr="00C44D8C">
        <w:rPr>
          <w:lang w:eastAsia="en-GB"/>
        </w:rPr>
        <w:t>. Validation of iTRAQ results</w:t>
      </w:r>
      <w:bookmarkEnd w:id="156"/>
    </w:p>
    <w:p w14:paraId="2A1658E4" w14:textId="77777777" w:rsidR="00436CD0" w:rsidRPr="00C44D8C" w:rsidRDefault="00436CD0" w:rsidP="00436CD0">
      <w:pPr>
        <w:spacing w:line="360" w:lineRule="auto"/>
        <w:rPr>
          <w:rFonts w:asciiTheme="minorHAnsi" w:hAnsiTheme="minorHAnsi"/>
          <w:bCs/>
          <w:color w:val="000000"/>
          <w:sz w:val="22"/>
          <w:szCs w:val="22"/>
          <w:lang w:eastAsia="en-GB"/>
        </w:rPr>
      </w:pPr>
      <w:r w:rsidRPr="00C44D8C">
        <w:rPr>
          <w:rFonts w:asciiTheme="minorHAnsi" w:hAnsiTheme="minorHAnsi"/>
          <w:bCs/>
          <w:color w:val="000000"/>
          <w:sz w:val="22"/>
          <w:szCs w:val="22"/>
          <w:lang w:eastAsia="en-GB"/>
        </w:rPr>
        <w:t xml:space="preserve">Two proteins (fumarase and </w:t>
      </w:r>
      <w:r w:rsidRPr="00C44D8C">
        <w:rPr>
          <w:rFonts w:asciiTheme="minorHAnsi" w:hAnsiTheme="minorHAnsi"/>
          <w:color w:val="000000"/>
          <w:sz w:val="22"/>
          <w:szCs w:val="22"/>
          <w:lang w:eastAsia="en-GB"/>
        </w:rPr>
        <w:t>triose phosphate isomerase) were chosen to validate the protein quantification results obtained from the</w:t>
      </w:r>
      <w:r w:rsidRPr="00C44D8C">
        <w:rPr>
          <w:rFonts w:asciiTheme="minorHAnsi" w:hAnsiTheme="minorHAnsi"/>
          <w:bCs/>
          <w:color w:val="000000"/>
          <w:sz w:val="22"/>
          <w:szCs w:val="22"/>
          <w:lang w:eastAsia="en-GB"/>
        </w:rPr>
        <w:t xml:space="preserve"> iTRAQ analysis, based on the significance of their fold changes and on the commercial availability of these enzyme assay kits. </w:t>
      </w:r>
    </w:p>
    <w:p w14:paraId="365CE84A"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bCs/>
          <w:color w:val="000000"/>
          <w:sz w:val="22"/>
          <w:szCs w:val="22"/>
          <w:lang w:eastAsia="en-GB"/>
        </w:rPr>
        <w:tab/>
        <w:t xml:space="preserve">The results from the </w:t>
      </w:r>
      <w:r w:rsidRPr="00C44D8C">
        <w:rPr>
          <w:rFonts w:asciiTheme="minorHAnsi" w:hAnsiTheme="minorHAnsi"/>
          <w:color w:val="000000"/>
          <w:sz w:val="22"/>
          <w:szCs w:val="22"/>
          <w:lang w:eastAsia="en-GB"/>
        </w:rPr>
        <w:t xml:space="preserve">triose phosphate isomerase activity (TPI) assay revealed that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cells attached to PVC had a TPI activity of 0.012 nmol/min/µl compared to cells attached to PETG which exhibited a TPI activity of 0.006 nmol/min/µl. This is a 2-fold increase of TPI activity from PVC-biofilm cells, which corresponds with the expected fold change of 2.76 for TPI in PVC-biofilm cells as determined by iTRAQ analysis (Table 5.6).</w:t>
      </w:r>
    </w:p>
    <w:p w14:paraId="254820F9" w14:textId="77777777"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ab/>
        <w:t xml:space="preserve">However, the fumarase activity assay revealed that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cells attached to PVC had a fumarase activity of 0.017 nmol/min/µl compared to cells attached to PETG which exhibited a fumarase activity of 0.0012 nmol/min/µl. This is a 14-fold increase of fumarase activity from PVC-biofilm cells, whereas a much lower fold change of 1.40 from PVC-biofilm cells was determined by iTRAQ analysis (Table 5.6). </w:t>
      </w:r>
    </w:p>
    <w:p w14:paraId="5B25ABE0" w14:textId="77777777" w:rsidR="00436CD0" w:rsidRPr="00C44D8C" w:rsidRDefault="00436CD0" w:rsidP="00436CD0">
      <w:pPr>
        <w:spacing w:line="360" w:lineRule="auto"/>
        <w:rPr>
          <w:rFonts w:asciiTheme="minorHAnsi" w:hAnsiTheme="minorHAnsi"/>
          <w:bCs/>
          <w:color w:val="000000"/>
          <w:sz w:val="22"/>
          <w:szCs w:val="22"/>
          <w:lang w:eastAsia="en-GB"/>
        </w:rPr>
      </w:pPr>
      <w:r w:rsidRPr="00C44D8C">
        <w:rPr>
          <w:rFonts w:asciiTheme="minorHAnsi" w:hAnsiTheme="minorHAnsi"/>
          <w:color w:val="000000"/>
          <w:sz w:val="22"/>
          <w:szCs w:val="22"/>
          <w:lang w:eastAsia="en-GB"/>
        </w:rPr>
        <w:t xml:space="preserve"> </w:t>
      </w:r>
    </w:p>
    <w:p w14:paraId="4F3F8BC9" w14:textId="3CE19BD9" w:rsidR="00436CD0" w:rsidRPr="00C44D8C" w:rsidRDefault="00436CD0" w:rsidP="002B29E5">
      <w:pPr>
        <w:pStyle w:val="Heading1"/>
        <w:rPr>
          <w:lang w:eastAsia="en-GB"/>
        </w:rPr>
      </w:pPr>
      <w:bookmarkStart w:id="157" w:name="_Toc462575366"/>
      <w:r w:rsidRPr="00C44D8C">
        <w:rPr>
          <w:lang w:eastAsia="en-GB"/>
        </w:rPr>
        <w:t>5.4. Discussion</w:t>
      </w:r>
      <w:bookmarkEnd w:id="157"/>
    </w:p>
    <w:p w14:paraId="53E28EF0" w14:textId="2986F5FA" w:rsidR="00436CD0" w:rsidRPr="00C44D8C" w:rsidRDefault="00436CD0" w:rsidP="00436CD0">
      <w:pPr>
        <w:spacing w:line="360" w:lineRule="auto"/>
        <w:rPr>
          <w:rFonts w:asciiTheme="minorHAnsi" w:hAnsiTheme="minorHAnsi"/>
          <w:sz w:val="22"/>
          <w:szCs w:val="22"/>
          <w:lang w:eastAsia="en-GB"/>
        </w:rPr>
      </w:pPr>
      <w:r w:rsidRPr="00C44D8C">
        <w:rPr>
          <w:rFonts w:asciiTheme="minorHAnsi" w:hAnsiTheme="minorHAnsi"/>
          <w:bCs/>
          <w:color w:val="000000"/>
          <w:sz w:val="22"/>
          <w:szCs w:val="22"/>
          <w:lang w:eastAsia="en-GB"/>
        </w:rPr>
        <w:t xml:space="preserve">Despite the increasing interest in biofilms, little is known of the effect of the attachment substratum on the cell physiology of adherent cells. This study aimed to describe the changes in protein expression from biofilms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attached to two different support materials, PVC and PETG, after 96 h, and revealed that biofilms were physiologically distinct depending on the support material they were attached to. A biofilm mode of growth on PVC caused the</w:t>
      </w:r>
      <w:r w:rsidR="00833BC6">
        <w:rPr>
          <w:rFonts w:asciiTheme="minorHAnsi" w:hAnsiTheme="minorHAnsi"/>
          <w:bCs/>
          <w:color w:val="000000"/>
          <w:sz w:val="22"/>
          <w:szCs w:val="22"/>
          <w:lang w:eastAsia="en-GB"/>
        </w:rPr>
        <w:t xml:space="preserve"> increased relative abundance</w:t>
      </w:r>
      <w:r w:rsidRPr="00C44D8C">
        <w:rPr>
          <w:rFonts w:asciiTheme="minorHAnsi" w:hAnsiTheme="minorHAnsi"/>
          <w:bCs/>
          <w:color w:val="000000"/>
          <w:sz w:val="22"/>
          <w:szCs w:val="22"/>
          <w:lang w:eastAsia="en-GB"/>
        </w:rPr>
        <w:t xml:space="preserve"> of 730 proteins involved in methanogenesis, cellular growth, central metabolism, energy conservation, and cellular processes compared to biofilms attached to PETG. A biofilm mode of growth on PETG caused the </w:t>
      </w:r>
      <w:r w:rsidR="00833BC6">
        <w:rPr>
          <w:rFonts w:asciiTheme="minorHAnsi" w:hAnsiTheme="minorHAnsi"/>
          <w:color w:val="000000"/>
          <w:sz w:val="22"/>
          <w:szCs w:val="22"/>
          <w:lang w:eastAsia="en-GB"/>
        </w:rPr>
        <w:t>increased relative abundance</w:t>
      </w:r>
      <w:r w:rsidRPr="00C44D8C">
        <w:rPr>
          <w:rFonts w:asciiTheme="minorHAnsi" w:hAnsiTheme="minorHAnsi"/>
          <w:bCs/>
          <w:color w:val="000000"/>
          <w:sz w:val="22"/>
          <w:szCs w:val="22"/>
          <w:lang w:eastAsia="en-GB"/>
        </w:rPr>
        <w:t xml:space="preserve"> of 2 proteins that were </w:t>
      </w:r>
      <w:r w:rsidR="00833BC6">
        <w:rPr>
          <w:rFonts w:asciiTheme="minorHAnsi" w:hAnsiTheme="minorHAnsi"/>
          <w:bCs/>
          <w:color w:val="000000"/>
          <w:sz w:val="22"/>
          <w:szCs w:val="22"/>
          <w:lang w:eastAsia="en-GB"/>
        </w:rPr>
        <w:t>found in lower relative abundance</w:t>
      </w:r>
      <w:r w:rsidRPr="00C44D8C">
        <w:rPr>
          <w:rFonts w:asciiTheme="minorHAnsi" w:hAnsiTheme="minorHAnsi"/>
          <w:bCs/>
          <w:color w:val="000000"/>
          <w:sz w:val="22"/>
          <w:szCs w:val="22"/>
          <w:lang w:eastAsia="en-GB"/>
        </w:rPr>
        <w:t xml:space="preserve"> in biofilms attached to PVC</w:t>
      </w:r>
      <w:r w:rsidRPr="00C44D8C">
        <w:rPr>
          <w:rFonts w:asciiTheme="minorHAnsi" w:hAnsiTheme="minorHAnsi"/>
          <w:color w:val="000000"/>
          <w:sz w:val="22"/>
          <w:szCs w:val="22"/>
          <w:lang w:eastAsia="en-GB"/>
        </w:rPr>
        <w:t>.</w:t>
      </w:r>
    </w:p>
    <w:p w14:paraId="35925CC3" w14:textId="162B6617"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Past studies have shown that environmental conditions, such as temperature, nutrients and pH, signal the modified regulation of protein expression in cells to facilitate adhesion and biofilm formation </w:t>
      </w:r>
      <w:r w:rsidR="009C6F0F">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"ITEM-1",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"id" : "ITEM-2", "itemData" : { "DOI" : "10.1128/AEM.68.6.2770", "abstract" : "Bacillus cereus, a dairy-associated toxigenic bacterium, readily forms biofilms on various surfaces and was used to gain a better understanding of biofilm development by gram-positive aerobic rods. B. cereus DL5 was shown to readily adapt to an attached mode of growth, with dense biofilm structures developing within 18 h after inoculation when glass wool was used as a surface. Two-dimensional gel electrophoresis (2DE) revealed distinct and reproducible phenotypic differences between 2- and 18-h-old biofilm and planktonic cells (grown both in the presence and in the absence of glass wool). Whereas the 2-h-old biofilm proteome indicated expression of 15 unique proteins, the 18-h-old biofilm proteome contained 7 uniquely expressed proteins. Differences between the microcolony (2-h) proteome and the more developed biofilm (18-h) proteome were largely due to up- and down-regulation of the expression of a multitude of proteins. Selected protein spots excised from 2DE gels were subjected to N-terminal sequencing and identified with high confidence. Among the proteins were catabolic ornithine carbamoyltransferase and L-lactate dehydrogenase. Interestingly, increased levels of YhbH, a member of the sigma 54 modulation protein family which is strongly induced in response to environmental stresses and energy depletion via both \ue001B and \ue001H , could be observed within2hin both attached cells and planktonic cultures growing in the presence of glass wool, indicating that this protein plays an important role in regulation of the biofilm phenotype. Distinct band differences were also found between the extracellular proteins of 18-h-old cultures grown in the presence and in the absence of glass wool.", "author" : [ { "dropping-particle" : "", "family" : "Oosthuizen", "given" : "Marinda C", "non-dropping-particle" : "", "parse-names" : false, "suffix" : "" }, { "dropping-particle" : "", "family" : "Steyn", "given" : "Bridgitta", "non-dropping-particle" : "", "parse-names" : false, "suffix" : "" }, { "dropping-particle" : "", "family" : "Theron", "given" : "Jacques", "non-dropping-particle" : "", "parse-names" : false, "suffix" : "" }, { "dropping-particle" : "", "family" : "Cosette", "given" : "Pascal", "non-dropping-particle" : "", "parse-names" : false, "suffix" : "" }, { "dropping-particle" : "", "family" : "Lindsay", "given" : "Denise", "non-dropping-particle" : "", "parse-names" : false, "suffix" : "" }, { "dropping-particle" : "Von", "family" : "Holy", "given" : "Alexander", "non-dropping-particle" : "", "parse-names" : false, "suffix" : "" }, { "dropping-particle" : "", "family" : "Br\u00f6zel", "given" : "Volker S", "non-dropping-particle" : "", "parse-names" : false, "suffix" : "" } ], "container-title" : "Applied and Environmental Microbiology", "id" : "ITEM-2", "issue" : "6", "issued" : { "date-parts" : [ [ "2002" ] ] }, "page" : "2770-2780", "title" : "Proteomic Analysis Reveals Differential Protein Expression by Bacillus cereus during Biofilm Formation Proteomic Analysis Reveals Differential Protein Expression by Bacillus cereus during Biofilm Formation", "type" : "article-journal", "volume" : "68" }, "uris" : [ "http://www.mendeley.com/documents/?uuid=2f1e399c-db51-40b5-a092-49b28fc73577" ] }, { "id" : "ITEM-3", "itemData" : { "DOI" : "10.1128/AEM.70.6.3736", "author" : [ { "dropping-particle" : "", "family" : "Welin", "given" : "J", "non-dropping-particle" : "", "parse-names" : false, "suffix" : "" }, { "dropping-particle" : "", "family" : "Wilkins", "given" : "J.C.", "non-dropping-particle" : "", "parse-names" : false, "suffix" : "" }, { "dropping-particle" : "", "family" : "Beighton", "given" : "D", "non-dropping-particle" : "", "parse-names" : false, "suffix" : "" }, { "dropping-particle" : "", "family" : "Svensater", "given" : "G", "non-dropping-particle" : "", "parse-names" : false, "suffix" : "" } ], "container-title" : "Appl. Environ. Microbiol.", "id" : "ITEM-3", "issue" : "6", "issued" : { "date-parts" : [ [ "2004" ] ] }, "page" : "3736-3741", "title" : "Protein expression by Streptococcus mutans during initial stage of biofilm formation", "type" : "article-journal", "volume" : "70" }, "uris" : [ "http://www.mendeley.com/documents/?uuid=6aaef4f2-5f58-4dad-a4df-c01ea5bb02fb" ] } ], "mendeley" : { "formattedCitation" : "[89,231,232]", "plainTextFormattedCitation" : "[89,231,232]", "previouslyFormattedCitation" : "[89,231,232]" }, "properties" : { "noteIndex" : 0 }, "schema" : "https://github.com/citation-style-language/schema/raw/master/csl-citation.json" }</w:instrText>
      </w:r>
      <w:r w:rsidR="009C6F0F">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[89,231,232]</w:t>
      </w:r>
      <w:r w:rsidR="009C6F0F">
        <w:rPr>
          <w:rFonts w:asciiTheme="minorHAnsi" w:hAnsiTheme="minorHAnsi"/>
          <w:color w:val="000000"/>
          <w:sz w:val="22"/>
          <w:szCs w:val="22"/>
          <w:lang w:eastAsia="en-GB"/>
        </w:rPr>
        <w:fldChar w:fldCharType="end"/>
      </w:r>
      <w:r w:rsidR="009C6F0F">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The support materials tested in this study, PVC and PETG, can also be regarded as an environmental factor that can signal an altered proteome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for biofilm formation. </w:t>
      </w:r>
    </w:p>
    <w:p w14:paraId="4AFD7AEF" w14:textId="39973EDA" w:rsidR="00436CD0" w:rsidRPr="00C44D8C" w:rsidRDefault="00436CD0" w:rsidP="00436CD0">
      <w:pPr>
        <w:spacing w:line="360" w:lineRule="auto"/>
        <w:ind w:firstLine="720"/>
        <w:rPr>
          <w:rFonts w:asciiTheme="minorHAnsi" w:hAnsiTheme="minorHAnsi"/>
          <w:bCs/>
          <w:color w:val="000000"/>
          <w:sz w:val="22"/>
          <w:szCs w:val="22"/>
          <w:lang w:eastAsia="en-GB"/>
        </w:rPr>
      </w:pPr>
      <w:r w:rsidRPr="00C44D8C">
        <w:rPr>
          <w:rFonts w:asciiTheme="minorHAnsi" w:hAnsiTheme="minorHAnsi"/>
          <w:bCs/>
          <w:color w:val="000000"/>
          <w:sz w:val="22"/>
          <w:szCs w:val="22"/>
          <w:lang w:eastAsia="en-GB"/>
        </w:rPr>
        <w:t xml:space="preserve">The results suggest that PVC provides an ideal attachment substratum and microenvironment that promotes a higher level of adhesion and cell accumulation </w:t>
      </w:r>
      <w:r w:rsidRPr="00C44D8C">
        <w:rPr>
          <w:rFonts w:asciiTheme="minorHAnsi" w:hAnsiTheme="minorHAnsi"/>
          <w:bCs/>
          <w:color w:val="000000"/>
          <w:sz w:val="22"/>
          <w:szCs w:val="22"/>
          <w:lang w:eastAsia="en-GB"/>
        </w:rPr>
        <w:lastRenderedPageBreak/>
        <w:t xml:space="preserve">compared to PETG. Preferential adhesion to PVC was predicted to be a result of a net attractive interaction energy and possible polymer bridging between the surfaces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 xml:space="preserve">and PVC in chapter 3. In this chapter, the more rapid biofilm formation of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 xml:space="preserve">cells to PVC after 96 h was associated with the </w:t>
      </w:r>
      <w:r w:rsidR="00833BC6">
        <w:rPr>
          <w:rFonts w:asciiTheme="minorHAnsi" w:hAnsiTheme="minorHAnsi"/>
          <w:color w:val="000000"/>
          <w:sz w:val="22"/>
          <w:szCs w:val="22"/>
          <w:lang w:eastAsia="en-GB"/>
        </w:rPr>
        <w:t>higher relative abundance</w:t>
      </w:r>
      <w:r w:rsidR="00833BC6" w:rsidRPr="00C44D8C">
        <w:rPr>
          <w:rFonts w:asciiTheme="minorHAnsi" w:hAnsiTheme="minorHAnsi"/>
          <w:color w:val="000000"/>
          <w:sz w:val="22"/>
          <w:szCs w:val="22"/>
          <w:lang w:eastAsia="en-GB"/>
        </w:rPr>
        <w:t xml:space="preserve"> </w:t>
      </w:r>
      <w:r w:rsidRPr="00C44D8C">
        <w:rPr>
          <w:rFonts w:asciiTheme="minorHAnsi" w:hAnsiTheme="minorHAnsi"/>
          <w:bCs/>
          <w:color w:val="000000"/>
          <w:sz w:val="22"/>
          <w:szCs w:val="22"/>
          <w:lang w:eastAsia="en-GB"/>
        </w:rPr>
        <w:t xml:space="preserve">of numerous proteins involved in a more developed stage of biofilm formation (Tables 5.1-5.6). </w:t>
      </w:r>
    </w:p>
    <w:p w14:paraId="7961F159" w14:textId="7CC9D3DB"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The previous two chapters have shown that PETG has a surface that is relatively incompatible for biofilm formation from </w:t>
      </w:r>
      <w:r w:rsidRPr="00C44D8C">
        <w:rPr>
          <w:rFonts w:asciiTheme="minorHAnsi" w:hAnsiTheme="minorHAnsi"/>
          <w:i/>
          <w:color w:val="000000"/>
          <w:sz w:val="22"/>
          <w:szCs w:val="22"/>
          <w:lang w:eastAsia="en-GB"/>
        </w:rPr>
        <w:t>M. barkeri</w:t>
      </w:r>
      <w:r w:rsidRPr="00C44D8C">
        <w:rPr>
          <w:rFonts w:asciiTheme="minorHAnsi" w:hAnsiTheme="minorHAnsi"/>
          <w:color w:val="000000"/>
          <w:sz w:val="22"/>
          <w:szCs w:val="22"/>
          <w:lang w:eastAsia="en-GB"/>
        </w:rPr>
        <w:t xml:space="preserve"> compared to PVC, eliciting low levels of attachment. In this chapter, results showed that </w:t>
      </w:r>
      <w:r w:rsidRPr="00C44D8C">
        <w:rPr>
          <w:rFonts w:asciiTheme="minorHAnsi" w:hAnsiTheme="minorHAnsi"/>
          <w:bCs/>
          <w:color w:val="000000"/>
          <w:sz w:val="22"/>
          <w:szCs w:val="22"/>
          <w:lang w:eastAsia="en-GB"/>
        </w:rPr>
        <w:t>the lower level of adhesion and slower accumulation of cells to the surface of PETG produced a proteomic profile of a less developed biofilm compared to PVC. Cells</w:t>
      </w:r>
      <w:r w:rsidRPr="00C44D8C">
        <w:rPr>
          <w:rFonts w:asciiTheme="minorHAnsi" w:hAnsiTheme="minorHAnsi"/>
          <w:color w:val="000000"/>
          <w:sz w:val="22"/>
          <w:szCs w:val="22"/>
          <w:lang w:eastAsia="en-GB"/>
        </w:rPr>
        <w:t xml:space="preserve">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could be experiencing an extensive initial lag phase in growth in biofilms when grown with PETG, in which cells were slowly adapting to attachment and growth on PETG. Such a lag phase in biofilm development has been reported for </w:t>
      </w:r>
      <w:r w:rsidRPr="00C44D8C">
        <w:rPr>
          <w:rFonts w:asciiTheme="minorHAnsi" w:hAnsiTheme="minorHAnsi"/>
          <w:i/>
          <w:color w:val="000000"/>
          <w:sz w:val="22"/>
          <w:szCs w:val="22"/>
          <w:lang w:eastAsia="en-GB"/>
        </w:rPr>
        <w:t>Bacillus cereus</w:t>
      </w:r>
      <w:r w:rsidR="009C6F0F">
        <w:rPr>
          <w:rFonts w:asciiTheme="minorHAnsi" w:hAnsiTheme="minorHAnsi"/>
          <w:i/>
          <w:color w:val="000000"/>
          <w:sz w:val="22"/>
          <w:szCs w:val="22"/>
          <w:lang w:eastAsia="en-GB"/>
        </w:rPr>
        <w:t xml:space="preserve"> </w:t>
      </w:r>
      <w:r w:rsidR="009C6F0F">
        <w:rPr>
          <w:rFonts w:asciiTheme="minorHAnsi" w:hAnsiTheme="minorHAnsi"/>
          <w:i/>
          <w:color w:val="000000"/>
          <w:sz w:val="22"/>
          <w:szCs w:val="22"/>
          <w:lang w:eastAsia="en-GB"/>
        </w:rPr>
        <w:fldChar w:fldCharType="begin" w:fldLock="1"/>
      </w:r>
      <w:r w:rsidR="007E3308">
        <w:rPr>
          <w:rFonts w:asciiTheme="minorHAnsi" w:hAnsiTheme="minorHAnsi"/>
          <w:i/>
          <w:color w:val="000000"/>
          <w:sz w:val="22"/>
          <w:szCs w:val="22"/>
          <w:lang w:eastAsia="en-GB"/>
        </w:rPr>
        <w:instrText>ADDIN CSL_CITATION { "citationItems" : [ { "id" : "ITEM-1", "itemData" : { "DOI" : "10.1128/AEM.68.6.2770", "abstract" : "Bacillus cereus, a dairy-associated toxigenic bacterium, readily forms biofilms on various surfaces and was used to gain a better understanding of biofilm development by gram-positive aerobic rods. B. cereus DL5 was shown to readily adapt to an attached mode of growth, with dense biofilm structures developing within 18 h after inoculation when glass wool was used as a surface. Two-dimensional gel electrophoresis (2DE) revealed distinct and reproducible phenotypic differences between 2- and 18-h-old biofilm and planktonic cells (grown both in the presence and in the absence of glass wool). Whereas the 2-h-old biofilm proteome indicated expression of 15 unique proteins, the 18-h-old biofilm proteome contained 7 uniquely expressed proteins. Differences between the microcolony (2-h) proteome and the more developed biofilm (18-h) proteome were largely due to up- and down-regulation of the expression of a multitude of proteins. Selected protein spots excised from 2DE gels were subjected to N-terminal sequencing and identified with high confidence. Among the proteins were catabolic ornithine carbamoyltransferase and L-lactate dehydrogenase. Interestingly, increased levels of YhbH, a member of the sigma 54 modulation protein family which is strongly induced in response to environmental stresses and energy depletion via both \ue001B and \ue001H , could be observed within2hin both attached cells and planktonic cultures growing in the presence of glass wool, indicating that this protein plays an important role in regulation of the biofilm phenotype. Distinct band differences were also found between the extracellular proteins of 18-h-old cultures grown in the presence and in the absence of glass wool.", "author" : [ { "dropping-particle" : "", "family" : "Oosthuizen", "given" : "Marinda C", "non-dropping-particle" : "", "parse-names" : false, "suffix" : "" }, { "dropping-particle" : "", "family" : "Steyn", "given" : "Bridgitta", "non-dropping-particle" : "", "parse-names" : false, "suffix" : "" }, { "dropping-particle" : "", "family" : "Theron", "given" : "Jacques", "non-dropping-particle" : "", "parse-names" : false, "suffix" : "" }, { "dropping-particle" : "", "family" : "Cosette", "given" : "Pascal", "non-dropping-particle" : "", "parse-names" : false, "suffix" : "" }, { "dropping-particle" : "", "family" : "Lindsay", "given" : "Denise", "non-dropping-particle" : "", "parse-names" : false, "suffix" : "" }, { "dropping-particle" : "Von", "family" : "Holy", "given" : "Alexander", "non-dropping-particle" : "", "parse-names" : false, "suffix" : "" }, { "dropping-particle" : "", "family" : "Br\u00f6zel", "given" : "Volker S", "non-dropping-particle" : "", "parse-names" : false, "suffix" : "" } ], "container-title" : "Applied and Environmental Microbiology", "id" : "ITEM-1", "issue" : "6", "issued" : { "date-parts" : [ [ "2002" ] ] }, "page" : "2770-2780", "title" : "Proteomic Analysis Reveals Differential Protein Expression by Bacillus cereus during Biofilm Formation Proteomic Analysis Reveals Differential Protein Expression by Bacillus cereus during Biofilm Formation", "type" : "article-journal", "volume" : "68" }, "uris" : [ "http://www.mendeley.com/documents/?uuid=2f1e399c-db51-40b5-a092-49b28fc73577" ] } ], "mendeley" : { "formattedCitation" : "[231]", "plainTextFormattedCitation" : "[231]", "previouslyFormattedCitation" : "[231]" }, "properties" : { "noteIndex" : 0 }, "schema" : "https://github.com/citation-style-language/schema/raw/master/csl-citation.json" }</w:instrText>
      </w:r>
      <w:r w:rsidR="009C6F0F">
        <w:rPr>
          <w:rFonts w:asciiTheme="minorHAnsi" w:hAnsiTheme="minorHAnsi"/>
          <w:i/>
          <w:color w:val="000000"/>
          <w:sz w:val="22"/>
          <w:szCs w:val="22"/>
          <w:lang w:eastAsia="en-GB"/>
        </w:rPr>
        <w:fldChar w:fldCharType="separate"/>
      </w:r>
      <w:r w:rsidR="007E3308" w:rsidRPr="007E3308">
        <w:rPr>
          <w:rFonts w:asciiTheme="minorHAnsi" w:hAnsiTheme="minorHAnsi"/>
          <w:noProof/>
          <w:color w:val="000000"/>
          <w:sz w:val="22"/>
          <w:szCs w:val="22"/>
          <w:lang w:eastAsia="en-GB"/>
        </w:rPr>
        <w:t>[231]</w:t>
      </w:r>
      <w:r w:rsidR="009C6F0F">
        <w:rPr>
          <w:rFonts w:asciiTheme="minorHAnsi" w:hAnsiTheme="minorHAnsi"/>
          <w:i/>
          <w:color w:val="000000"/>
          <w:sz w:val="22"/>
          <w:szCs w:val="22"/>
          <w:lang w:eastAsia="en-GB"/>
        </w:rPr>
        <w:fldChar w:fldCharType="end"/>
      </w:r>
      <w:r w:rsidR="001A3070">
        <w:rPr>
          <w:rFonts w:asciiTheme="minorHAnsi" w:hAnsiTheme="minorHAnsi"/>
          <w:color w:val="000000"/>
          <w:sz w:val="22"/>
          <w:szCs w:val="22"/>
          <w:lang w:eastAsia="en-GB"/>
        </w:rPr>
        <w:t xml:space="preserve">, </w:t>
      </w:r>
      <w:r w:rsidRPr="00C44D8C">
        <w:rPr>
          <w:rFonts w:asciiTheme="minorHAnsi" w:hAnsiTheme="minorHAnsi"/>
          <w:color w:val="000000"/>
          <w:sz w:val="22"/>
          <w:szCs w:val="22"/>
          <w:lang w:eastAsia="en-GB"/>
        </w:rPr>
        <w:t xml:space="preserve">where an extensive lag time in growth was experienced by cells after initial attachment to glass wool and glass slides, respectively. </w:t>
      </w:r>
    </w:p>
    <w:p w14:paraId="3D74CAF5" w14:textId="77777777" w:rsidR="00436CD0" w:rsidRDefault="00436CD0" w:rsidP="00436CD0">
      <w:pPr>
        <w:spacing w:line="360" w:lineRule="auto"/>
        <w:ind w:firstLine="720"/>
        <w:rPr>
          <w:rFonts w:asciiTheme="minorHAnsi" w:hAnsiTheme="minorHAnsi"/>
          <w:bCs/>
          <w:iCs/>
          <w:color w:val="000000"/>
          <w:sz w:val="22"/>
          <w:szCs w:val="22"/>
          <w:lang w:eastAsia="en-GB"/>
        </w:rPr>
      </w:pPr>
      <w:r w:rsidRPr="00C44D8C">
        <w:rPr>
          <w:rFonts w:asciiTheme="minorHAnsi" w:hAnsiTheme="minorHAnsi"/>
          <w:color w:val="000000"/>
          <w:sz w:val="22"/>
          <w:szCs w:val="22"/>
          <w:lang w:eastAsia="en-GB"/>
        </w:rPr>
        <w:t>This observation is supported by the results from the biofilm accumulation experiment in this study, where PETG experienced a low accumulation of cells, mannose and glucose residues throughout the time course compared to biofilms on PVC (Fig. 5.2). In</w:t>
      </w:r>
      <w:r w:rsidRPr="00C44D8C">
        <w:rPr>
          <w:rFonts w:asciiTheme="minorHAnsi" w:hAnsiTheme="minorHAnsi"/>
          <w:bCs/>
          <w:iCs/>
          <w:color w:val="000000"/>
          <w:sz w:val="22"/>
          <w:szCs w:val="22"/>
          <w:lang w:eastAsia="en-GB"/>
        </w:rPr>
        <w:t xml:space="preserve"> biofilms attached to PVC, distinct phenotypic differences were observed at each time point, which could correlate to three distinct developmental stages of biofilm formation: the lower levels of cell and mannose and glucose residues detected at day 2 could describe the initial adhesion of cells to the abiotic substratum. The irreversible adhesion of cells may be indicated by the higher accumulation of cells and sugar residues at the PVC surface on day 4, followed by the establishment of a more developed biofilm presumably experiencing nutrient depletion and potential biofilm dispersal, as indicated by the slightly lower levels of cell and sugar residue accumulation at day 6 (Fig. 5.2). It is interesting to note that these distinct biofilm phenotypes were lacking in cells attached to PETG, suggesting a much slower biofilm developmental process on this surface compared to PVC.</w:t>
      </w:r>
    </w:p>
    <w:p w14:paraId="449AFAEF" w14:textId="5FFA9D02" w:rsidR="00436CD0" w:rsidRPr="00C44D8C" w:rsidRDefault="009371F0" w:rsidP="00436CD0">
      <w:pPr>
        <w:spacing w:line="360" w:lineRule="auto"/>
        <w:ind w:firstLine="720"/>
        <w:rPr>
          <w:rFonts w:asciiTheme="minorHAnsi" w:hAnsiTheme="minorHAnsi"/>
          <w:color w:val="000000"/>
          <w:sz w:val="22"/>
          <w:szCs w:val="22"/>
          <w:lang w:eastAsia="en-GB"/>
        </w:rPr>
      </w:pPr>
      <w:r>
        <w:rPr>
          <w:rFonts w:asciiTheme="minorHAnsi" w:hAnsiTheme="minorHAnsi"/>
          <w:bCs/>
          <w:iCs/>
          <w:color w:val="000000"/>
          <w:sz w:val="22"/>
          <w:szCs w:val="22"/>
          <w:lang w:eastAsia="en-GB"/>
        </w:rPr>
        <w:t>It can be observed from Fig. 5.3 that t</w:t>
      </w:r>
      <w:r w:rsidR="000F1CC8">
        <w:rPr>
          <w:rFonts w:asciiTheme="minorHAnsi" w:hAnsiTheme="minorHAnsi"/>
          <w:bCs/>
          <w:iCs/>
          <w:color w:val="000000"/>
          <w:sz w:val="22"/>
          <w:szCs w:val="22"/>
          <w:lang w:eastAsia="en-GB"/>
        </w:rPr>
        <w:t xml:space="preserve">he ConA signals detected for </w:t>
      </w:r>
      <w:r w:rsidR="000F1CC8">
        <w:rPr>
          <w:rFonts w:asciiTheme="minorHAnsi" w:hAnsiTheme="minorHAnsi"/>
          <w:bCs/>
          <w:i/>
          <w:iCs/>
          <w:color w:val="000000"/>
          <w:sz w:val="22"/>
          <w:szCs w:val="22"/>
          <w:lang w:eastAsia="en-GB"/>
        </w:rPr>
        <w:t xml:space="preserve">M. barkeri </w:t>
      </w:r>
      <w:r>
        <w:rPr>
          <w:rFonts w:asciiTheme="minorHAnsi" w:hAnsiTheme="minorHAnsi"/>
          <w:bCs/>
          <w:iCs/>
          <w:color w:val="000000"/>
          <w:sz w:val="22"/>
          <w:szCs w:val="22"/>
          <w:lang w:eastAsia="en-GB"/>
        </w:rPr>
        <w:t xml:space="preserve">attached </w:t>
      </w:r>
      <w:r w:rsidR="000F1CC8">
        <w:rPr>
          <w:rFonts w:asciiTheme="minorHAnsi" w:hAnsiTheme="minorHAnsi"/>
          <w:bCs/>
          <w:iCs/>
          <w:color w:val="000000"/>
          <w:sz w:val="22"/>
          <w:szCs w:val="22"/>
          <w:lang w:eastAsia="en-GB"/>
        </w:rPr>
        <w:t>on</w:t>
      </w:r>
      <w:r>
        <w:rPr>
          <w:rFonts w:asciiTheme="minorHAnsi" w:hAnsiTheme="minorHAnsi"/>
          <w:bCs/>
          <w:iCs/>
          <w:color w:val="000000"/>
          <w:sz w:val="22"/>
          <w:szCs w:val="22"/>
          <w:lang w:eastAsia="en-GB"/>
        </w:rPr>
        <w:t xml:space="preserve"> PVC</w:t>
      </w:r>
      <w:r w:rsidR="000F1CC8">
        <w:rPr>
          <w:rFonts w:asciiTheme="minorHAnsi" w:hAnsiTheme="minorHAnsi"/>
          <w:bCs/>
          <w:iCs/>
          <w:color w:val="000000"/>
          <w:sz w:val="22"/>
          <w:szCs w:val="22"/>
          <w:lang w:eastAsia="en-GB"/>
        </w:rPr>
        <w:t xml:space="preserve"> and PETG </w:t>
      </w:r>
      <w:r>
        <w:rPr>
          <w:rFonts w:asciiTheme="minorHAnsi" w:hAnsiTheme="minorHAnsi"/>
          <w:bCs/>
          <w:iCs/>
          <w:color w:val="000000"/>
          <w:sz w:val="22"/>
          <w:szCs w:val="22"/>
          <w:lang w:eastAsia="en-GB"/>
        </w:rPr>
        <w:t xml:space="preserve">did not overlap or closely correspond with the </w:t>
      </w:r>
      <w:r w:rsidR="000F1CC8">
        <w:rPr>
          <w:rFonts w:asciiTheme="minorHAnsi" w:hAnsiTheme="minorHAnsi"/>
          <w:bCs/>
          <w:iCs/>
          <w:color w:val="000000"/>
          <w:sz w:val="22"/>
          <w:szCs w:val="22"/>
          <w:lang w:eastAsia="en-GB"/>
        </w:rPr>
        <w:t xml:space="preserve">DAPI-stained cells. Previous studies have reported the overlapping of ConA and DAPI signals </w:t>
      </w:r>
      <w:r>
        <w:rPr>
          <w:rFonts w:asciiTheme="minorHAnsi" w:hAnsiTheme="minorHAnsi"/>
          <w:bCs/>
          <w:iCs/>
          <w:color w:val="000000"/>
          <w:sz w:val="22"/>
          <w:szCs w:val="22"/>
          <w:lang w:eastAsia="en-GB"/>
        </w:rPr>
        <w:t>from</w:t>
      </w:r>
      <w:r w:rsidR="000F1CC8">
        <w:rPr>
          <w:rFonts w:asciiTheme="minorHAnsi" w:hAnsiTheme="minorHAnsi"/>
          <w:bCs/>
          <w:iCs/>
          <w:color w:val="000000"/>
          <w:sz w:val="22"/>
          <w:szCs w:val="22"/>
          <w:lang w:eastAsia="en-GB"/>
        </w:rPr>
        <w:t xml:space="preserve"> the EPS of </w:t>
      </w:r>
      <w:r w:rsidR="000F1CC8">
        <w:rPr>
          <w:rFonts w:asciiTheme="minorHAnsi" w:hAnsiTheme="minorHAnsi"/>
          <w:bCs/>
          <w:i/>
          <w:iCs/>
          <w:color w:val="000000"/>
          <w:sz w:val="22"/>
          <w:szCs w:val="22"/>
          <w:lang w:eastAsia="en-GB"/>
        </w:rPr>
        <w:t xml:space="preserve">Sulfolobus </w:t>
      </w:r>
      <w:r w:rsidR="000F1CC8">
        <w:rPr>
          <w:rFonts w:asciiTheme="minorHAnsi" w:hAnsiTheme="minorHAnsi"/>
          <w:bCs/>
          <w:iCs/>
          <w:color w:val="000000"/>
          <w:sz w:val="22"/>
          <w:szCs w:val="22"/>
          <w:lang w:eastAsia="en-GB"/>
        </w:rPr>
        <w:t>biofilms</w:t>
      </w:r>
      <w:r w:rsidR="000F1CC8">
        <w:rPr>
          <w:rFonts w:asciiTheme="minorHAnsi" w:hAnsiTheme="minorHAnsi"/>
          <w:bCs/>
          <w:i/>
          <w:iCs/>
          <w:color w:val="000000"/>
          <w:sz w:val="22"/>
          <w:szCs w:val="22"/>
          <w:lang w:eastAsia="en-GB"/>
        </w:rPr>
        <w:t xml:space="preserve"> </w:t>
      </w:r>
      <w:r w:rsidR="000F1CC8">
        <w:rPr>
          <w:rFonts w:asciiTheme="minorHAnsi" w:hAnsiTheme="minorHAnsi"/>
          <w:bCs/>
          <w:iCs/>
          <w:color w:val="000000"/>
          <w:sz w:val="22"/>
          <w:szCs w:val="22"/>
          <w:lang w:eastAsia="en-GB"/>
        </w:rPr>
        <w:fldChar w:fldCharType="begin" w:fldLock="1"/>
      </w:r>
      <w:r w:rsidR="000F1CC8">
        <w:rPr>
          <w:rFonts w:asciiTheme="minorHAnsi" w:hAnsiTheme="minorHAnsi"/>
          <w:bCs/>
          <w:iCs/>
          <w:color w:val="000000"/>
          <w:sz w:val="22"/>
          <w:szCs w:val="22"/>
          <w:lang w:eastAsia="en-GB"/>
        </w:rPr>
        <w:instrText>ADDIN CSL_CITATION { "citationItems" : [ { "id" : "ITEM-1", "itemData" : { "DOI" : "10.1371/journal.pone.0014104", "ISSN" : "1932-6203", "PMID" : "21124788", "abstract" : "BACKGROUND: Biofilm formation has been studied in much detail for a variety of bacterial species, as it plays a major role in the pathogenicity of bacteria. However, only limited information is available for the development of archaeal communities that are frequently found in many natural environments.\n\nMETHODOLOGY: We have analyzed biofilm formation in three closely related hyperthermophilic crenarchaeotes: Sulfolobus acidocaldarius, S. solfataricus and S. tokodaii. We established a microtitre plate assay adapted to high temperatures to determine how pH and temperature influence biofilm formation in these organisms. Biofilm analysis by confocal laser scanning microscopy demonstrated that the three strains form very different communities ranging from simple carpet-like structures in S. solfataricus to high density tower-like structures in S. acidocaldarius in static systems. Lectin staining indicated that all three strains produced extracellular polysaccharides containing glucose, galactose, mannose and N-acetylglucosamine once biofilm formation was initiated. While flagella mutants had no phenotype in two days old static biofilms of S. solfataricus, a UV-induced pili deletion mutant showed decreased attachment of cells.\n\nCONCLUSION: The study gives first insights into formation and development of crenarchaeal biofilms in extreme environments.", "author" : [ { "dropping-particle" : "", "family" : "Koerdt", "given" : "Andrea", "non-dropping-particle" : "", "parse-names" : false, "suffix" : "" }, { "dropping-particle" : "", "family" : "G\u00f6deke", "given" : "Julia", "non-dropping-particle" : "", "parse-names" : false, "suffix" : "" }, { "dropping-particle" : "", "family" : "Berger", "given" : "J\u00fcrgen", "non-dropping-particle" : "", "parse-names" : false, "suffix" : "" }, { "dropping-particle" : "", "family" : "Thormann", "given" : "Kai M", "non-dropping-particle" : "", "parse-names" : false, "suffix" : "" }, { "dropping-particle" : "", "family" : "Albers", "given" : "Sonja-Verena", "non-dropping-particle" : "", "parse-names" : false, "suffix" : "" } ], "container-title" : "PloS one", "id" : "ITEM-1", "issue" : "11", "issued" : { "date-parts" : [ [ "2010", "1" ] ] }, "page" : "e14104", "title" : "Crenarchaeal biofilm formation under extreme conditions.", "type" : "article-journal", "volume" : "5" }, "uris" : [ "http://www.mendeley.com/documents/?uuid=9262f2e8-09a6-421b-bdaf-0d81a060cadd" ] } ], "mendeley" : { "formattedCitation" : "[64]", "plainTextFormattedCitation" : "[64]", "previouslyFormattedCitation" : "[64]" }, "properties" : { "noteIndex" : 0 }, "schema" : "https://github.com/citation-style-language/schema/raw/master/csl-citation.json" }</w:instrText>
      </w:r>
      <w:r w:rsidR="000F1CC8">
        <w:rPr>
          <w:rFonts w:asciiTheme="minorHAnsi" w:hAnsiTheme="minorHAnsi"/>
          <w:bCs/>
          <w:iCs/>
          <w:color w:val="000000"/>
          <w:sz w:val="22"/>
          <w:szCs w:val="22"/>
          <w:lang w:eastAsia="en-GB"/>
        </w:rPr>
        <w:fldChar w:fldCharType="separate"/>
      </w:r>
      <w:r w:rsidR="000F1CC8" w:rsidRPr="000F1CC8">
        <w:rPr>
          <w:rFonts w:asciiTheme="minorHAnsi" w:hAnsiTheme="minorHAnsi"/>
          <w:bCs/>
          <w:iCs/>
          <w:noProof/>
          <w:color w:val="000000"/>
          <w:sz w:val="22"/>
          <w:szCs w:val="22"/>
          <w:lang w:eastAsia="en-GB"/>
        </w:rPr>
        <w:t>[64]</w:t>
      </w:r>
      <w:r w:rsidR="000F1CC8">
        <w:rPr>
          <w:rFonts w:asciiTheme="minorHAnsi" w:hAnsiTheme="minorHAnsi"/>
          <w:bCs/>
          <w:iCs/>
          <w:color w:val="000000"/>
          <w:sz w:val="22"/>
          <w:szCs w:val="22"/>
          <w:lang w:eastAsia="en-GB"/>
        </w:rPr>
        <w:fldChar w:fldCharType="end"/>
      </w:r>
      <w:r w:rsidR="000F1CC8">
        <w:rPr>
          <w:rFonts w:asciiTheme="minorHAnsi" w:hAnsiTheme="minorHAnsi"/>
          <w:bCs/>
          <w:iCs/>
          <w:color w:val="000000"/>
          <w:sz w:val="22"/>
          <w:szCs w:val="22"/>
          <w:lang w:eastAsia="en-GB"/>
        </w:rPr>
        <w:t xml:space="preserve"> and in </w:t>
      </w:r>
      <w:r>
        <w:rPr>
          <w:rFonts w:asciiTheme="minorHAnsi" w:hAnsiTheme="minorHAnsi"/>
          <w:bCs/>
          <w:iCs/>
          <w:color w:val="000000"/>
          <w:sz w:val="22"/>
          <w:szCs w:val="22"/>
          <w:lang w:eastAsia="en-GB"/>
        </w:rPr>
        <w:t xml:space="preserve">microbial </w:t>
      </w:r>
      <w:r w:rsidR="000F1CC8">
        <w:rPr>
          <w:rFonts w:asciiTheme="minorHAnsi" w:hAnsiTheme="minorHAnsi"/>
          <w:bCs/>
          <w:iCs/>
          <w:color w:val="000000"/>
          <w:sz w:val="22"/>
          <w:szCs w:val="22"/>
          <w:lang w:eastAsia="en-GB"/>
        </w:rPr>
        <w:t xml:space="preserve">granules from granular sludge </w:t>
      </w:r>
      <w:r w:rsidR="000F1CC8">
        <w:rPr>
          <w:rFonts w:asciiTheme="minorHAnsi" w:hAnsiTheme="minorHAnsi"/>
          <w:bCs/>
          <w:iCs/>
          <w:color w:val="000000"/>
          <w:sz w:val="22"/>
          <w:szCs w:val="22"/>
          <w:lang w:eastAsia="en-GB"/>
        </w:rPr>
        <w:fldChar w:fldCharType="begin" w:fldLock="1"/>
      </w:r>
      <w:r w:rsidR="006253AD">
        <w:rPr>
          <w:rFonts w:asciiTheme="minorHAnsi" w:hAnsiTheme="minorHAnsi"/>
          <w:bCs/>
          <w:iCs/>
          <w:color w:val="000000"/>
          <w:sz w:val="22"/>
          <w:szCs w:val="22"/>
          <w:lang w:eastAsia="en-GB"/>
        </w:rPr>
        <w:instrText>ADDIN CSL_CITATION { "citationItems" : [ { "id" : "ITEM-1", "itemData" : { "DOI" : "10.1128/AEM.71.2.1051", "ISBN" : "4989289137", "author" : [ { "dropping-particle" : "", "family" : "Mcswain", "given" : "B S", "non-dropping-particle" : "", "parse-names" : false, "suffix" : "" }, { "dropping-particle" : "", "family" : "Irvine", "given" : "R L", "non-dropping-particle" : "", "parse-names" : false, "suffix" : "" }, { "dropping-particle" : "", "family" : "Hausner", "given" : "M", "non-dropping-particle" : "", "parse-names" : false, "suffix" : "" }, { "dropping-particle" : "", "family" : "Wilderer", "given" : "P A", "non-dropping-particle" : "", "parse-names" : false, "suffix" : "" } ], "container-title" : "Applied and Environmental Microbiology", "id" : "ITEM-1", "issue" : "2", "issued" : { "date-parts" : [ [ "2005" ] ] }, "page" : "1051-1057", "title" : "Composition and Distribution of Extracellular Polymeric Substances in Aerobic Flocs and Granular Sludge", "type" : "article-journal", "volume" : "71" }, "uris" : [ "http://www.mendeley.com/documents/?uuid=9c48ed5e-3a65-4c4f-b1b8-2d34cfcf9073" ] } ], "mendeley" : { "formattedCitation" : "[140]", "plainTextFormattedCitation" : "[140]", "previouslyFormattedCitation" : "[140]" }, "properties" : { "noteIndex" : 0 }, "schema" : "https://github.com/citation-style-language/schema/raw/master/csl-citation.json" }</w:instrText>
      </w:r>
      <w:r w:rsidR="000F1CC8">
        <w:rPr>
          <w:rFonts w:asciiTheme="minorHAnsi" w:hAnsiTheme="minorHAnsi"/>
          <w:bCs/>
          <w:iCs/>
          <w:color w:val="000000"/>
          <w:sz w:val="22"/>
          <w:szCs w:val="22"/>
          <w:lang w:eastAsia="en-GB"/>
        </w:rPr>
        <w:fldChar w:fldCharType="separate"/>
      </w:r>
      <w:r w:rsidR="000F1CC8" w:rsidRPr="000F1CC8">
        <w:rPr>
          <w:rFonts w:asciiTheme="minorHAnsi" w:hAnsiTheme="minorHAnsi"/>
          <w:bCs/>
          <w:iCs/>
          <w:noProof/>
          <w:color w:val="000000"/>
          <w:sz w:val="22"/>
          <w:szCs w:val="22"/>
          <w:lang w:eastAsia="en-GB"/>
        </w:rPr>
        <w:t>[140]</w:t>
      </w:r>
      <w:r w:rsidR="000F1CC8">
        <w:rPr>
          <w:rFonts w:asciiTheme="minorHAnsi" w:hAnsiTheme="minorHAnsi"/>
          <w:bCs/>
          <w:iCs/>
          <w:color w:val="000000"/>
          <w:sz w:val="22"/>
          <w:szCs w:val="22"/>
          <w:lang w:eastAsia="en-GB"/>
        </w:rPr>
        <w:fldChar w:fldCharType="end"/>
      </w:r>
      <w:r w:rsidR="000F1CC8">
        <w:rPr>
          <w:rFonts w:asciiTheme="minorHAnsi" w:hAnsiTheme="minorHAnsi"/>
          <w:bCs/>
          <w:iCs/>
          <w:color w:val="000000"/>
          <w:sz w:val="22"/>
          <w:szCs w:val="22"/>
          <w:lang w:eastAsia="en-GB"/>
        </w:rPr>
        <w:t xml:space="preserve">. It is possible </w:t>
      </w:r>
      <w:r>
        <w:rPr>
          <w:rFonts w:asciiTheme="minorHAnsi" w:hAnsiTheme="minorHAnsi"/>
          <w:bCs/>
          <w:iCs/>
          <w:color w:val="000000"/>
          <w:sz w:val="22"/>
          <w:szCs w:val="22"/>
          <w:lang w:eastAsia="en-GB"/>
        </w:rPr>
        <w:t xml:space="preserve">that some disruption to the structure of </w:t>
      </w:r>
      <w:r>
        <w:rPr>
          <w:rFonts w:asciiTheme="minorHAnsi" w:hAnsiTheme="minorHAnsi"/>
          <w:bCs/>
          <w:i/>
          <w:iCs/>
          <w:color w:val="000000"/>
          <w:sz w:val="22"/>
          <w:szCs w:val="22"/>
          <w:lang w:eastAsia="en-GB"/>
        </w:rPr>
        <w:t xml:space="preserve">M. barkeri </w:t>
      </w:r>
      <w:r>
        <w:rPr>
          <w:rFonts w:asciiTheme="minorHAnsi" w:hAnsiTheme="minorHAnsi"/>
          <w:bCs/>
          <w:iCs/>
          <w:color w:val="000000"/>
          <w:sz w:val="22"/>
          <w:szCs w:val="22"/>
          <w:lang w:eastAsia="en-GB"/>
        </w:rPr>
        <w:t xml:space="preserve">biofilms may have occurred during </w:t>
      </w:r>
      <w:r w:rsidR="000F1CC8">
        <w:rPr>
          <w:rFonts w:asciiTheme="minorHAnsi" w:hAnsiTheme="minorHAnsi"/>
          <w:bCs/>
          <w:iCs/>
          <w:color w:val="000000"/>
          <w:sz w:val="22"/>
          <w:szCs w:val="22"/>
          <w:lang w:eastAsia="en-GB"/>
        </w:rPr>
        <w:t>the multiple washing steps</w:t>
      </w:r>
      <w:r>
        <w:rPr>
          <w:rFonts w:asciiTheme="minorHAnsi" w:hAnsiTheme="minorHAnsi"/>
          <w:bCs/>
          <w:iCs/>
          <w:color w:val="000000"/>
          <w:sz w:val="22"/>
          <w:szCs w:val="22"/>
          <w:lang w:eastAsia="en-GB"/>
        </w:rPr>
        <w:t xml:space="preserve"> involved in fluorescent</w:t>
      </w:r>
      <w:r w:rsidR="006253AD">
        <w:rPr>
          <w:rFonts w:asciiTheme="minorHAnsi" w:hAnsiTheme="minorHAnsi"/>
          <w:bCs/>
          <w:iCs/>
          <w:color w:val="000000"/>
          <w:sz w:val="22"/>
          <w:szCs w:val="22"/>
          <w:lang w:eastAsia="en-GB"/>
        </w:rPr>
        <w:t xml:space="preserve"> staining </w:t>
      </w:r>
      <w:r>
        <w:rPr>
          <w:rFonts w:asciiTheme="minorHAnsi" w:hAnsiTheme="minorHAnsi"/>
          <w:bCs/>
          <w:iCs/>
          <w:color w:val="000000"/>
          <w:sz w:val="22"/>
          <w:szCs w:val="22"/>
          <w:lang w:eastAsia="en-GB"/>
        </w:rPr>
        <w:t>the biofilms</w:t>
      </w:r>
      <w:r w:rsidR="006253AD">
        <w:rPr>
          <w:rFonts w:asciiTheme="minorHAnsi" w:hAnsiTheme="minorHAnsi"/>
          <w:bCs/>
          <w:iCs/>
          <w:color w:val="000000"/>
          <w:sz w:val="22"/>
          <w:szCs w:val="22"/>
          <w:lang w:eastAsia="en-GB"/>
        </w:rPr>
        <w:t xml:space="preserve">. </w:t>
      </w:r>
      <w:r>
        <w:rPr>
          <w:rFonts w:asciiTheme="minorHAnsi" w:hAnsiTheme="minorHAnsi"/>
          <w:bCs/>
          <w:iCs/>
          <w:color w:val="000000"/>
          <w:sz w:val="22"/>
          <w:szCs w:val="22"/>
          <w:lang w:eastAsia="en-GB"/>
        </w:rPr>
        <w:t xml:space="preserve">However, </w:t>
      </w:r>
      <w:r w:rsidR="006253AD">
        <w:rPr>
          <w:rFonts w:asciiTheme="minorHAnsi" w:hAnsiTheme="minorHAnsi"/>
          <w:bCs/>
          <w:iCs/>
          <w:color w:val="000000"/>
          <w:sz w:val="22"/>
          <w:szCs w:val="22"/>
          <w:lang w:eastAsia="en-GB"/>
        </w:rPr>
        <w:t xml:space="preserve">Strathmann </w:t>
      </w:r>
      <w:r w:rsidR="006253AD">
        <w:rPr>
          <w:rFonts w:asciiTheme="minorHAnsi" w:hAnsiTheme="minorHAnsi"/>
          <w:bCs/>
          <w:i/>
          <w:iCs/>
          <w:color w:val="000000"/>
          <w:sz w:val="22"/>
          <w:szCs w:val="22"/>
          <w:lang w:eastAsia="en-GB"/>
        </w:rPr>
        <w:t xml:space="preserve">et al. </w:t>
      </w:r>
      <w:r w:rsidR="006253AD">
        <w:rPr>
          <w:rFonts w:asciiTheme="minorHAnsi" w:hAnsiTheme="minorHAnsi"/>
          <w:bCs/>
          <w:i/>
          <w:iCs/>
          <w:color w:val="000000"/>
          <w:sz w:val="22"/>
          <w:szCs w:val="22"/>
          <w:lang w:eastAsia="en-GB"/>
        </w:rPr>
        <w:fldChar w:fldCharType="begin" w:fldLock="1"/>
      </w:r>
      <w:r w:rsidR="006253AD">
        <w:rPr>
          <w:rFonts w:asciiTheme="minorHAnsi" w:hAnsiTheme="minorHAnsi"/>
          <w:bCs/>
          <w:i/>
          <w:iCs/>
          <w:color w:val="000000"/>
          <w:sz w:val="22"/>
          <w:szCs w:val="22"/>
          <w:lang w:eastAsia="en-GB"/>
        </w:rPr>
        <w:instrText>ADDIN CSL_CITATION { "citationItems" : [ { "id" : "ITEM-1", "itemData" : { "ISSN" : "0167-7012", "PMID" : "12031574", "abstract" : "Fluorescently labelled lectins were used in combination with epifluorescence microscopy and confocal laser scanning microscopy to allow the visualization and characterization of carbohydrate-containing extracellular polymeric substances (EPS) in biofilms of Pseudomonas aeruginosa. A mucoid strain characterized by an overproduction of the exopolysaccharide alginate, and an isogenic, non-mucoid strain were used. Model biofilms grown on polycarbonate filters were treated with lectins concanavalin A (ConA) and wheat germ agglutinin (WGA) that were fluorescently labelled with fluorescein isothiocyanate or tetramethyl rhodamine isothiocyanate. Fluorescently labelled ConA yielded cloud-like regions that were heterogeneously distributed within mucoid biofilms, whereas these structures were only rarely present in biofilms of the non-mucoid strain. The bacteria visualized with the fluorochrome SYTO 9 were localized both within and between the ConA-stained regions. In WGA-treated biofilms, the lectin was predominantly associated with bacterial cells. Alginate seemed to be involved in the interaction of ConA with the EPS matrix, since (i) pre-treatment of biofilms with an alginate lyase resulted in a loss of ConA biofilm staining, and (ii) using an enzyme-linked lectinsorbent assay (ELLA), ConA was shown to bind to purified alginate, but not to alginate that was degraded by alginate lyase. The application of fluorescently labelled lectins in combination with ELLA was found to be useful for the visualization and characterization of extracellular polysaccharide structures in P. aeruginosa biofilms.", "author" : [ { "dropping-particle" : "", "family" : "Strathmann", "given" : "Martin", "non-dropping-particle" : "", "parse-names" : false, "suffix" : "" }, { "dropping-particle" : "", "family" : "Wingender", "given" : "Jost", "non-dropping-particle" : "", "parse-names" : false, "suffix" : "" }, { "dropping-particle" : "", "family" : "Flemming", "given" : "Hans-Curt", "non-dropping-particle" : "", "parse-names" : false, "suffix" : "" } ], "container-title" : "Journal of microbiological methods", "id" : "ITEM-1", "issue" : "3", "issued" : { "date-parts" : [ [ "2002", "8" ] ] }, "page" : "237-48", "title" : "Application of fluorescently labelled lectins for the visualization and biochemical characterization of polysaccharides in biofilms of Pseudomonas aeruginosa.", "type" : "article-journal", "volume" : "50" }, "uris" : [ "http://www.mendeley.com/documents/?uuid=a6af2df4-5ff9-4e31-b1a2-fe9d5741e7d0" ] } ], "mendeley" : { "formattedCitation" : "[135]", "plainTextFormattedCitation" : "[135]", "previouslyFormattedCitation" : "[135]" }, "properties" : { "noteIndex" : 0 }, "schema" : "https://github.com/citation-style-language/schema/raw/master/csl-citation.json" }</w:instrText>
      </w:r>
      <w:r w:rsidR="006253AD">
        <w:rPr>
          <w:rFonts w:asciiTheme="minorHAnsi" w:hAnsiTheme="minorHAnsi"/>
          <w:bCs/>
          <w:i/>
          <w:iCs/>
          <w:color w:val="000000"/>
          <w:sz w:val="22"/>
          <w:szCs w:val="22"/>
          <w:lang w:eastAsia="en-GB"/>
        </w:rPr>
        <w:fldChar w:fldCharType="separate"/>
      </w:r>
      <w:r w:rsidR="006253AD" w:rsidRPr="006253AD">
        <w:rPr>
          <w:rFonts w:asciiTheme="minorHAnsi" w:hAnsiTheme="minorHAnsi"/>
          <w:bCs/>
          <w:iCs/>
          <w:noProof/>
          <w:color w:val="000000"/>
          <w:sz w:val="22"/>
          <w:szCs w:val="22"/>
          <w:lang w:eastAsia="en-GB"/>
        </w:rPr>
        <w:t>[135]</w:t>
      </w:r>
      <w:r w:rsidR="006253AD">
        <w:rPr>
          <w:rFonts w:asciiTheme="minorHAnsi" w:hAnsiTheme="minorHAnsi"/>
          <w:bCs/>
          <w:i/>
          <w:iCs/>
          <w:color w:val="000000"/>
          <w:sz w:val="22"/>
          <w:szCs w:val="22"/>
          <w:lang w:eastAsia="en-GB"/>
        </w:rPr>
        <w:fldChar w:fldCharType="end"/>
      </w:r>
      <w:r w:rsidR="006253AD">
        <w:rPr>
          <w:rFonts w:asciiTheme="minorHAnsi" w:hAnsiTheme="minorHAnsi"/>
          <w:bCs/>
          <w:i/>
          <w:iCs/>
          <w:color w:val="000000"/>
          <w:sz w:val="22"/>
          <w:szCs w:val="22"/>
          <w:lang w:eastAsia="en-GB"/>
        </w:rPr>
        <w:t xml:space="preserve"> </w:t>
      </w:r>
      <w:r>
        <w:rPr>
          <w:rFonts w:asciiTheme="minorHAnsi" w:hAnsiTheme="minorHAnsi"/>
          <w:bCs/>
          <w:iCs/>
          <w:color w:val="000000"/>
          <w:sz w:val="22"/>
          <w:szCs w:val="22"/>
          <w:lang w:eastAsia="en-GB"/>
        </w:rPr>
        <w:t>observed</w:t>
      </w:r>
      <w:r w:rsidR="006253AD">
        <w:rPr>
          <w:rFonts w:asciiTheme="minorHAnsi" w:hAnsiTheme="minorHAnsi"/>
          <w:bCs/>
          <w:iCs/>
          <w:color w:val="000000"/>
          <w:sz w:val="22"/>
          <w:szCs w:val="22"/>
          <w:lang w:eastAsia="en-GB"/>
        </w:rPr>
        <w:t xml:space="preserve"> an uneven distribution of ConA-stained components from biofilms of  </w:t>
      </w:r>
      <w:r w:rsidR="006253AD">
        <w:rPr>
          <w:rFonts w:asciiTheme="minorHAnsi" w:hAnsiTheme="minorHAnsi"/>
          <w:bCs/>
          <w:i/>
          <w:iCs/>
          <w:color w:val="000000"/>
          <w:sz w:val="22"/>
          <w:szCs w:val="22"/>
          <w:lang w:eastAsia="en-GB"/>
        </w:rPr>
        <w:t xml:space="preserve">Pseudomonas aeruginosa, </w:t>
      </w:r>
      <w:r w:rsidR="006253AD">
        <w:rPr>
          <w:rFonts w:asciiTheme="minorHAnsi" w:hAnsiTheme="minorHAnsi"/>
          <w:bCs/>
          <w:iCs/>
          <w:color w:val="000000"/>
          <w:sz w:val="22"/>
          <w:szCs w:val="22"/>
          <w:lang w:eastAsia="en-GB"/>
        </w:rPr>
        <w:t>and that some cells were not surrounded by ConA-</w:t>
      </w:r>
      <w:r w:rsidR="006253AD">
        <w:rPr>
          <w:rFonts w:asciiTheme="minorHAnsi" w:hAnsiTheme="minorHAnsi"/>
          <w:bCs/>
          <w:iCs/>
          <w:color w:val="000000"/>
          <w:sz w:val="22"/>
          <w:szCs w:val="22"/>
          <w:lang w:eastAsia="en-GB"/>
        </w:rPr>
        <w:lastRenderedPageBreak/>
        <w:t xml:space="preserve">stained components. This observation is typical of microbial aggregates and can be attributed to the heterogeneous production of EPS from biofilm-forming communities </w:t>
      </w:r>
      <w:r w:rsidR="006253AD">
        <w:rPr>
          <w:rFonts w:asciiTheme="minorHAnsi" w:hAnsiTheme="minorHAnsi"/>
          <w:bCs/>
          <w:iCs/>
          <w:color w:val="000000"/>
          <w:sz w:val="22"/>
          <w:szCs w:val="22"/>
          <w:lang w:eastAsia="en-GB"/>
        </w:rPr>
        <w:fldChar w:fldCharType="begin" w:fldLock="1"/>
      </w:r>
      <w:r w:rsidR="000F254A">
        <w:rPr>
          <w:rFonts w:asciiTheme="minorHAnsi" w:hAnsiTheme="minorHAnsi"/>
          <w:bCs/>
          <w:iCs/>
          <w:color w:val="000000"/>
          <w:sz w:val="22"/>
          <w:szCs w:val="22"/>
          <w:lang w:eastAsia="en-GB"/>
        </w:rPr>
        <w:instrText>ADDIN CSL_CITATION { "citationItems" : [ { "id" : "ITEM-1", "itemData" : { "ISSN" : "0167-7012", "PMID" : "12031574", "abstract" : "Fluorescently labelled lectins were used in combination with epifluorescence microscopy and confocal laser scanning microscopy to allow the visualization and characterization of carbohydrate-containing extracellular polymeric substances (EPS) in biofilms of Pseudomonas aeruginosa. A mucoid strain characterized by an overproduction of the exopolysaccharide alginate, and an isogenic, non-mucoid strain were used. Model biofilms grown on polycarbonate filters were treated with lectins concanavalin A (ConA) and wheat germ agglutinin (WGA) that were fluorescently labelled with fluorescein isothiocyanate or tetramethyl rhodamine isothiocyanate. Fluorescently labelled ConA yielded cloud-like regions that were heterogeneously distributed within mucoid biofilms, whereas these structures were only rarely present in biofilms of the non-mucoid strain. The bacteria visualized with the fluorochrome SYTO 9 were localized both within and between the ConA-stained regions. In WGA-treated biofilms, the lectin was predominantly associated with bacterial cells. Alginate seemed to be involved in the interaction of ConA with the EPS matrix, since (i) pre-treatment of biofilms with an alginate lyase resulted in a loss of ConA biofilm staining, and (ii) using an enzyme-linked lectinsorbent assay (ELLA), ConA was shown to bind to purified alginate, but not to alginate that was degraded by alginate lyase. The application of fluorescently labelled lectins in combination with ELLA was found to be useful for the visualization and characterization of extracellular polysaccharide structures in P. aeruginosa biofilms.", "author" : [ { "dropping-particle" : "", "family" : "Strathmann", "given" : "Martin", "non-dropping-particle" : "", "parse-names" : false, "suffix" : "" }, { "dropping-particle" : "", "family" : "Wingender", "given" : "Jost", "non-dropping-particle" : "", "parse-names" : false, "suffix" : "" }, { "dropping-particle" : "", "family" : "Flemming", "given" : "Hans-Curt", "non-dropping-particle" : "", "parse-names" : false, "suffix" : "" } ], "container-title" : "Journal of microbiological methods", "id" : "ITEM-1", "issue" : "3", "issued" : { "date-parts" : [ [ "2002", "8" ] ] }, "page" : "237-48", "title" : "Application of fluorescently labelled lectins for the visualization and biochemical characterization of polysaccharides in biofilms of Pseudomonas aeruginosa.", "type" : "article-journal", "volume" : "50" }, "uris" : [ "http://www.mendeley.com/documents/?uuid=a6af2df4-5ff9-4e31-b1a2-fe9d5741e7d0" ] } ], "mendeley" : { "formattedCitation" : "[135]", "plainTextFormattedCitation" : "[135]", "previouslyFormattedCitation" : "[135]" }, "properties" : { "noteIndex" : 0 }, "schema" : "https://github.com/citation-style-language/schema/raw/master/csl-citation.json" }</w:instrText>
      </w:r>
      <w:r w:rsidR="006253AD">
        <w:rPr>
          <w:rFonts w:asciiTheme="minorHAnsi" w:hAnsiTheme="minorHAnsi"/>
          <w:bCs/>
          <w:iCs/>
          <w:color w:val="000000"/>
          <w:sz w:val="22"/>
          <w:szCs w:val="22"/>
          <w:lang w:eastAsia="en-GB"/>
        </w:rPr>
        <w:fldChar w:fldCharType="separate"/>
      </w:r>
      <w:r w:rsidR="006253AD" w:rsidRPr="006253AD">
        <w:rPr>
          <w:rFonts w:asciiTheme="minorHAnsi" w:hAnsiTheme="minorHAnsi"/>
          <w:bCs/>
          <w:iCs/>
          <w:noProof/>
          <w:color w:val="000000"/>
          <w:sz w:val="22"/>
          <w:szCs w:val="22"/>
          <w:lang w:eastAsia="en-GB"/>
        </w:rPr>
        <w:t>[135]</w:t>
      </w:r>
      <w:r w:rsidR="006253AD">
        <w:rPr>
          <w:rFonts w:asciiTheme="minorHAnsi" w:hAnsiTheme="minorHAnsi"/>
          <w:bCs/>
          <w:iCs/>
          <w:color w:val="000000"/>
          <w:sz w:val="22"/>
          <w:szCs w:val="22"/>
          <w:lang w:eastAsia="en-GB"/>
        </w:rPr>
        <w:fldChar w:fldCharType="end"/>
      </w:r>
      <w:r w:rsidR="006253AD">
        <w:rPr>
          <w:rFonts w:asciiTheme="minorHAnsi" w:hAnsiTheme="minorHAnsi"/>
          <w:bCs/>
          <w:iCs/>
          <w:color w:val="000000"/>
          <w:sz w:val="22"/>
          <w:szCs w:val="22"/>
          <w:lang w:eastAsia="en-GB"/>
        </w:rPr>
        <w:t>.</w:t>
      </w:r>
      <w:r w:rsidR="00AB753A">
        <w:rPr>
          <w:rFonts w:asciiTheme="minorHAnsi" w:hAnsiTheme="minorHAnsi"/>
          <w:bCs/>
          <w:iCs/>
          <w:color w:val="000000"/>
          <w:sz w:val="22"/>
          <w:szCs w:val="22"/>
          <w:lang w:eastAsia="en-GB"/>
        </w:rPr>
        <w:t>The d</w:t>
      </w:r>
      <w:r w:rsidR="00436CD0" w:rsidRPr="00C44D8C">
        <w:rPr>
          <w:rFonts w:asciiTheme="minorHAnsi" w:hAnsiTheme="minorHAnsi"/>
          <w:bCs/>
          <w:iCs/>
          <w:color w:val="000000"/>
          <w:sz w:val="22"/>
          <w:szCs w:val="22"/>
          <w:lang w:eastAsia="en-GB"/>
        </w:rPr>
        <w:t>ifferent phenotypic characteristics of biofilm development</w:t>
      </w:r>
      <w:r w:rsidR="00AB753A">
        <w:rPr>
          <w:rFonts w:asciiTheme="minorHAnsi" w:hAnsiTheme="minorHAnsi"/>
          <w:bCs/>
          <w:iCs/>
          <w:color w:val="000000"/>
          <w:sz w:val="22"/>
          <w:szCs w:val="22"/>
          <w:lang w:eastAsia="en-GB"/>
        </w:rPr>
        <w:t xml:space="preserve"> in </w:t>
      </w:r>
      <w:r w:rsidR="00AB753A">
        <w:rPr>
          <w:rFonts w:asciiTheme="minorHAnsi" w:hAnsiTheme="minorHAnsi"/>
          <w:bCs/>
          <w:i/>
          <w:iCs/>
          <w:color w:val="000000"/>
          <w:sz w:val="22"/>
          <w:szCs w:val="22"/>
          <w:lang w:eastAsia="en-GB"/>
        </w:rPr>
        <w:t xml:space="preserve">M. barkeri </w:t>
      </w:r>
      <w:r w:rsidR="00AB753A">
        <w:rPr>
          <w:rFonts w:asciiTheme="minorHAnsi" w:hAnsiTheme="minorHAnsi"/>
          <w:bCs/>
          <w:iCs/>
          <w:color w:val="000000"/>
          <w:sz w:val="22"/>
          <w:szCs w:val="22"/>
          <w:lang w:eastAsia="en-GB"/>
        </w:rPr>
        <w:t>observed in the biofilm accumulation experiment</w:t>
      </w:r>
      <w:r w:rsidR="00436CD0" w:rsidRPr="00C44D8C">
        <w:rPr>
          <w:rFonts w:asciiTheme="minorHAnsi" w:hAnsiTheme="minorHAnsi"/>
          <w:bCs/>
          <w:iCs/>
          <w:color w:val="000000"/>
          <w:sz w:val="22"/>
          <w:szCs w:val="22"/>
          <w:lang w:eastAsia="en-GB"/>
        </w:rPr>
        <w:t xml:space="preserve"> have </w:t>
      </w:r>
      <w:r w:rsidR="00AB753A">
        <w:rPr>
          <w:rFonts w:asciiTheme="minorHAnsi" w:hAnsiTheme="minorHAnsi"/>
          <w:bCs/>
          <w:iCs/>
          <w:color w:val="000000"/>
          <w:sz w:val="22"/>
          <w:szCs w:val="22"/>
          <w:lang w:eastAsia="en-GB"/>
        </w:rPr>
        <w:t xml:space="preserve">also </w:t>
      </w:r>
      <w:r w:rsidR="00436CD0" w:rsidRPr="00C44D8C">
        <w:rPr>
          <w:rFonts w:asciiTheme="minorHAnsi" w:hAnsiTheme="minorHAnsi"/>
          <w:bCs/>
          <w:iCs/>
          <w:color w:val="000000"/>
          <w:sz w:val="22"/>
          <w:szCs w:val="22"/>
          <w:lang w:eastAsia="en-GB"/>
        </w:rPr>
        <w:t xml:space="preserve">been observed in various microbial systems, and have been linked to the </w:t>
      </w:r>
      <w:r w:rsidR="00436CD0" w:rsidRPr="00C44D8C">
        <w:rPr>
          <w:rFonts w:asciiTheme="minorHAnsi" w:hAnsiTheme="minorHAnsi"/>
          <w:bCs/>
          <w:color w:val="000000"/>
          <w:sz w:val="22"/>
          <w:szCs w:val="22"/>
          <w:lang w:eastAsia="en-GB"/>
        </w:rPr>
        <w:t>d</w:t>
      </w:r>
      <w:r w:rsidR="00436CD0" w:rsidRPr="00C44D8C">
        <w:rPr>
          <w:rFonts w:asciiTheme="minorHAnsi" w:hAnsiTheme="minorHAnsi"/>
          <w:color w:val="000000"/>
          <w:sz w:val="22"/>
          <w:szCs w:val="22"/>
          <w:lang w:eastAsia="en-GB"/>
        </w:rPr>
        <w:t xml:space="preserve">ifferential regulation of proteins </w:t>
      </w:r>
      <w:r w:rsidR="001A3070">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"10.1128/AEM.68.6.2770", "abstract" : "Bacillus cereus, a dairy-associated toxigenic bacterium, readily forms biofilms on various surfaces and was used to gain a better understanding of biofilm development by gram-positive aerobic rods. B. cereus DL5 was shown to readily adapt to an attached mode of growth, with dense biofilm structures developing within 18 h after inoculation when glass wool was used as a surface. Two-dimensional gel electrophoresis (2DE) revealed distinct and reproducible phenotypic differences between 2- and 18-h-old biofilm and planktonic cells (grown both in the presence and in the absence of glass wool). Whereas the 2-h-old biofilm proteome indicated expression of 15 unique proteins, the 18-h-old biofilm proteome contained 7 uniquely expressed proteins. Differences between the microcolony (2-h) proteome and the more developed biofilm (18-h) proteome were largely due to up- and down-regulation of the expression of a multitude of proteins. Selected protein spots excised from 2DE gels were subjected to N-terminal sequencing and identified with high confidence. Among the proteins were catabolic ornithine carbamoyltransferase and L-lactate dehydrogenase. Interestingly, increased levels of YhbH, a member of the sigma 54 modulation protein family which is strongly induced in response to environmental stresses and energy depletion via both \ue001B and \ue001H , could be observed within2hin both attached cells and planktonic cultures growing in the presence of glass wool, indicating that this protein plays an important role in regulation of the biofilm phenotype. Distinct band differences were also found between the extracellular proteins of 18-h-old cultures grown in the presence and in the absence of glass wool.", "author" : [ { "dropping-particle" : "", "family" : "Oosthuizen", "given" : "Marinda C", "non-dropping-particle" : "", "parse-names" : false, "suffix" : "" }, { "dropping-particle" : "", "family" : "Steyn", "given" : "Bridgitta", "non-dropping-particle" : "", "parse-names" : false, "suffix" : "" }, { "dropping-particle" : "", "family" : "Theron", "given" : "Jacques", "non-dropping-particle" : "", "parse-names" : false, "suffix" : "" }, { "dropping-particle" : "", "family" : "Cosette", "given" : "Pascal", "non-dropping-particle" : "", "parse-names" : false, "suffix" : "" }, { "dropping-particle" : "", "family" : "Lindsay", "given" : "Denise", "non-dropping-particle" : "", "parse-names" : false, "suffix" : "" }, { "dropping-particle" : "Von", "family" : "Holy", "given" : "Alexander", "non-dropping-particle" : "", "parse-names" : false, "suffix" : "" }, { "dropping-particle" : "", "family" : "Br\u00f6zel", "given" : "Volker S", "non-dropping-particle" : "", "parse-names" : false, "suffix" : "" } ], "container-title" : "Applied and Environmental Microbiology", "id" : "ITEM-1", "issue" : "6", "issued" : { "date-parts" : [ [ "2002" ] ] }, "page" : "2770-2780", "title" : "Proteomic Analysis Reveals Differential Protein Expression by Bacillus cereus during Biofilm Formation Proteomic Analysis Reveals Differential Protein Expression by Bacillus cereus during Biofilm Formation", "type" : "article-journal", "volume" : "68" }, "uris" : [ "http://www.mendeley.com/documents/?uuid=2f1e399c-db51-40b5-a092-49b28fc73577" ] } ], "mendeley" : { "formattedCitation" : "[231]", "plainTextFormattedCitation" : "[231]", "previouslyFormattedCitation" : "[231]" }, "properties" : { "noteIndex" : 0 }, "schema" : "https://github.com/citation-style-language/schema/raw/master/csl-citation.json" }</w:instrText>
      </w:r>
      <w:r w:rsidR="001A3070">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[231]</w:t>
      </w:r>
      <w:r w:rsidR="001A3070">
        <w:rPr>
          <w:rFonts w:asciiTheme="minorHAnsi" w:hAnsiTheme="minorHAnsi"/>
          <w:color w:val="000000"/>
          <w:sz w:val="22"/>
          <w:szCs w:val="22"/>
          <w:lang w:eastAsia="en-GB"/>
        </w:rPr>
        <w:fldChar w:fldCharType="end"/>
      </w:r>
      <w:r w:rsidR="00436CD0" w:rsidRPr="00C44D8C">
        <w:rPr>
          <w:rFonts w:asciiTheme="minorHAnsi" w:hAnsiTheme="minorHAnsi"/>
          <w:bCs/>
          <w:iCs/>
          <w:color w:val="000000"/>
          <w:sz w:val="22"/>
          <w:szCs w:val="22"/>
          <w:lang w:eastAsia="en-GB"/>
        </w:rPr>
        <w:t xml:space="preserve">. </w:t>
      </w:r>
      <w:r w:rsidR="00436CD0" w:rsidRPr="001A3070">
        <w:rPr>
          <w:rFonts w:asciiTheme="minorHAnsi" w:hAnsiTheme="minorHAnsi"/>
          <w:bCs/>
          <w:iCs/>
          <w:color w:val="000000"/>
          <w:sz w:val="22"/>
          <w:szCs w:val="22"/>
          <w:lang w:eastAsia="en-GB"/>
        </w:rPr>
        <w:t xml:space="preserve">Sauer </w:t>
      </w:r>
      <w:r w:rsidR="00436CD0" w:rsidRPr="001A3070">
        <w:rPr>
          <w:rFonts w:asciiTheme="minorHAnsi" w:hAnsiTheme="minorHAnsi"/>
          <w:bCs/>
          <w:i/>
          <w:iCs/>
          <w:color w:val="000000"/>
          <w:sz w:val="22"/>
          <w:szCs w:val="22"/>
          <w:lang w:eastAsia="en-GB"/>
        </w:rPr>
        <w:t xml:space="preserve">et al. </w:t>
      </w:r>
      <w:r w:rsidR="00436CD0" w:rsidRPr="001A3070">
        <w:rPr>
          <w:rFonts w:asciiTheme="minorHAnsi" w:hAnsiTheme="minorHAnsi"/>
          <w:bCs/>
          <w:iCs/>
          <w:color w:val="000000"/>
          <w:sz w:val="22"/>
          <w:szCs w:val="22"/>
          <w:lang w:eastAsia="en-GB"/>
        </w:rPr>
        <w:t>(2002) detected</w:t>
      </w:r>
      <w:r w:rsidR="00436CD0" w:rsidRPr="00C44D8C">
        <w:rPr>
          <w:rFonts w:asciiTheme="minorHAnsi" w:hAnsiTheme="minorHAnsi"/>
          <w:bCs/>
          <w:iCs/>
          <w:color w:val="000000"/>
          <w:sz w:val="22"/>
          <w:szCs w:val="22"/>
          <w:lang w:eastAsia="en-GB"/>
        </w:rPr>
        <w:t xml:space="preserve"> five distinct phases of biofilm development from the constant microscopic analysis of biofilms of </w:t>
      </w:r>
      <w:r w:rsidR="00436CD0" w:rsidRPr="00C44D8C">
        <w:rPr>
          <w:rFonts w:asciiTheme="minorHAnsi" w:hAnsiTheme="minorHAnsi"/>
          <w:bCs/>
          <w:i/>
          <w:iCs/>
          <w:color w:val="000000"/>
          <w:sz w:val="22"/>
          <w:szCs w:val="22"/>
          <w:lang w:eastAsia="en-GB"/>
        </w:rPr>
        <w:t xml:space="preserve">Pseudomonas aeruginosa </w:t>
      </w:r>
      <w:r w:rsidR="00436CD0" w:rsidRPr="00C44D8C">
        <w:rPr>
          <w:rFonts w:asciiTheme="minorHAnsi" w:hAnsiTheme="minorHAnsi"/>
          <w:bCs/>
          <w:iCs/>
          <w:color w:val="000000"/>
          <w:sz w:val="22"/>
          <w:szCs w:val="22"/>
          <w:lang w:eastAsia="en-GB"/>
        </w:rPr>
        <w:t>over a time course of 12 days, from initial adhesion through to biofilm dispersion</w:t>
      </w:r>
      <w:r w:rsidR="001A3070">
        <w:rPr>
          <w:rFonts w:asciiTheme="minorHAnsi" w:hAnsiTheme="minorHAnsi"/>
          <w:bCs/>
          <w:iCs/>
          <w:color w:val="000000"/>
          <w:sz w:val="22"/>
          <w:szCs w:val="22"/>
          <w:lang w:eastAsia="en-GB"/>
        </w:rPr>
        <w:t>.</w:t>
      </w:r>
      <w:r w:rsidR="00436CD0" w:rsidRPr="00C44D8C">
        <w:rPr>
          <w:rFonts w:asciiTheme="minorHAnsi" w:hAnsiTheme="minorHAnsi"/>
          <w:bCs/>
          <w:iCs/>
          <w:color w:val="000000"/>
          <w:sz w:val="22"/>
          <w:szCs w:val="22"/>
          <w:lang w:eastAsia="en-GB"/>
        </w:rPr>
        <w:t xml:space="preserve"> Each biofilm developmental phase was also associated with a </w:t>
      </w:r>
      <w:r w:rsidR="001A3070">
        <w:rPr>
          <w:rFonts w:asciiTheme="minorHAnsi" w:hAnsiTheme="minorHAnsi"/>
          <w:bCs/>
          <w:iCs/>
          <w:color w:val="000000"/>
          <w:sz w:val="22"/>
          <w:szCs w:val="22"/>
          <w:lang w:eastAsia="en-GB"/>
        </w:rPr>
        <w:t xml:space="preserve">distinct expression of proteins [87]. </w:t>
      </w:r>
      <w:r w:rsidR="00436CD0" w:rsidRPr="00C44D8C">
        <w:rPr>
          <w:rFonts w:asciiTheme="minorHAnsi" w:hAnsiTheme="minorHAnsi"/>
          <w:bCs/>
          <w:iCs/>
          <w:color w:val="000000"/>
          <w:sz w:val="22"/>
          <w:szCs w:val="22"/>
          <w:lang w:eastAsia="en-GB"/>
        </w:rPr>
        <w:t>In</w:t>
      </w:r>
      <w:r w:rsidR="00436CD0" w:rsidRPr="00C44D8C">
        <w:rPr>
          <w:rFonts w:asciiTheme="minorHAnsi" w:hAnsiTheme="minorHAnsi"/>
          <w:bCs/>
          <w:color w:val="000000"/>
          <w:sz w:val="22"/>
          <w:szCs w:val="22"/>
          <w:lang w:eastAsia="en-GB"/>
        </w:rPr>
        <w:t xml:space="preserve"> this study, PVC and PETG was shown to elicit different developmental stages of biofilm formation from </w:t>
      </w:r>
      <w:r w:rsidR="00436CD0" w:rsidRPr="00C44D8C">
        <w:rPr>
          <w:rFonts w:asciiTheme="minorHAnsi" w:hAnsiTheme="minorHAnsi"/>
          <w:bCs/>
          <w:i/>
          <w:color w:val="000000"/>
          <w:sz w:val="22"/>
          <w:szCs w:val="22"/>
          <w:lang w:eastAsia="en-GB"/>
        </w:rPr>
        <w:t xml:space="preserve">M. barkeri </w:t>
      </w:r>
      <w:r w:rsidR="00436CD0" w:rsidRPr="00C44D8C">
        <w:rPr>
          <w:rFonts w:asciiTheme="minorHAnsi" w:hAnsiTheme="minorHAnsi"/>
          <w:bCs/>
          <w:color w:val="000000"/>
          <w:sz w:val="22"/>
          <w:szCs w:val="22"/>
          <w:lang w:eastAsia="en-GB"/>
        </w:rPr>
        <w:t xml:space="preserve">over 96 h as evidenced by results from the biofilm accumulation and proteomic experiments. </w:t>
      </w:r>
    </w:p>
    <w:p w14:paraId="08998C2D" w14:textId="2C663928"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It is well known that the microbial cell surface is the</w:t>
      </w:r>
      <w:r w:rsidRPr="00C44D8C">
        <w:rPr>
          <w:rFonts w:asciiTheme="minorHAnsi" w:hAnsiTheme="minorHAnsi"/>
          <w:sz w:val="22"/>
          <w:szCs w:val="22"/>
          <w:lang w:eastAsia="en-GB"/>
        </w:rPr>
        <w:t xml:space="preserve"> interface with the environment and in archaea, significant changes to the lipid membrane </w:t>
      </w:r>
      <w:r w:rsidR="001A3070">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"10.1128/AEM.00694-11", "ISBN" : "1098-5336 (Electronic)\\n0099-2240 (Linking)", "ISSN" : "00992240", "PMID" : "21784917", "abstract" : "Increased membrane fluidity, which causes cofactor leakage and loss of membrane potential, has long been documented as a cause for decreased cell growth during exposure to ethanol, butanol, and other alcohols. Reinforcement of the membrane with more complex lipid components is thus thought to be beneficial for the generation of more tolerant organisms. In this study, organisms with more complex membranes, namely, archaea, did not maintain high growth rates upon exposure to alcohols, indicating that more complex lipids do not necessarily fortify the membrane against the fluidizing effects of alcohols. In the presence of alcohols, shifts in lipid composition to more saturated and unbranched lipids were observed in most of the organisms tested, including archaea, yeasts, and bacteria. However, these shifts did not always result in a decrease in membrane fluidity or in greater tolerance of the organism to alcohol exposure. In general, organisms tolerating the highest concentrations of alcohols maintained membrane fluidity after alcohol exposure, whereas organisms that increased membrane rigidity were less tolerant. Altered lipid composition was a common response to alcohol exposure, with the most tolerant organisms maintaining a modestly fluid membrane. Our results demonstrate that increased membrane fluidity is not the sole cause of growth inhibition and that alcohols may also denature proteins within the membrane and cytosol, adversely affecting metabolism and decreasing cell growth.", "author" : [ { "dropping-particle" : "", "family" : "Huffer", "given" : "Sarah", "non-dropping-particle" : "", "parse-names" : false, "suffix" : "" }, { "dropping-particle" : "", "family" : "Clark", "given" : "Melinda E.", "non-dropping-particle" : "", "parse-names" : false, "suffix" : "" }, { "dropping-particle" : "", "family" : "Ning", "given" : "Jonathan C.", "non-dropping-particle" : "", "parse-names" : false, "suffix" : "" }, { "dropping-particle" : "", "family" : "Blanch", "given" : "Harvey W.", "non-dropping-particle" : "", "parse-names" : false, "suffix" : "" }, { "dropping-particle" : "", "family" : "Clark", "given" : "Douglas S.", "non-dropping-particle" : "", "parse-names" : false, "suffix" : "" } ], "container-title" : "Applied and Environmental Microbiology", "id" : "ITEM-1", "issued" : { "date-parts" : [ [ "2011" ] ] }, "title" : "Role of alcohols in growth, lipid composition, and membrane fluidity of yeasts, bacteria, and archaea", "type" : "article-journal" }, "uris" : [ "http://www.mendeley.com/documents/?uuid=91461f60-fbd4-31a5-a9bb-142babb72b7b" ] }, { "id" : "ITEM-2", "itemData" : { "DOI" : "10.3389/fmicb.2014.00641", "abstract" : "A vital function of the cell membrane in all living organism is to maintain the membrane permeability barrier and fluidity. The composition of the phospholipid bilayer is distinct in archaea when compared to bacteria and eukarya. In archaea, isoprenoid hydrocarbon side chains are linked via an ether bond to the sn-glycerol-1-phosphate backbone. In bacteria and eukarya on the other hand, fatty acid side chains are linked via an ester bond to the sn-glycerol-3-phosphate backbone. The polar head groups are globally shared in the three domains of life.The unique membrane lipids of archaea have been implicated not only in the survival and adaptation of the organisms to extreme environments but also to form the basis of the membrane composition of the last universal common ancestor (LUCA). In nature, a diverse range of archaeal lipids is found, the most common are the diether (or archaeol) and the tetraether (or caldarchaeol) lipids that form a monolayer. Variations in chain length, cyclization and other modifications lead to diversification of these lipids. The biosynthesis of these lipids is not yet well understood however progress in the last decade has led to a comprehensive understanding of the biosynthesis of archaeol. This review describes the current knowledge of the biosynthetic pathway of archaeal ether lipids; insights on the stability and robustness of archaeal lipid membranes; and evolutionary aspects of the lipid divide and the LUCA. It examines recent advances made in the field of pathway reconstruction in bacteria.", "author" : [ { "dropping-particle" : "", "family" : "Jain", "given" : "Samta", "non-dropping-particle" : "", "parse-names" : false, "suffix" : "" }, { "dropping-particle" : "", "family" : "Caforio", "given" : "Antonella", "non-dropping-particle" : "", "parse-names" : false, "suffix" : "" }, { "dropping-particle" : "", "family" : "M Driessen", "given" : "Arnold J", "non-dropping-particle" : "", "parse-names" : false, "suffix" : "" } ], "container-title" : "Frontiers in microbiology", "id" : "ITEM-2", "issued" : { "date-parts" : [ [ "2014" ] ] }, "page" : "1-16", "title" : "Biosynthesis of archaeal membrane ether lipids", "type" : "article-journal", "volume" : "5" }, "uris" : [ "http://www.mendeley.com/documents/?uuid=487e0156-3dbb-3674-9fe5-277d0cafd4e6" ] } ], "mendeley" : { "formattedCitation" : "[210,233]", "plainTextFormattedCitation" : "[210,233]", "previouslyFormattedCitation" : "[210,233]"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[210,233]</w:t>
      </w:r>
      <w:r w:rsidR="001A3070">
        <w:rPr>
          <w:rFonts w:asciiTheme="minorHAnsi" w:hAnsiTheme="minorHAnsi"/>
          <w:sz w:val="22"/>
          <w:szCs w:val="22"/>
          <w:lang w:eastAsia="en-GB"/>
        </w:rPr>
        <w:fldChar w:fldCharType="end"/>
      </w:r>
      <w:r w:rsidR="001A3070">
        <w:rPr>
          <w:rFonts w:asciiTheme="minorHAnsi" w:hAnsiTheme="minorHAnsi"/>
          <w:sz w:val="22"/>
          <w:szCs w:val="22"/>
          <w:lang w:eastAsia="en-GB"/>
        </w:rPr>
        <w:t xml:space="preserve"> </w:t>
      </w:r>
      <w:r w:rsidRPr="00C44D8C">
        <w:rPr>
          <w:rFonts w:asciiTheme="minorHAnsi" w:hAnsiTheme="minorHAnsi"/>
          <w:color w:val="000000"/>
          <w:sz w:val="22"/>
          <w:szCs w:val="22"/>
          <w:lang w:eastAsia="en-GB"/>
        </w:rPr>
        <w:t xml:space="preserve">and surface-exposed proteins, including those in the S-layer and methanochondroitin layer of </w:t>
      </w:r>
      <w:r w:rsidRPr="00C44D8C">
        <w:rPr>
          <w:rFonts w:asciiTheme="minorHAnsi" w:hAnsiTheme="minorHAnsi"/>
          <w:i/>
          <w:color w:val="000000"/>
          <w:sz w:val="22"/>
          <w:szCs w:val="22"/>
          <w:lang w:eastAsia="en-GB"/>
        </w:rPr>
        <w:t xml:space="preserve">Methanosarcina, </w:t>
      </w:r>
      <w:r w:rsidRPr="00C44D8C">
        <w:rPr>
          <w:rFonts w:asciiTheme="minorHAnsi" w:hAnsiTheme="minorHAnsi"/>
          <w:color w:val="000000"/>
          <w:sz w:val="22"/>
          <w:szCs w:val="22"/>
          <w:lang w:eastAsia="en-GB"/>
        </w:rPr>
        <w:t>have been reported</w:t>
      </w:r>
      <w:r w:rsidR="001A3070">
        <w:rPr>
          <w:rFonts w:asciiTheme="minorHAnsi" w:hAnsiTheme="minorHAnsi"/>
          <w:color w:val="000000"/>
          <w:sz w:val="22"/>
          <w:szCs w:val="22"/>
          <w:lang w:eastAsia="en-GB"/>
        </w:rPr>
        <w:t xml:space="preserve"> </w:t>
      </w:r>
      <w:r w:rsidR="001A3070">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"10.3389/fmicb.2014.00661", "ISBN" : "1664-302X (Electronic)\\r1664-302X (Linking)", "ISSN" : "1664-302X", "PMID" : "25505464", "abstract" : "Corresponding to the sole or basic component of the surface (S)-layer surrounding the archaeal cell in most known cases, S-layer glycoproteins are in direct contact with the harsh environments that characterize niches where Archaea can thrive. Accordingly, early work examining archaeal S-layer glycoproteins focused on identifying those properties that allow members of this group of proteins to maintain their structural integrity in the face of extremes of temperature, pH, and salinity, as well as other physical challenges. However, with expansion of the list of archaeal strains serving as model systems, as well as growth in the number of molecular tools available for the manipulation of these strains, studies on archaeal S-layer glycoproteins are currently more likely to consider the various post-translational modifications these polypeptides undergo. For instance, archaeal S-layer glycoproteins can undergo proteolytic cleavage, both N- and O-glycosylation, lipid-modification and oligomerization. In this mini-review, recent findings related to the post-translational modification of archaeal S-layer glycoproteins are considered.", "author" : [ { "dropping-particle" : "", "family" : "Kandiba", "given" : "Lina", "non-dropping-particle" : "", "parse-names" : false, "suffix" : "" }, { "dropping-particle" : "", "family" : "Eichler", "given" : "Jerry", "non-dropping-particle" : "", "parse-names" : false, "suffix" : "" } ], "container-title" : "Frontiers in microbiology", "id" : "ITEM-1", "issued" : { "date-parts" : [ [ "2014" ] ] }, "page" : "1-5", "title" : "Archaeal S-layer glycoproteins: post-translational modification in the face of extremes.", "type" : "article-journal", "volume" : "5" }, "uris" : [ "http://www.mendeley.com/documents/?uuid=4e99cc54-4b67-4254-b12f-0359d23f6f2c" ] }, { "id" : "ITEM-2", "itemData" : { "DOI" : "10.1038/nrmicro2576", "author" : [ { "dropping-particle" : "", "family" : "Albers", "given" : "Sonja-Verena", "non-dropping-particle" : "", "parse-names" : false, "suffix" : "" }, { "dropping-particle" : "", "family" : "Meyer", "given" : "Bejamin H.", "non-dropping-particle" : "", "parse-names" : false, "suffix" : "" } ], "container-title" : "Nature Reviews Microbiology", "id" : "ITEM-2", "issued" : { "date-parts" : [ [ "2011" ] ] }, "page" : "414-426", "title" : "The archaeal cell envelope", "type" : "article-journal", "volume" : "9" }, "uris" : [ "http://www.mendeley.com/documents/?uuid=8fe32ace-5b5e-35d2-9509-7ee955d2b39d" ] } ], "mendeley" : { "formattedCitation" : "[59,234]", "plainTextFormattedCitation" : "[59,234]", "previouslyFormattedCitation" : "[59,234]" }, "properties" : { "noteIndex" : 0 }, "schema" : "https://github.com/citation-style-language/schema/raw/master/csl-citation.json" }</w:instrText>
      </w:r>
      <w:r w:rsidR="001A3070">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[59,234]</w:t>
      </w:r>
      <w:r w:rsidR="001A3070">
        <w:rPr>
          <w:rFonts w:asciiTheme="minorHAnsi" w:hAnsiTheme="minorHAnsi"/>
          <w:color w:val="000000"/>
          <w:sz w:val="22"/>
          <w:szCs w:val="22"/>
          <w:lang w:eastAsia="en-GB"/>
        </w:rPr>
        <w:fldChar w:fldCharType="end"/>
      </w:r>
      <w:r w:rsidR="001A3070">
        <w:rPr>
          <w:rFonts w:asciiTheme="minorHAnsi" w:hAnsiTheme="minorHAnsi"/>
          <w:color w:val="000000"/>
          <w:sz w:val="22"/>
          <w:szCs w:val="22"/>
          <w:lang w:eastAsia="en-GB"/>
        </w:rPr>
        <w:t>.</w:t>
      </w:r>
      <w:r w:rsidRPr="00C44D8C">
        <w:rPr>
          <w:rFonts w:asciiTheme="minorHAnsi" w:hAnsiTheme="minorHAnsi"/>
          <w:sz w:val="22"/>
          <w:szCs w:val="22"/>
          <w:lang w:eastAsia="en-GB"/>
        </w:rPr>
        <w:t xml:space="preserve"> In this study, proteins involved in lipid membrane biogenesis, such as </w:t>
      </w:r>
      <w:r w:rsidRPr="00C44D8C">
        <w:rPr>
          <w:rFonts w:asciiTheme="minorHAnsi" w:hAnsiTheme="minorHAnsi"/>
          <w:color w:val="000000"/>
          <w:sz w:val="22"/>
          <w:szCs w:val="22"/>
          <w:lang w:eastAsia="en-GB"/>
        </w:rPr>
        <w:t xml:space="preserve">mevalonate kinase and farnesyl-diphosphate synthase/geranylgeranyl-diphosphate synthase, and proteins involved in EPS production and in the N-glycosylation of surface-exposed proteins in the methanochondroitin and S-layer were all </w:t>
      </w:r>
      <w:r w:rsidR="003D18AD">
        <w:rPr>
          <w:rFonts w:asciiTheme="minorHAnsi" w:hAnsiTheme="minorHAnsi"/>
          <w:color w:val="000000"/>
          <w:sz w:val="22"/>
          <w:szCs w:val="22"/>
          <w:lang w:eastAsia="en-GB"/>
        </w:rPr>
        <w:t>found in higher relative abundance</w:t>
      </w:r>
      <w:r w:rsidRPr="00C44D8C">
        <w:rPr>
          <w:rFonts w:asciiTheme="minorHAnsi" w:hAnsiTheme="minorHAnsi"/>
          <w:color w:val="000000"/>
          <w:sz w:val="22"/>
          <w:szCs w:val="22"/>
          <w:lang w:eastAsia="en-GB"/>
        </w:rPr>
        <w:t xml:space="preserve"> in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compared to PETG (Table 5.2). For example, glucose-1-phosphate thymidylyltransferase (Mbar_A2020) was detected in cells attached to PVC, and has previously been identified in </w:t>
      </w:r>
      <w:r w:rsidRPr="00C44D8C">
        <w:rPr>
          <w:rFonts w:asciiTheme="minorHAnsi" w:hAnsiTheme="minorHAnsi"/>
          <w:i/>
          <w:iCs/>
          <w:color w:val="000000"/>
          <w:sz w:val="22"/>
          <w:szCs w:val="22"/>
          <w:lang w:eastAsia="en-GB"/>
        </w:rPr>
        <w:t xml:space="preserve">Haloferax volcanii </w:t>
      </w:r>
      <w:r w:rsidR="001A3070">
        <w:rPr>
          <w:rFonts w:asciiTheme="minorHAnsi" w:hAnsiTheme="minorHAnsi"/>
          <w:i/>
          <w:iCs/>
          <w:color w:val="000000"/>
          <w:sz w:val="22"/>
          <w:szCs w:val="22"/>
          <w:lang w:eastAsia="en-GB"/>
        </w:rPr>
        <w:fldChar w:fldCharType="begin" w:fldLock="1"/>
      </w:r>
      <w:r w:rsidR="007E3308">
        <w:rPr>
          <w:rFonts w:asciiTheme="minorHAnsi" w:hAnsiTheme="minorHAnsi"/>
          <w:i/>
          <w:iCs/>
          <w:color w:val="000000"/>
          <w:sz w:val="22"/>
          <w:szCs w:val="22"/>
          <w:lang w:eastAsia="en-GB"/>
        </w:rPr>
        <w:instrText>ADDIN CSL_CITATION { "citationItems" : [ { "id" : "ITEM-1", "itemData" : { "DOI" : "10.1371/journal.pone.0097441", "author" : [ { "dropping-particle" : "", "family" : "Kaminski", "given" : "Lina", "non-dropping-particle" : "", "parse-names" : false, "suffix" : "" }, { "dropping-particle" : "", "family" : "Eichler", "given" : "Jerry", "non-dropping-particle" : "", "parse-names" : false, "suffix" : "" } ], "id" : "ITEM-1", "issue" : "5", "issued" : { "date-parts" : [ [ "2014" ] ] }, "title" : "Haloferax volcanii N-Glycosylation : Delineating the Pathway of dTDP-rhamnose Biosynthesis", "type" : "article-journal", "volume" : "9" }, "uris" : [ "http://www.mendeley.com/documents/?uuid=064d8f64-dd79-4ddc-9912-5cb1d9d325c4" ] } ], "mendeley" : { "formattedCitation" : "[235]", "plainTextFormattedCitation" : "[235]", "previouslyFormattedCitation" : "[235]" }, "properties" : { "noteIndex" : 0 }, "schema" : "https://github.com/citation-style-language/schema/raw/master/csl-citation.json" }</w:instrText>
      </w:r>
      <w:r w:rsidR="001A3070">
        <w:rPr>
          <w:rFonts w:asciiTheme="minorHAnsi" w:hAnsiTheme="minorHAnsi"/>
          <w:i/>
          <w:iCs/>
          <w:color w:val="000000"/>
          <w:sz w:val="22"/>
          <w:szCs w:val="22"/>
          <w:lang w:eastAsia="en-GB"/>
        </w:rPr>
        <w:fldChar w:fldCharType="separate"/>
      </w:r>
      <w:r w:rsidR="007E3308" w:rsidRPr="007E3308">
        <w:rPr>
          <w:rFonts w:asciiTheme="minorHAnsi" w:hAnsiTheme="minorHAnsi"/>
          <w:iCs/>
          <w:noProof/>
          <w:color w:val="000000"/>
          <w:sz w:val="22"/>
          <w:szCs w:val="22"/>
          <w:lang w:eastAsia="en-GB"/>
        </w:rPr>
        <w:t>[235]</w:t>
      </w:r>
      <w:r w:rsidR="001A3070">
        <w:rPr>
          <w:rFonts w:asciiTheme="minorHAnsi" w:hAnsiTheme="minorHAnsi"/>
          <w:i/>
          <w:iCs/>
          <w:color w:val="000000"/>
          <w:sz w:val="22"/>
          <w:szCs w:val="22"/>
          <w:lang w:eastAsia="en-GB"/>
        </w:rPr>
        <w:fldChar w:fldCharType="end"/>
      </w:r>
      <w:r w:rsidRPr="00C44D8C">
        <w:rPr>
          <w:rFonts w:asciiTheme="minorHAnsi" w:hAnsiTheme="minorHAnsi"/>
          <w:color w:val="000000"/>
          <w:sz w:val="22"/>
          <w:szCs w:val="22"/>
          <w:lang w:eastAsia="en-GB"/>
        </w:rPr>
        <w:t xml:space="preserve"> and </w:t>
      </w:r>
      <w:r w:rsidRPr="00C44D8C">
        <w:rPr>
          <w:rFonts w:asciiTheme="minorHAnsi" w:hAnsiTheme="minorHAnsi"/>
          <w:i/>
          <w:iCs/>
          <w:color w:val="000000"/>
          <w:sz w:val="22"/>
          <w:szCs w:val="22"/>
          <w:lang w:eastAsia="en-GB"/>
        </w:rPr>
        <w:t xml:space="preserve">M. voltae </w:t>
      </w:r>
      <w:r w:rsidR="001A3070">
        <w:rPr>
          <w:rFonts w:asciiTheme="minorHAnsi" w:hAnsiTheme="minorHAnsi"/>
          <w:i/>
          <w:iCs/>
          <w:color w:val="000000"/>
          <w:sz w:val="22"/>
          <w:szCs w:val="22"/>
          <w:lang w:eastAsia="en-GB"/>
        </w:rPr>
        <w:fldChar w:fldCharType="begin" w:fldLock="1"/>
      </w:r>
      <w:r w:rsidR="007E3308">
        <w:rPr>
          <w:rFonts w:asciiTheme="minorHAnsi" w:hAnsiTheme="minorHAnsi"/>
          <w:i/>
          <w:iCs/>
          <w:color w:val="000000"/>
          <w:sz w:val="22"/>
          <w:szCs w:val="22"/>
          <w:lang w:eastAsia="en-GB"/>
        </w:rPr>
        <w:instrText>ADDIN CSL_CITATION { "citationItems" : [ { "id" : "ITEM-1", "itemData" : { "DOI" : "10.1093/glycob/cwq055", "ISBN" : "0959-6658", "ISSN" : "09596658", "PMID" : "20371512", "abstract" : "While each of the three domains of life on Earth possesses unique traits and relies on characteristic biological strategies, some processes are common to Eukarya, Bacteria and Archaea. Once believed to be restricted to Eukarya, it is now clear that Bacteria and Archaea are also capable of performing N-glycosylation. However, in contrast to Bacteria, where this posttranslational modification is still considered a rare event, numerous species of Archaea, isolated from a wide range of environments, have been reported to contain proteins bearing Asn-linked glycan moieties. Analysis of the chemical composition of the Asn-linked polysaccharides decorating archaeal proteins has, moreover, revealed the use of a wider variety of sugar subunits than seen in either eukaryal or bacterial glycoproteins. Still, although first reported some 30 years ago, little had been known of the steps or components involved in the archaeal version of this universal posttranslational modification. Now, with the availability of sufficient numbers of genome sequences and the development of appropriate experimental tools, molecular analysis of archaeal N-glycosylation pathways has become possible. Accordingly using halophilic, methanogenic and thermophilic model species, insight into the biosynthesis and attachment of N-linked glycans decorating archaeal glycoproteins is starting to amass. In this review, current understanding of N-glycosylation in Archaea is described.", "author" : [ { "dropping-particle" : "", "family" : "Calo", "given" : "Doron", "non-dropping-particle" : "", "parse-names" : false, "suffix" : "" }, { "dropping-particle" : "", "family" : "Kaminski", "given" : "Lina", "non-dropping-particle" : "", "parse-names" : false, "suffix" : "" }, { "dropping-particle" : "", "family" : "Eichler", "given" : "Jerry", "non-dropping-particle" : "", "parse-names" : false, "suffix" : "" } ], "container-title" : "Glycobiology", "id" : "ITEM-1", "issue" : "9", "issued" : { "date-parts" : [ [ "2010" ] ] }, "page" : "1065-1076", "title" : "Protein glycosylation in Archaea: Sweet and extreme", "type" : "article-journal", "volume" : "20" }, "uris" : [ "http://www.mendeley.com/documents/?uuid=b323fa9e-ce2f-4d7c-b419-99d392c11efb" ] } ], "mendeley" : { "formattedCitation" : "[184]", "plainTextFormattedCitation" : "[184]", "previouslyFormattedCitation" : "[184]" }, "properties" : { "noteIndex" : 0 }, "schema" : "https://github.com/citation-style-language/schema/raw/master/csl-citation.json" }</w:instrText>
      </w:r>
      <w:r w:rsidR="001A3070">
        <w:rPr>
          <w:rFonts w:asciiTheme="minorHAnsi" w:hAnsiTheme="minorHAnsi"/>
          <w:i/>
          <w:iCs/>
          <w:color w:val="000000"/>
          <w:sz w:val="22"/>
          <w:szCs w:val="22"/>
          <w:lang w:eastAsia="en-GB"/>
        </w:rPr>
        <w:fldChar w:fldCharType="separate"/>
      </w:r>
      <w:r w:rsidR="007E3308" w:rsidRPr="007E3308">
        <w:rPr>
          <w:rFonts w:asciiTheme="minorHAnsi" w:hAnsiTheme="minorHAnsi"/>
          <w:iCs/>
          <w:noProof/>
          <w:color w:val="000000"/>
          <w:sz w:val="22"/>
          <w:szCs w:val="22"/>
          <w:lang w:eastAsia="en-GB"/>
        </w:rPr>
        <w:t>[184]</w:t>
      </w:r>
      <w:r w:rsidR="001A3070">
        <w:rPr>
          <w:rFonts w:asciiTheme="minorHAnsi" w:hAnsiTheme="minorHAnsi"/>
          <w:i/>
          <w:iCs/>
          <w:color w:val="000000"/>
          <w:sz w:val="22"/>
          <w:szCs w:val="22"/>
          <w:lang w:eastAsia="en-GB"/>
        </w:rPr>
        <w:fldChar w:fldCharType="end"/>
      </w:r>
      <w:r w:rsidRPr="00C44D8C">
        <w:rPr>
          <w:rFonts w:asciiTheme="minorHAnsi" w:hAnsiTheme="minorHAnsi"/>
          <w:color w:val="000000"/>
          <w:sz w:val="22"/>
          <w:szCs w:val="22"/>
          <w:lang w:eastAsia="en-GB"/>
        </w:rPr>
        <w:t xml:space="preserve"> as being a key enzyme involved in the </w:t>
      </w:r>
      <w:r w:rsidRPr="00C44D8C">
        <w:rPr>
          <w:rFonts w:asciiTheme="minorHAnsi" w:hAnsiTheme="minorHAnsi"/>
          <w:i/>
          <w:iCs/>
          <w:color w:val="000000"/>
          <w:sz w:val="22"/>
          <w:szCs w:val="22"/>
          <w:lang w:eastAsia="en-GB"/>
        </w:rPr>
        <w:t>N-</w:t>
      </w:r>
      <w:r w:rsidRPr="00C44D8C">
        <w:rPr>
          <w:rFonts w:asciiTheme="minorHAnsi" w:hAnsiTheme="minorHAnsi"/>
          <w:color w:val="000000"/>
          <w:sz w:val="22"/>
          <w:szCs w:val="22"/>
          <w:lang w:eastAsia="en-GB"/>
        </w:rPr>
        <w:t xml:space="preserve">glycosylation of S-layer glycoproteins. </w:t>
      </w:r>
    </w:p>
    <w:p w14:paraId="05A35CAA" w14:textId="61926DD1" w:rsidR="00436CD0" w:rsidRPr="00C44D8C" w:rsidRDefault="00436CD0" w:rsidP="00436CD0">
      <w:pPr>
        <w:spacing w:line="360" w:lineRule="auto"/>
        <w:ind w:firstLine="720"/>
        <w:rPr>
          <w:rFonts w:asciiTheme="minorHAnsi" w:hAnsiTheme="minorHAnsi"/>
          <w:color w:val="000000"/>
          <w:sz w:val="22"/>
          <w:szCs w:val="22"/>
          <w:shd w:val="clear" w:color="auto" w:fill="FFFF00"/>
          <w:lang w:eastAsia="en-GB"/>
        </w:rPr>
      </w:pPr>
      <w:r w:rsidRPr="00C44D8C">
        <w:rPr>
          <w:rFonts w:asciiTheme="minorHAnsi" w:hAnsiTheme="minorHAnsi"/>
          <w:color w:val="000000"/>
          <w:sz w:val="22"/>
          <w:szCs w:val="22"/>
          <w:lang w:eastAsia="en-GB"/>
        </w:rPr>
        <w:t xml:space="preserve">All archaeal surface-exposed proteins are modified by </w:t>
      </w:r>
      <w:r w:rsidRPr="00C44D8C">
        <w:rPr>
          <w:rFonts w:asciiTheme="minorHAnsi" w:hAnsiTheme="minorHAnsi"/>
          <w:sz w:val="22"/>
          <w:szCs w:val="22"/>
          <w:lang w:eastAsia="en-GB"/>
        </w:rPr>
        <w:t>N-glycosylation</w:t>
      </w:r>
      <w:r w:rsidR="001A3070">
        <w:rPr>
          <w:rFonts w:asciiTheme="minorHAnsi" w:hAnsiTheme="minorHAnsi"/>
          <w:sz w:val="22"/>
          <w:szCs w:val="22"/>
          <w:lang w:eastAsia="en-GB"/>
        </w:rPr>
        <w:t xml:space="preserve"> </w:t>
      </w:r>
      <w:r w:rsidR="001A3070">
        <w:rPr>
          <w:rFonts w:asciiTheme="minorHAnsi" w:hAnsiTheme="minorHAnsi"/>
          <w:sz w:val="22"/>
          <w:szCs w:val="22"/>
          <w:lang w:eastAsia="en-GB"/>
        </w:rPr>
        <w:fldChar w:fldCharType="begin" w:fldLock="1"/>
      </w:r>
      <w:r w:rsidR="00F6573E">
        <w:rPr>
          <w:rFonts w:asciiTheme="minorHAnsi" w:hAnsiTheme="minorHAnsi"/>
          <w:sz w:val="22"/>
          <w:szCs w:val="22"/>
          <w:lang w:eastAsia="en-GB"/>
        </w:rPr>
        <w:instrText>ADDIN CSL_CITATION { "citationItems" : [ { "id" : "ITEM-1", "itemData" : { "DOI" : "10.1038/nrmicro2576", "author" : [ { "dropping-particle" : "", "family" : "Albers", "given" : "Sonja-Verena", "non-dropping-particle" : "", "parse-names" : false, "suffix" : "" }, { "dropping-particle" : "", "family" : "Meyer", "given" : "Bejamin H.", "non-dropping-particle" : "", "parse-names" : false, "suffix" : "" } ], "container-title" : "Nature Reviews Microbiology", "id" : "ITEM-1", "issued" : { "date-parts" : [ [ "2011" ] ] }, "page" : "414-426", "title" : "The archaeal cell envelope", "type" : "article-journal", "volume" : "9" }, "uris" : [ "http://www.mendeley.com/documents/?uuid=8fe32ace-5b5e-35d2-9509-7ee955d2b39d" ] } ], "mendeley" : { "formattedCitation" : "[59]", "plainTextFormattedCitation" : "[59]", "previouslyFormattedCitation" : "[59]"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3250CB" w:rsidRPr="003250CB">
        <w:rPr>
          <w:rFonts w:asciiTheme="minorHAnsi" w:hAnsiTheme="minorHAnsi"/>
          <w:noProof/>
          <w:sz w:val="22"/>
          <w:szCs w:val="22"/>
          <w:lang w:eastAsia="en-GB"/>
        </w:rPr>
        <w:t>[59]</w:t>
      </w:r>
      <w:r w:rsidR="001A3070">
        <w:rPr>
          <w:rFonts w:asciiTheme="minorHAnsi" w:hAnsiTheme="minorHAnsi"/>
          <w:sz w:val="22"/>
          <w:szCs w:val="22"/>
          <w:lang w:eastAsia="en-GB"/>
        </w:rPr>
        <w:fldChar w:fldCharType="end"/>
      </w:r>
      <w:r w:rsidRPr="00C44D8C">
        <w:rPr>
          <w:rFonts w:asciiTheme="minorHAnsi" w:hAnsiTheme="minorHAnsi"/>
          <w:sz w:val="22"/>
          <w:szCs w:val="22"/>
          <w:lang w:eastAsia="en-GB"/>
        </w:rPr>
        <w:t xml:space="preserve">, which is the attachment of an oligosaccharide specifically to the asparagine residue of a target protein </w:t>
      </w:r>
      <w:r w:rsidR="001A3070">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"10.1128/MMBR.00052-13", "ISBN" : "1098-5557 (Electronic)\r1092-2172 (Linking)", "ISSN" : "1098-5557", "PMID" : "24847024", "abstract" : "N-glycosylation of proteins is one of the most prevalent posttranslational modifications in nature. Accordingly, a pathway with shared commonalities is found in all three domains of life. While excellent model systems have been developed for studying N-glycosylation in both Eukarya and Bacteria, an understanding of this process in Archaea was hampered until recently by a lack of effective molecular tools. However, within the last decade, impressive advances in the study of the archaeal version of this important pathway have been made for halophiles, methanogens, and thermoacidophiles, combining glycan structural information obtained by mass spectrometry with bioinformatic, genetic, biochemical, and enzymatic data. These studies reveal both features shared with the eukaryal and bacterial domains and novel archaeon-specific aspects. Unique features of N-glycosylation in Archaea include the presence of unusual dolichol lipid carriers, the use of a variety of linking sugars that connect the glycan to proteins, the presence of novel sugars as glycan constituents, the presence of two very different N-linked glycans attached to the same protein, and the ability to vary the N-glycan composition under different growth conditions. These advances are the focus of this review, with an emphasis on N-glycosylation pathways in Haloferax, Methanococcus, and Sulfolobus.", "author" : [ { "dropping-particle" : "", "family" : "Jarrell", "given" : "Ken F", "non-dropping-particle" : "", "parse-names" : false, "suffix" : "" }, { "dropping-particle" : "", "family" : "Ding", "given" : "Yan", "non-dropping-particle" : "", "parse-names" : false, "suffix" : "" }, { "dropping-particle" : "", "family" : "Meyer", "given" : "Benjamin H", "non-dropping-particle" : "", "parse-names" : false, "suffix" : "" }, { "dropping-particle" : "", "family" : "Albers", "given" : "Sonja-Verena", "non-dropping-particle" : "", "parse-names" : false, "suffix" : "" }, { "dropping-particle" : "", "family" : "Kaminski", "given" : "Lina", "non-dropping-particle" : "", "parse-names" : false, "suffix" : "" }, { "dropping-particle" : "", "family" : "Eichler", "given" : "Jerry", "non-dropping-particle" : "", "parse-names" : false, "suffix" : "" } ], "container-title" : "Microbiology and molecular biology reviews : MMBR", "id" : "ITEM-1", "issue" : "2", "issued" : { "date-parts" : [ [ "2014" ] ] }, "page" : "304-41", "title" : "N-linked glycosylation in Archaea: a structural, functional, and genetic analysis.", "type" : "article-journal", "volume" : "78" }, "uris" : [ "http://www.mendeley.com/documents/?uuid=c1ed7f68-b621-42ae-8a1f-bdd0c6016cbe" ] } ], "mendeley" : { "formattedCitation" : "[215]", "plainTextFormattedCitation" : "[215]", "previouslyFormattedCitation" : "[215]"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[215]</w:t>
      </w:r>
      <w:r w:rsidR="001A3070">
        <w:rPr>
          <w:rFonts w:asciiTheme="minorHAnsi" w:hAnsiTheme="minorHAnsi"/>
          <w:sz w:val="22"/>
          <w:szCs w:val="22"/>
          <w:lang w:eastAsia="en-GB"/>
        </w:rPr>
        <w:fldChar w:fldCharType="end"/>
      </w:r>
      <w:r w:rsidRPr="00C44D8C">
        <w:rPr>
          <w:rFonts w:asciiTheme="minorHAnsi" w:hAnsiTheme="minorHAnsi"/>
          <w:sz w:val="22"/>
          <w:szCs w:val="22"/>
          <w:lang w:eastAsia="en-GB"/>
        </w:rPr>
        <w:t xml:space="preserve">. This process is naturally conserved across all three domains of life </w:t>
      </w:r>
      <w:r w:rsidR="001A3070">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"10.1093/glycob/cwq055", "ISBN" : "0959-6658", "ISSN" : "09596658", "PMID" : "20371512", "abstract" : "While each of the three domains of life on Earth possesses unique traits and relies on characteristic biological strategies, some processes are common to Eukarya, Bacteria and Archaea. Once believed to be restricted to Eukarya, it is now clear that Bacteria and Archaea are also capable of performing N-glycosylation. However, in contrast to Bacteria, where this posttranslational modification is still considered a rare event, numerous species of Archaea, isolated from a wide range of environments, have been reported to contain proteins bearing Asn-linked glycan moieties. Analysis of the chemical composition of the Asn-linked polysaccharides decorating archaeal proteins has, moreover, revealed the use of a wider variety of sugar subunits than seen in either eukaryal or bacterial glycoproteins. Still, although first reported some 30 years ago, little had been known of the steps or components involved in the archaeal version of this universal posttranslational modification. Now, with the availability of sufficient numbers of genome sequences and the development of appropriate experimental tools, molecular analysis of archaeal N-glycosylation pathways has become possible. Accordingly using halophilic, methanogenic and thermophilic model species, insight into the biosynthesis and attachment of N-linked glycans decorating archaeal glycoproteins is starting to amass. In this review, current understanding of N-glycosylation in Archaea is described.", "author" : [ { "dropping-particle" : "", "family" : "Calo", "given" : "Doron", "non-dropping-particle" : "", "parse-names" : false, "suffix" : "" }, { "dropping-particle" : "", "family" : "Kaminski", "given" : "Lina", "non-dropping-particle" : "", "parse-names" : false, "suffix" : "" }, { "dropping-particle" : "", "family" : "Eichler", "given" : "Jerry", "non-dropping-particle" : "", "parse-names" : false, "suffix" : "" } ], "container-title" : "Glycobiology", "id" : "ITEM-1", "issue" : "9", "issued" : { "date-parts" : [ [ "2010" ] ] }, "page" : "1065-1076", "title" : "Protein glycosylation in Archaea: Sweet and extreme", "type" : "article-journal", "volume" : "20" }, "uris" : [ "http://www.mendeley.com/documents/?uuid=b323fa9e-ce2f-4d7c-b419-99d392c11efb" ] } ], "mendeley" : { "formattedCitation" : "[184]", "plainTextFormattedCitation" : "[184]", "previouslyFormattedCitation" : "[184]"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[184]</w:t>
      </w:r>
      <w:r w:rsidR="001A3070">
        <w:rPr>
          <w:rFonts w:asciiTheme="minorHAnsi" w:hAnsiTheme="minorHAnsi"/>
          <w:sz w:val="22"/>
          <w:szCs w:val="22"/>
          <w:lang w:eastAsia="en-GB"/>
        </w:rPr>
        <w:fldChar w:fldCharType="end"/>
      </w:r>
      <w:r w:rsidRPr="00C44D8C">
        <w:rPr>
          <w:rFonts w:asciiTheme="minorHAnsi" w:hAnsiTheme="minorHAnsi"/>
          <w:sz w:val="22"/>
          <w:szCs w:val="22"/>
          <w:lang w:eastAsia="en-GB"/>
        </w:rPr>
        <w:t xml:space="preserve">, and in archaea, N-glycosylation of surface proteins provides essential S-layer stability and maintenance, and plays a key role in allowing cells to adapt and respond to various environmental triggers </w:t>
      </w:r>
      <w:r w:rsidR="001A3070">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"10.1128/MMBR.00052-13", "ISBN" : "1098-5557 (Electronic)\r1092-2172 (Linking)", "ISSN" : "1098-5557", "PMID" : "24847024", "abstract" : "N-glycosylation of proteins is one of the most prevalent posttranslational modifications in nature. Accordingly, a pathway with shared commonalities is found in all three domains of life. While excellent model systems have been developed for studying N-glycosylation in both Eukarya and Bacteria, an understanding of this process in Archaea was hampered until recently by a lack of effective molecular tools. However, within the last decade, impressive advances in the study of the archaeal version of this important pathway have been made for halophiles, methanogens, and thermoacidophiles, combining glycan structural information obtained by mass spectrometry with bioinformatic, genetic, biochemical, and enzymatic data. These studies reveal both features shared with the eukaryal and bacterial domains and novel archaeon-specific aspects. Unique features of N-glycosylation in Archaea include the presence of unusual dolichol lipid carriers, the use of a variety of linking sugars that connect the glycan to proteins, the presence of novel sugars as glycan constituents, the presence of two very different N-linked glycans attached to the same protein, and the ability to vary the N-glycan composition under different growth conditions. These advances are the focus of this review, with an emphasis on N-glycosylation pathways in Haloferax, Methanococcus, and Sulfolobus.", "author" : [ { "dropping-particle" : "", "family" : "Jarrell", "given" : "Ken F", "non-dropping-particle" : "", "parse-names" : false, "suffix" : "" }, { "dropping-particle" : "", "family" : "Ding", "given" : "Yan", "non-dropping-particle" : "", "parse-names" : false, "suffix" : "" }, { "dropping-particle" : "", "family" : "Meyer", "given" : "Benjamin H", "non-dropping-particle" : "", "parse-names" : false, "suffix" : "" }, { "dropping-particle" : "", "family" : "Albers", "given" : "Sonja-Verena", "non-dropping-particle" : "", "parse-names" : false, "suffix" : "" }, { "dropping-particle" : "", "family" : "Kaminski", "given" : "Lina", "non-dropping-particle" : "", "parse-names" : false, "suffix" : "" }, { "dropping-particle" : "", "family" : "Eichler", "given" : "Jerry", "non-dropping-particle" : "", "parse-names" : false, "suffix" : "" } ], "container-title" : "Microbiology and molecular biology reviews : MMBR", "id" : "ITEM-1", "issue" : "2", "issued" : { "date-parts" : [ [ "2014" ] ] }, "page" : "304-41", "title" : "N-linked glycosylation in Archaea: a structural, functional, and genetic analysis.", "type" : "article-journal", "volume" : "78" }, "uris" : [ "http://www.mendeley.com/documents/?uuid=c1ed7f68-b621-42ae-8a1f-bdd0c6016cbe" ] }, { "id" : "ITEM-2", "itemData" : { "DOI" : "10.1038/nrmicro2576", "author" : [ { "dropping-particle" : "", "family" : "Albers", "given" : "Sonja-Verena", "non-dropping-particle" : "", "parse-names" : false, "suffix" : "" }, { "dropping-particle" : "", "family" : "Meyer", "given" : "Bejamin H.", "non-dropping-particle" : "", "parse-names" : false, "suffix" : "" } ], "container-title" : "Nature Reviews Microbiology", "id" : "ITEM-2", "issued" : { "date-parts" : [ [ "2011" ] ] }, "page" : "414-426", "title" : "The archaeal cell envelope", "type" : "article-journal", "volume" : "9" }, "uris" : [ "http://www.mendeley.com/documents/?uuid=8fe32ace-5b5e-35d2-9509-7ee955d2b39d" ] }, { "id" : "ITEM-3", "itemData" : { "DOI" : "10.3389/fmicb.2014.00661", "ISBN" : "1664-302X (Electronic)\\r1664-302X (Linking)", "ISSN" : "1664-302X", "PMID" : "25505464", "abstract" : "Corresponding to the sole or basic component of the surface (S)-layer surrounding the archaeal cell in most known cases, S-layer glycoproteins are in direct contact with the harsh environments that characterize niches where Archaea can thrive. Accordingly, early work examining archaeal S-layer glycoproteins focused on identifying those properties that allow members of this group of proteins to maintain their structural integrity in the face of extremes of temperature, pH, and salinity, as well as other physical challenges. However, with expansion of the list of archaeal strains serving as model systems, as well as growth in the number of molecular tools available for the manipulation of these strains, studies on archaeal S-layer glycoproteins are currently more likely to consider the various post-translational modifications these polypeptides undergo. For instance, archaeal S-layer glycoproteins can undergo proteolytic cleavage, both N- and O-glycosylation, lipid-modification and oligomerization. In this mini-review, recent findings related to the post-translational modification of archaeal S-layer glycoproteins are considered.", "author" : [ { "dropping-particle" : "", "family" : "Kandiba", "given" : "Lina", "non-dropping-particle" : "", "parse-names" : false, "suffix" : "" }, { "dropping-particle" : "", "family" : "Eichler", "given" : "Jerry", "non-dropping-particle" : "", "parse-names" : false, "suffix" : "" } ], "container-title" : "Frontiers in microbiology", "id" : "ITEM-3", "issued" : { "date-parts" : [ [ "2014" ] ] }, "page" : "1-5", "title" : "Archaeal S-layer glycoproteins: post-translational modification in the face of extremes.", "type" : "article-journal", "volume" : "5" }, "uris" : [ "http://www.mendeley.com/documents/?uuid=4e99cc54-4b67-4254-b12f-0359d23f6f2c" ] } ], "mendeley" : { "formattedCitation" : "[59,215,234]", "plainTextFormattedCitation" : "[59,215,234]", "previouslyFormattedCitation" : "[59,215,234]"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[59,215,234]</w:t>
      </w:r>
      <w:r w:rsidR="001A3070">
        <w:rPr>
          <w:rFonts w:asciiTheme="minorHAnsi" w:hAnsiTheme="minorHAnsi"/>
          <w:sz w:val="22"/>
          <w:szCs w:val="22"/>
          <w:lang w:eastAsia="en-GB"/>
        </w:rPr>
        <w:fldChar w:fldCharType="end"/>
      </w:r>
      <w:r w:rsidR="001A3070">
        <w:rPr>
          <w:rFonts w:asciiTheme="minorHAnsi" w:hAnsiTheme="minorHAnsi"/>
          <w:sz w:val="22"/>
          <w:szCs w:val="22"/>
          <w:lang w:eastAsia="en-GB"/>
        </w:rPr>
        <w:t>.</w:t>
      </w:r>
    </w:p>
    <w:p w14:paraId="67268FB7" w14:textId="1891E4BB"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iCs/>
          <w:sz w:val="22"/>
          <w:szCs w:val="22"/>
          <w:lang w:eastAsia="en-GB"/>
        </w:rPr>
        <w:t xml:space="preserve">Previous studies have shown that </w:t>
      </w:r>
      <w:r w:rsidRPr="00C44D8C">
        <w:rPr>
          <w:rFonts w:asciiTheme="minorHAnsi" w:hAnsiTheme="minorHAnsi"/>
          <w:i/>
          <w:iCs/>
          <w:sz w:val="22"/>
          <w:szCs w:val="22"/>
          <w:lang w:eastAsia="en-GB"/>
        </w:rPr>
        <w:t xml:space="preserve">S. acidocaldarius </w:t>
      </w:r>
      <w:r w:rsidRPr="00C44D8C">
        <w:rPr>
          <w:rFonts w:asciiTheme="minorHAnsi" w:hAnsiTheme="minorHAnsi"/>
          <w:iCs/>
          <w:sz w:val="22"/>
          <w:szCs w:val="22"/>
          <w:lang w:eastAsia="en-GB"/>
        </w:rPr>
        <w:t>differentially regulates proteins involved in N-glycosylation</w:t>
      </w:r>
      <w:r w:rsidRPr="00C44D8C">
        <w:rPr>
          <w:rFonts w:asciiTheme="minorHAnsi" w:hAnsiTheme="minorHAnsi"/>
          <w:i/>
          <w:iCs/>
          <w:sz w:val="22"/>
          <w:szCs w:val="22"/>
          <w:lang w:eastAsia="en-GB"/>
        </w:rPr>
        <w:t xml:space="preserve"> </w:t>
      </w:r>
      <w:r w:rsidRPr="00C44D8C">
        <w:rPr>
          <w:rFonts w:asciiTheme="minorHAnsi" w:hAnsiTheme="minorHAnsi"/>
          <w:iCs/>
          <w:sz w:val="22"/>
          <w:szCs w:val="22"/>
          <w:lang w:eastAsia="en-GB"/>
        </w:rPr>
        <w:t xml:space="preserve">in response to high temperatures, as has </w:t>
      </w:r>
      <w:r w:rsidRPr="00C44D8C">
        <w:rPr>
          <w:rFonts w:asciiTheme="minorHAnsi" w:hAnsiTheme="minorHAnsi"/>
          <w:i/>
          <w:iCs/>
          <w:sz w:val="22"/>
          <w:szCs w:val="22"/>
          <w:lang w:eastAsia="en-GB"/>
        </w:rPr>
        <w:t xml:space="preserve">Haloferax volcanii </w:t>
      </w:r>
      <w:r w:rsidRPr="00C44D8C">
        <w:rPr>
          <w:rFonts w:asciiTheme="minorHAnsi" w:hAnsiTheme="minorHAnsi"/>
          <w:iCs/>
          <w:sz w:val="22"/>
          <w:szCs w:val="22"/>
          <w:lang w:eastAsia="en-GB"/>
        </w:rPr>
        <w:t xml:space="preserve">in response </w:t>
      </w:r>
      <w:r w:rsidRPr="00C44D8C">
        <w:rPr>
          <w:rFonts w:asciiTheme="minorHAnsi" w:hAnsiTheme="minorHAnsi"/>
          <w:sz w:val="22"/>
          <w:szCs w:val="22"/>
          <w:lang w:eastAsia="en-GB"/>
        </w:rPr>
        <w:t>to high salt levels</w:t>
      </w:r>
      <w:r w:rsidRPr="00C44D8C">
        <w:rPr>
          <w:rFonts w:asciiTheme="minorHAnsi" w:hAnsiTheme="minorHAnsi"/>
          <w:i/>
          <w:iCs/>
          <w:sz w:val="22"/>
          <w:szCs w:val="22"/>
          <w:lang w:eastAsia="en-GB"/>
        </w:rPr>
        <w:t> </w:t>
      </w:r>
      <w:r w:rsidR="001A3070">
        <w:rPr>
          <w:rFonts w:asciiTheme="minorHAnsi" w:hAnsiTheme="minorHAnsi"/>
          <w:i/>
          <w:iCs/>
          <w:sz w:val="22"/>
          <w:szCs w:val="22"/>
          <w:lang w:eastAsia="en-GB"/>
        </w:rPr>
        <w:fldChar w:fldCharType="begin" w:fldLock="1"/>
      </w:r>
      <w:r w:rsidR="007E3308">
        <w:rPr>
          <w:rFonts w:asciiTheme="minorHAnsi" w:hAnsiTheme="minorHAnsi"/>
          <w:i/>
          <w:iCs/>
          <w:sz w:val="22"/>
          <w:szCs w:val="22"/>
          <w:lang w:eastAsia="en-GB"/>
        </w:rPr>
        <w:instrText>ADDIN CSL_CITATION { "citationItems" : [ { "id" : "ITEM-1", "itemData" : { "DOI" : "10.3389/fmicb.2014.00661", "ISBN" : "1664-302X (Electronic)\\r1664-302X (Linking)", "ISSN" : "1664-302X", "PMID" : "25505464", "abstract" : "Corresponding to the sole or basic component of the surface (S)-layer surrounding the archaeal cell in most known cases, S-layer glycoproteins are in direct contact with the harsh environments that characterize niches where Archaea can thrive. Accordingly, early work examining archaeal S-layer glycoproteins focused on identifying those properties that allow members of this group of proteins to maintain their structural integrity in the face of extremes of temperature, pH, and salinity, as well as other physical challenges. However, with expansion of the list of archaeal strains serving as model systems, as well as growth in the number of molecular tools available for the manipulation of these strains, studies on archaeal S-layer glycoproteins are currently more likely to consider the various post-translational modifications these polypeptides undergo. For instance, archaeal S-layer glycoproteins can undergo proteolytic cleavage, both N- and O-glycosylation, lipid-modification and oligomerization. In this mini-review, recent findings related to the post-translational modification of archaeal S-layer glycoproteins are considered.", "author" : [ { "dropping-particle" : "", "family" : "Kandiba", "given" : "Lina", "non-dropping-particle" : "", "parse-names" : false, "suffix" : "" }, { "dropping-particle" : "", "family" : "Eichler", "given" : "Jerry", "non-dropping-particle" : "", "parse-names" : false, "suffix" : "" } ], "container-title" : "Frontiers in microbiology", "id" : "ITEM-1", "issued" : { "date-parts" : [ [ "2014" ] ] }, "page" : "1-5", "title" : "Archaeal S-layer glycoproteins: post-translational modification in the face of extremes.", "type" : "article-journal", "volume" : "5" }, "uris" : [ "http://www.mendeley.com/documents/?uuid=4e99cc54-4b67-4254-b12f-0359d23f6f2c" ] } ], "mendeley" : { "formattedCitation" : "[234]", "plainTextFormattedCitation" : "[234]", "previouslyFormattedCitation" : "[234]" }, "properties" : { "noteIndex" : 0 }, "schema" : "https://github.com/citation-style-language/schema/raw/master/csl-citation.json" }</w:instrText>
      </w:r>
      <w:r w:rsidR="001A3070">
        <w:rPr>
          <w:rFonts w:asciiTheme="minorHAnsi" w:hAnsiTheme="minorHAnsi"/>
          <w:i/>
          <w:iCs/>
          <w:sz w:val="22"/>
          <w:szCs w:val="22"/>
          <w:lang w:eastAsia="en-GB"/>
        </w:rPr>
        <w:fldChar w:fldCharType="separate"/>
      </w:r>
      <w:r w:rsidR="007E3308" w:rsidRPr="007E3308">
        <w:rPr>
          <w:rFonts w:asciiTheme="minorHAnsi" w:hAnsiTheme="minorHAnsi"/>
          <w:iCs/>
          <w:noProof/>
          <w:sz w:val="22"/>
          <w:szCs w:val="22"/>
          <w:lang w:eastAsia="en-GB"/>
        </w:rPr>
        <w:t>[234]</w:t>
      </w:r>
      <w:r w:rsidR="001A3070">
        <w:rPr>
          <w:rFonts w:asciiTheme="minorHAnsi" w:hAnsiTheme="minorHAnsi"/>
          <w:i/>
          <w:iCs/>
          <w:sz w:val="22"/>
          <w:szCs w:val="22"/>
          <w:lang w:eastAsia="en-GB"/>
        </w:rPr>
        <w:fldChar w:fldCharType="end"/>
      </w:r>
      <w:r w:rsidRPr="00C44D8C">
        <w:rPr>
          <w:rFonts w:asciiTheme="minorHAnsi" w:hAnsiTheme="minorHAnsi"/>
          <w:color w:val="000000"/>
          <w:sz w:val="22"/>
          <w:szCs w:val="22"/>
          <w:lang w:eastAsia="en-GB"/>
        </w:rPr>
        <w:t xml:space="preserve">. In this study, </w:t>
      </w:r>
      <w:r w:rsidRPr="00C44D8C">
        <w:rPr>
          <w:rFonts w:asciiTheme="minorHAnsi" w:hAnsiTheme="minorHAnsi"/>
          <w:sz w:val="22"/>
          <w:szCs w:val="22"/>
          <w:lang w:eastAsia="en-GB"/>
        </w:rPr>
        <w:t xml:space="preserve">PVC was the environmental trigger for the induction of a more developed biofilm from </w:t>
      </w:r>
      <w:r w:rsidRPr="00C44D8C">
        <w:rPr>
          <w:rFonts w:asciiTheme="minorHAnsi" w:hAnsiTheme="minorHAnsi"/>
          <w:i/>
          <w:sz w:val="22"/>
          <w:szCs w:val="22"/>
          <w:lang w:eastAsia="en-GB"/>
        </w:rPr>
        <w:t>M. barkeri</w:t>
      </w:r>
      <w:r w:rsidRPr="00C44D8C">
        <w:rPr>
          <w:rFonts w:asciiTheme="minorHAnsi" w:hAnsiTheme="minorHAnsi"/>
          <w:sz w:val="22"/>
          <w:szCs w:val="22"/>
          <w:lang w:eastAsia="en-GB"/>
        </w:rPr>
        <w:t xml:space="preserve">, causing the </w:t>
      </w:r>
      <w:r w:rsidR="00833BC6">
        <w:rPr>
          <w:rFonts w:asciiTheme="minorHAnsi" w:hAnsiTheme="minorHAnsi"/>
          <w:color w:val="000000"/>
          <w:sz w:val="22"/>
          <w:szCs w:val="22"/>
          <w:lang w:eastAsia="en-GB"/>
        </w:rPr>
        <w:t>higher relative abundance</w:t>
      </w:r>
      <w:r w:rsidRPr="00C44D8C">
        <w:rPr>
          <w:rFonts w:asciiTheme="minorHAnsi" w:hAnsiTheme="minorHAnsi"/>
          <w:sz w:val="22"/>
          <w:szCs w:val="22"/>
          <w:lang w:eastAsia="en-GB"/>
        </w:rPr>
        <w:t xml:space="preserve"> of key cell surface-associated proteins to facilitate irreversible attachment. </w:t>
      </w:r>
      <w:r w:rsidRPr="00C44D8C">
        <w:rPr>
          <w:rFonts w:asciiTheme="minorHAnsi" w:hAnsiTheme="minorHAnsi"/>
          <w:color w:val="000000"/>
          <w:sz w:val="22"/>
          <w:szCs w:val="22"/>
          <w:lang w:eastAsia="en-GB"/>
        </w:rPr>
        <w:t xml:space="preserve">Similar findings have also been observed in mature biofilms of </w:t>
      </w:r>
      <w:r w:rsidRPr="00C44D8C">
        <w:rPr>
          <w:rFonts w:asciiTheme="minorHAnsi" w:hAnsiTheme="minorHAnsi"/>
          <w:i/>
          <w:color w:val="000000"/>
          <w:sz w:val="22"/>
          <w:szCs w:val="22"/>
          <w:lang w:eastAsia="en-GB"/>
        </w:rPr>
        <w:t xml:space="preserve">Pseudomonas aeruginosa, </w:t>
      </w:r>
      <w:r w:rsidRPr="00C44D8C">
        <w:rPr>
          <w:rFonts w:asciiTheme="minorHAnsi" w:hAnsiTheme="minorHAnsi"/>
          <w:color w:val="000000"/>
          <w:sz w:val="22"/>
          <w:szCs w:val="22"/>
          <w:lang w:eastAsia="en-GB"/>
        </w:rPr>
        <w:t xml:space="preserve">which </w:t>
      </w:r>
      <w:r w:rsidR="003D18AD">
        <w:rPr>
          <w:rFonts w:asciiTheme="minorHAnsi" w:hAnsiTheme="minorHAnsi"/>
          <w:color w:val="000000"/>
          <w:sz w:val="22"/>
          <w:szCs w:val="22"/>
          <w:lang w:eastAsia="en-GB"/>
        </w:rPr>
        <w:t>had a higher relative abundance</w:t>
      </w:r>
      <w:r w:rsidRPr="00C44D8C">
        <w:rPr>
          <w:rFonts w:asciiTheme="minorHAnsi" w:hAnsiTheme="minorHAnsi"/>
          <w:color w:val="000000"/>
          <w:sz w:val="22"/>
          <w:szCs w:val="22"/>
          <w:lang w:eastAsia="en-GB"/>
        </w:rPr>
        <w:t xml:space="preserve"> </w:t>
      </w:r>
      <w:r w:rsidR="003D18AD">
        <w:rPr>
          <w:rFonts w:asciiTheme="minorHAnsi" w:hAnsiTheme="minorHAnsi"/>
          <w:color w:val="000000"/>
          <w:sz w:val="22"/>
          <w:szCs w:val="22"/>
          <w:lang w:eastAsia="en-GB"/>
        </w:rPr>
        <w:t xml:space="preserve">of </w:t>
      </w:r>
      <w:r w:rsidRPr="00C44D8C">
        <w:rPr>
          <w:rFonts w:asciiTheme="minorHAnsi" w:hAnsiTheme="minorHAnsi"/>
          <w:color w:val="000000"/>
          <w:sz w:val="22"/>
          <w:szCs w:val="22"/>
          <w:lang w:eastAsia="en-GB"/>
        </w:rPr>
        <w:t xml:space="preserve">proteins involved in outer membrane biogenesis </w:t>
      </w:r>
      <w:r w:rsidRPr="00C44D8C">
        <w:rPr>
          <w:rFonts w:asciiTheme="minorHAnsi" w:hAnsiTheme="minorHAnsi"/>
          <w:color w:val="000000"/>
          <w:sz w:val="22"/>
          <w:szCs w:val="22"/>
          <w:lang w:eastAsia="en-GB"/>
        </w:rPr>
        <w:lastRenderedPageBreak/>
        <w:t>compared to biofilms at the initial stages of biofilm formation</w:t>
      </w:r>
      <w:r w:rsidR="001A3070">
        <w:rPr>
          <w:rFonts w:asciiTheme="minorHAnsi" w:hAnsiTheme="minorHAnsi"/>
          <w:color w:val="000000"/>
          <w:sz w:val="22"/>
          <w:szCs w:val="22"/>
          <w:lang w:eastAsia="en-GB"/>
        </w:rPr>
        <w:t xml:space="preserve"> </w:t>
      </w:r>
      <w:r w:rsidR="001A3070">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"10.1128/JB.184.4.1140", "author" : [ { "dropping-particle" : "", "family" : "Sauer", "given" : "Karin", "non-dropping-particle" : "", "parse-names" : false, "suffix" : "" }, { "dropping-particle" : "", "family" : "Camper", "given" : "Anne K", "non-dropping-particle" : "", "parse-names" : false, "suffix" : "" }, { "dropping-particle" : "", "family" : "Ehrlich", "given" : "Garth D", "non-dropping-particle" : "", "parse-names" : false, "suffix" : "" }, { "dropping-particle" : "", "family" : "Costerton", "given" : "J William", "non-dropping-particle" : "", "parse-names" : false, "suffix" : "" }, { "dropping-particle" : "", "family" : "Davies", "given" : "David G", "non-dropping-particle" : "", "parse-names" : false, "suffix" : "" } ], "container-title" : "Journal of bacteriology", "id" : "ITEM-1", "issue" : "4", "issued" : { "date-parts" : [ [ "2002" ] ] }, "page" : "1140-1154", "title" : "Pseudomonas aeruginosa Displays Multiple Phenotypes during Development as a Biofilm", "type" : "article-journal", "volume" : "184" }, "uris" : [ "http://www.mendeley.com/documents/?uuid=e60e637a-d417-4100-956a-1f1ed9275792" ] } ], "mendeley" : { "formattedCitation" : "[90]", "plainTextFormattedCitation" : "[90]", "previouslyFormattedCitation" : "[90]" }, "properties" : { "noteIndex" : 0 }, "schema" : "https://github.com/citation-style-language/schema/raw/master/csl-citation.json" }</w:instrText>
      </w:r>
      <w:r w:rsidR="001A3070">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[90]</w:t>
      </w:r>
      <w:r w:rsidR="001A3070">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and in </w:t>
      </w:r>
      <w:r w:rsidRPr="00C44D8C">
        <w:rPr>
          <w:rFonts w:asciiTheme="minorHAnsi" w:hAnsiTheme="minorHAnsi"/>
          <w:i/>
          <w:color w:val="000000"/>
          <w:sz w:val="22"/>
          <w:szCs w:val="22"/>
          <w:lang w:eastAsia="en-GB"/>
        </w:rPr>
        <w:t>Escherichia coli</w:t>
      </w:r>
      <w:r w:rsidRPr="00C44D8C">
        <w:rPr>
          <w:rFonts w:asciiTheme="minorHAnsi" w:hAnsiTheme="minorHAnsi"/>
          <w:color w:val="000000"/>
          <w:sz w:val="22"/>
          <w:szCs w:val="22"/>
          <w:lang w:eastAsia="en-GB"/>
        </w:rPr>
        <w:t>, which upregulated outer membrane proteins</w:t>
      </w:r>
      <w:r w:rsidRPr="00C44D8C">
        <w:rPr>
          <w:rFonts w:asciiTheme="minorHAnsi" w:hAnsiTheme="minorHAnsi"/>
          <w:i/>
          <w:color w:val="000000"/>
          <w:sz w:val="22"/>
          <w:szCs w:val="22"/>
          <w:lang w:eastAsia="en-GB"/>
        </w:rPr>
        <w:t xml:space="preserve"> </w:t>
      </w:r>
      <w:r w:rsidRPr="00C44D8C">
        <w:rPr>
          <w:rFonts w:asciiTheme="minorHAnsi" w:hAnsiTheme="minorHAnsi"/>
          <w:color w:val="000000"/>
          <w:sz w:val="22"/>
          <w:szCs w:val="22"/>
          <w:lang w:eastAsia="en-GB"/>
        </w:rPr>
        <w:t xml:space="preserve">during biofilm formation </w:t>
      </w:r>
      <w:r w:rsidR="001A3070">
        <w:rPr>
          <w:rFonts w:asciiTheme="minorHAnsi" w:hAnsiTheme="minorHAnsi"/>
          <w:color w:val="000000"/>
          <w:sz w:val="22"/>
          <w:szCs w:val="22"/>
          <w:lang w:eastAsia="en-GB"/>
        </w:rPr>
        <w:fldChar w:fldCharType="begin" w:fldLock="1"/>
      </w:r>
      <w:r w:rsidR="00AB0CFE">
        <w:rPr>
          <w:rFonts w:asciiTheme="minorHAnsi" w:hAnsiTheme="minorHAnsi"/>
          <w:color w:val="000000"/>
          <w:sz w:val="22"/>
          <w:szCs w:val="22"/>
          <w:lang w:eastAsia="en-GB"/>
        </w:rPr>
        <w:instrText>ADDIN CSL_CITATION { "citationItems" : [ { "id" : "ITEM-1", "itemData" : { "DOI" : "10.1073/pnas.042521699", "ISBN" : "0027-8424 (Print)\\n0027-8424 (Linking)", "ISSN" : "00278424", "PMID" : "11830644", "abstract" : "Bacterial adhesion is an important initial step in biofilm formation, which may cause problems in medical, environmental, and industrial settings. In spite of obvious phenotypic differences between attached and planktonic cells, knowledge about the genetic basis for these differences and how adhesion-induced changes are mediated is limited. The Cpx two-component signal transduction pathway responds specifically to stress caused by disturbances in the cell envelope and activates genes encoding periplasmic protein folding and degrading factors. Here, we address the role of the Cpx-signaling pathway in sensing and responding to the physical change occurring during adhesion of Escherichia coli to surfaces. We present evidence that the expression of Cpx-regulated genes is induced during initial adhesion of E. coli to abiotic surfaces. This induction is specifically observed upon attachment of stationary-phase cells to hydrophobic surfaces. Moreover, surface-induced activity of the Cpx response requires NlpE, an outer membrane lipoprotein, which has previously been shown to induce the Cpx system when overproduced. The importance of a functional Cpx response during adhesion is further supported by the fact that a dramatically lower number of cells attach to the surface and dynamic cell-surface interactions as measured by a quartz crystal microbalance technique are altered when the CpxRA pathway is disrupted. The defects in adhesion exhibited by the cpxR and nlpE mutants were strikingly similar to those of wild-type cells in which protein synthesis was inhibited, suggesting that the Cpx pathway plays a key role in the regulation of adhesion-induced gene expression.", "author" : [ { "dropping-particle" : "", "family" : "Otto", "given" : "Karen", "non-dropping-particle" : "", "parse-names" : false, "suffix" : "" }, { "dropping-particle" : "", "family" : "Silhavy", "given" : "Thomas J", "non-dropping-particle" : "", "parse-names" : false, "suffix" : "" } ], "container-title" : "Proceedings of the National Academy of Sciences of the United States of America", "id" : "ITEM-1", "issue" : "4", "issued" : { "date-parts" : [ [ "2002" ] ] }, "page" : "2287-2292", "title" : "Surface sensing and adhesion of Escherichia coli controlled by the Cpx-signaling pathway.", "type" : "article-journal", "volume" : "99" }, "uris" : [ "http://www.mendeley.com/documents/?uuid=13ea6281-9e60-4220-ae39-bbd5e55f77e3" ] } ], "mendeley" : { "formattedCitation" : "[91]", "plainTextFormattedCitation" : "[91]", "previouslyFormattedCitation" : "[91]" }, "properties" : { "noteIndex" : 0 }, "schema" : "https://github.com/citation-style-language/schema/raw/master/csl-citation.json" }</w:instrText>
      </w:r>
      <w:r w:rsidR="001A3070">
        <w:rPr>
          <w:rFonts w:asciiTheme="minorHAnsi" w:hAnsiTheme="minorHAnsi"/>
          <w:color w:val="000000"/>
          <w:sz w:val="22"/>
          <w:szCs w:val="22"/>
          <w:lang w:eastAsia="en-GB"/>
        </w:rPr>
        <w:fldChar w:fldCharType="separate"/>
      </w:r>
      <w:r w:rsidR="00BB3D6F" w:rsidRPr="00BB3D6F">
        <w:rPr>
          <w:rFonts w:asciiTheme="minorHAnsi" w:hAnsiTheme="minorHAnsi"/>
          <w:noProof/>
          <w:color w:val="000000"/>
          <w:sz w:val="22"/>
          <w:szCs w:val="22"/>
          <w:lang w:eastAsia="en-GB"/>
        </w:rPr>
        <w:t>[91]</w:t>
      </w:r>
      <w:r w:rsidR="001A3070">
        <w:rPr>
          <w:rFonts w:asciiTheme="minorHAnsi" w:hAnsiTheme="minorHAnsi"/>
          <w:color w:val="000000"/>
          <w:sz w:val="22"/>
          <w:szCs w:val="22"/>
          <w:lang w:eastAsia="en-GB"/>
        </w:rPr>
        <w:fldChar w:fldCharType="end"/>
      </w:r>
      <w:r w:rsidR="001A3070">
        <w:rPr>
          <w:rFonts w:asciiTheme="minorHAnsi" w:hAnsiTheme="minorHAnsi"/>
          <w:color w:val="000000"/>
          <w:sz w:val="22"/>
          <w:szCs w:val="22"/>
          <w:lang w:eastAsia="en-GB"/>
        </w:rPr>
        <w:t>.</w:t>
      </w:r>
      <w:r w:rsidRPr="00C44D8C">
        <w:rPr>
          <w:rFonts w:asciiTheme="minorHAnsi" w:hAnsiTheme="minorHAnsi"/>
          <w:color w:val="000000"/>
          <w:sz w:val="22"/>
          <w:szCs w:val="22"/>
          <w:lang w:eastAsia="en-GB"/>
        </w:rPr>
        <w:t xml:space="preserve"> These results also further emphasise the important role of extracellular polymers and proteins in biofilm development, as previously reported </w:t>
      </w:r>
      <w:r w:rsidR="001A3070">
        <w:rPr>
          <w:rFonts w:asciiTheme="minorHAnsi" w:hAnsiTheme="minorHAnsi"/>
          <w:color w:val="000000"/>
          <w:sz w:val="22"/>
          <w:szCs w:val="22"/>
          <w:lang w:eastAsia="en-GB"/>
        </w:rPr>
        <w:fldChar w:fldCharType="begin" w:fldLock="1"/>
      </w:r>
      <w:r w:rsidR="00AF47D2">
        <w:rPr>
          <w:rFonts w:asciiTheme="minorHAnsi" w:hAnsiTheme="minorHAnsi"/>
          <w:color w:val="000000"/>
          <w:sz w:val="22"/>
          <w:szCs w:val="22"/>
          <w:lang w:eastAsia="en-GB"/>
        </w:rPr>
        <w:instrText>ADDIN CSL_CITATION { "citationItems" : [ { "id" : "ITEM-1", "itemData" : { "DOI" : "10.1016/S0958-1669(02)00318-X", "ISBN" : "0958-1669", "ISSN" : "09581669", "PMID" : "12180097", "abstract" : "Sophisticated molecular and microscopic methods used to study biofilm formation are rapidly broadening our understanding of surface-attached microbial communities in a wide variety of organisms. Regulatory mechanisms involved in the attachment and subsequent development of mature biofilms are being elucidated. Common themes are beginning to emerge, providing promise for the development of sophisticated control strategies.", "author" : [ { "dropping-particle" : "", "family" : "Hall-Stoodley", "given" : "Luanne", "non-dropping-particle" : "", "parse-names" : false, "suffix" : "" }, { "dropping-particle" : "", "family" : "Stoodley", "given" : "Paul", "non-dropping-particle" : "", "parse-names" : false, "suffix" : "" } ], "container-title" : "Current Opinion in Biotechnology", "id" : "ITEM-1", "issue" : "3", "issued" : { "date-parts" : [ [ "2002" ] ] }, "page" : "228-233", "title" : "Developmental regulation of microbial biofilms", "type" : "article-journal", "volume" : "13" }, "uris" : [ "http://www.mendeley.com/documents/?uuid=27d0e551-b7db-46d6-bfba-0bddef4c0814" ] }, { "id" : "ITEM-2", "itemData" : { "abstract" : "Direct observations have clearl y shown that biofilm bacteria predominate, numerically and metabolically, in virtually all nutrient-sufficient ecosystems. Therefore, these sessile organisms predominate in most of the environmental, 7ll 0066-4227/9511 00 1-0711 $05.00", "author" : [ { "dropping-particle" : "", "family" : "Costerton", "given" : "J William", "non-dropping-particle" : "", "parse-names" : false, "suffix" : "" }, { "dropping-particle" : "", "family" : "Lewandowski", "given" : "Zbigniew", "non-dropping-particle" : "", "parse-names" : false, "suffix" : "" }, { "dropping-particle" : "", "family" : "Caldwell", "given" : "Douglas E", "non-dropping-particle" : "", "parse-names" : false, "suffix" : "" }, { "dropping-particle" : "", "family" : "Korber", "given" : "Darren R", "non-dropping-particle" : "", "parse-names" : false, "suffix" : "" }, { "dropping-particle" : "", "family" : "Lappin-Scott", "given" : "Hilary M", "non-dropping-particle" : "", "parse-names" : false, "suffix" : "" } ], "container-title" : "Annual review of microbiology", "id" : "ITEM-2", "issued" : { "date-parts" : [ [ "1995" ] ] }, "page" : "711-745", "title" : "MICROBIAL BIOFILMS", "type" : "article-journal", "volume" : "49" }, "uris" : [ "http://www.mendeley.com/documents/?uuid=8aafbc2b-666c-3dce-88ce-d576e45dbb2d" ] } ], "mendeley" : { "formattedCitation" : "[30,62]", "plainTextFormattedCitation" : "[30,62]", "previouslyFormattedCitation" : "[30,62]" }, "properties" : { "noteIndex" : 0 }, "schema" : "https://github.com/citation-style-language/schema/raw/master/csl-citation.json" }</w:instrText>
      </w:r>
      <w:r w:rsidR="001A3070">
        <w:rPr>
          <w:rFonts w:asciiTheme="minorHAnsi" w:hAnsiTheme="minorHAnsi"/>
          <w:color w:val="000000"/>
          <w:sz w:val="22"/>
          <w:szCs w:val="22"/>
          <w:lang w:eastAsia="en-GB"/>
        </w:rPr>
        <w:fldChar w:fldCharType="separate"/>
      </w:r>
      <w:r w:rsidR="00AF47D2" w:rsidRPr="00AF47D2">
        <w:rPr>
          <w:rFonts w:asciiTheme="minorHAnsi" w:hAnsiTheme="minorHAnsi"/>
          <w:noProof/>
          <w:color w:val="000000"/>
          <w:sz w:val="22"/>
          <w:szCs w:val="22"/>
          <w:lang w:eastAsia="en-GB"/>
        </w:rPr>
        <w:t>[30,62]</w:t>
      </w:r>
      <w:r w:rsidR="001A3070">
        <w:rPr>
          <w:rFonts w:asciiTheme="minorHAnsi" w:hAnsiTheme="minorHAnsi"/>
          <w:color w:val="000000"/>
          <w:sz w:val="22"/>
          <w:szCs w:val="22"/>
          <w:lang w:eastAsia="en-GB"/>
        </w:rPr>
        <w:fldChar w:fldCharType="end"/>
      </w:r>
      <w:r w:rsidR="001A3070">
        <w:rPr>
          <w:rFonts w:asciiTheme="minorHAnsi" w:hAnsiTheme="minorHAnsi"/>
          <w:color w:val="000000"/>
          <w:sz w:val="22"/>
          <w:szCs w:val="22"/>
          <w:lang w:eastAsia="en-GB"/>
        </w:rPr>
        <w:t>.</w:t>
      </w:r>
      <w:r w:rsidRPr="00C44D8C">
        <w:rPr>
          <w:rFonts w:asciiTheme="minorHAnsi" w:hAnsiTheme="minorHAnsi"/>
          <w:color w:val="000000"/>
          <w:sz w:val="22"/>
          <w:szCs w:val="22"/>
          <w:lang w:eastAsia="en-GB"/>
        </w:rPr>
        <w:t xml:space="preserve"> </w:t>
      </w:r>
    </w:p>
    <w:p w14:paraId="4D6454E5" w14:textId="30008B63" w:rsidR="00436CD0" w:rsidRPr="00C44D8C" w:rsidRDefault="00436CD0" w:rsidP="00436CD0">
      <w:pPr>
        <w:spacing w:line="360" w:lineRule="auto"/>
        <w:ind w:firstLine="720"/>
        <w:rPr>
          <w:rFonts w:asciiTheme="minorHAnsi" w:hAnsiTheme="minorHAnsi"/>
          <w:color w:val="000000"/>
          <w:sz w:val="22"/>
          <w:szCs w:val="22"/>
          <w:lang w:eastAsia="en-GB"/>
        </w:rPr>
      </w:pPr>
      <w:r w:rsidRPr="00C44D8C">
        <w:rPr>
          <w:rFonts w:asciiTheme="minorHAnsi" w:hAnsiTheme="minorHAnsi"/>
          <w:color w:val="000000"/>
          <w:sz w:val="22"/>
          <w:szCs w:val="22"/>
          <w:lang w:eastAsia="en-GB"/>
        </w:rPr>
        <w:t xml:space="preserve">Additionally, the </w:t>
      </w:r>
      <w:r w:rsidR="00833BC6">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four uncharacterised proteins that could be associated with major S-layer proteins</w:t>
      </w:r>
      <w:r w:rsidR="001A3070">
        <w:rPr>
          <w:rFonts w:asciiTheme="minorHAnsi" w:hAnsiTheme="minorHAnsi"/>
          <w:color w:val="000000"/>
          <w:sz w:val="22"/>
          <w:szCs w:val="22"/>
          <w:lang w:eastAsia="en-GB"/>
        </w:rPr>
        <w:t xml:space="preserve"> </w:t>
      </w:r>
      <w:r w:rsidR="001A3070">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"10.1155/2012/873589", "ISSN" : "14723646", "PMID" : "22666082", "abstract" : "Many archaeal cell envelopes contain a protein coat or sheath composed of one or more surface exposed proteins. These surface layer (S-layer) proteins contribute structural integrity and protect the lipid membrane from environmental challenges. To explore the species diversity of these layers in the Methanosarcinaceae, the major S-layer protein in Methanosarcina barkeri strain Fusaro was identified using proteomics. The Mbar_A1758 gene product was present in multiple forms with apparent sizes of 130, 120, and 100 kDa, consistent with post-translational modifications including signal peptide excision and protein glycosylation. A protein with features related to the surface layer proteins found in Methanosarcina acetivorans C2A and Methanosarcina mazei Goel was identified in the M. barkeri genome. These data reveal a distinct conserved protein signature with features and implied cell surface architecture in the Methanosarcinaceae that is absent in other archaea. Paralogous gene expression patterns in two Methanosarcina species revealed abundant expression of a single S-layer paralog in each strain. Respective promoter elements were identified and shown to be conserved in mRNA coding and upstream untranslated regions. Prior M. acetivorans genome annotations assigned S-layer or surface layer associated roles of eighty genes: however, of 68 examined none was significantly expressed relative to the experimentally determined S-layer gene.", "author" : [ { "dropping-particle" : "", "family" : "Rohlin", "given" : "Lars", "non-dropping-particle" : "", "parse-names" : false, "suffix" : "" }, { "dropping-particle" : "", "family" : "Leon", "given" : "Deborah R.", "non-dropping-particle" : "", "parse-names" : false, "suffix" : "" }, { "dropping-particle" : "", "family" : "Kim", "given" : "Unmi", "non-dropping-particle" : "", "parse-names" : false, "suffix" : "" }, { "dropping-particle" : "", "family" : "Loo", "given" : "Joseph a.", "non-dropping-particle" : "", "parse-names" : false, "suffix" : "" }, { "dropping-particle" : "", "family" : "Ogorzalek Loo", "given" : "Rachel R.", "non-dropping-particle" : "", "parse-names" : false, "suffix" : "" }, { "dropping-particle" : "", "family" : "Gunsalus", "given" : "Robert P.", "non-dropping-particle" : "", "parse-names" : false, "suffix" : "" } ], "container-title" : "Archaea", "id" : "ITEM-1", "issued" : { "date-parts" : [ [ "2012" ] ] }, "title" : "Identification of the major expressed S-layer and cell surface-layer- related proteins in the model methanogenic archaea: Methanosarcina barkeri fusaro and methanosarcina acetivorans C2A", "type" : "article-journal", "volume" : "2012" }, "uris" : [ "http://www.mendeley.com/documents/?uuid=43affbaf-edf9-440b-ba0d-be5c12e4af18" ] } ], "mendeley" : { "formattedCitation" : "[213]", "plainTextFormattedCitation" : "[213]", "previouslyFormattedCitation" : "[213]" }, "properties" : { "noteIndex" : 0 }, "schema" : "https://github.com/citation-style-language/schema/raw/master/csl-citation.json" }</w:instrText>
      </w:r>
      <w:r w:rsidR="001A3070">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[213]</w:t>
      </w:r>
      <w:r w:rsidR="001A3070">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(Mbar_2011, Mbar_A1557, </w:t>
      </w:r>
      <w:r w:rsidRPr="00C44D8C">
        <w:rPr>
          <w:rFonts w:asciiTheme="minorHAnsi" w:hAnsiTheme="minorHAnsi"/>
          <w:sz w:val="22"/>
          <w:szCs w:val="22"/>
          <w:lang w:eastAsia="en-GB"/>
        </w:rPr>
        <w:t>Mbar_A2016 and Mbar_A1034</w:t>
      </w:r>
      <w:r w:rsidRPr="00C44D8C">
        <w:rPr>
          <w:rFonts w:asciiTheme="minorHAnsi" w:hAnsiTheme="minorHAnsi"/>
          <w:color w:val="000000"/>
          <w:sz w:val="22"/>
          <w:szCs w:val="22"/>
          <w:lang w:eastAsia="en-GB"/>
        </w:rPr>
        <w:t xml:space="preserve">) from biofilms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attached to PVC, is further suggestive of a role of the microbial surface in mediating irreversible adhesion and a more developed biofilm. This study has demonstrated the important changes to the cell surface that occur in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during the transitional episodes of biofilm development, from early stage biofilms on PETG to more developed biofilms on PVC. </w:t>
      </w:r>
    </w:p>
    <w:p w14:paraId="1D19A0DF" w14:textId="1FF02A4F"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sz w:val="22"/>
          <w:szCs w:val="22"/>
          <w:lang w:eastAsia="en-GB"/>
        </w:rPr>
        <w:t>The irreversible attachment of cells to an abiotic surface is characterised not only by the production of EPS, but also with a rapid increase in cell population</w:t>
      </w:r>
      <w:r w:rsidR="001A3070">
        <w:rPr>
          <w:rFonts w:asciiTheme="minorHAnsi" w:hAnsiTheme="minorHAnsi"/>
          <w:sz w:val="22"/>
          <w:szCs w:val="22"/>
          <w:lang w:eastAsia="en-GB"/>
        </w:rPr>
        <w:t xml:space="preserve"> </w:t>
      </w:r>
      <w:r w:rsidR="001A3070">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"10.1016/j.pnsc.2008.04.001", "ISBN" : "1002-0071", "ISSN" : "10020071", "abstract" : "Bacterial adhesion has become a significant problem in industry and in the domicile, and much research has been done for deeper understanding of the processes involved. A generic biological model of bacterial adhesion and population growth called the bacterial biofilm growth cycle, has been described and modified many times. The biofilm growth cycle encompasses bacterial adhesion at all levels, starting with the initial physical attraction of bacteria to a substrate, and ending with the eventual liberation of cell clusters from the biofilm matrix. When describing bacterial adhesion one is simply describing one or more stages of biofilm development, neglecting the fact that the population may not reach maturity. This article provides an overview of bacterial adhesion, cites examples of how bacterial adhesion affects industry and summarises methods and instrumentation used to improve our understanding of the adhesive properties of bacteria.", "author" : [ { "dropping-particle" : "", "family" : "Garrett", "given" : "Trevor Roger", "non-dropping-particle" : "", "parse-names" : false, "suffix" : "" }, { "dropping-particle" : "", "family" : "Bhakoo", "given" : "Manmohan", "non-dropping-particle" : "", "parse-names" : false, "suffix" : "" }, { "dropping-particle" : "", "family" : "Zhang", "given" : "Zhibing", "non-dropping-particle" : "", "parse-names" : false, "suffix" : "" } ], "container-title" : "Progress in Natural Science", "id" : "ITEM-1", "issue" : "9", "issued" : { "date-parts" : [ [ "2008" ] ] }, "page" : "1049-1056", "title" : "Bacterial adhesion and biofilms on surfaces", "type" : "article-journal", "volume" : "18" }, "uris" : [ "http://www.mendeley.com/documents/?uuid=19d437cb-6ef5-4e32-9b81-d3d2cd7f6fb3" ] } ], "mendeley" : { "formattedCitation" : "[236]", "plainTextFormattedCitation" : "[236]", "previouslyFormattedCitation" : "[236]"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[236]</w:t>
      </w:r>
      <w:r w:rsidR="001A3070">
        <w:rPr>
          <w:rFonts w:asciiTheme="minorHAnsi" w:hAnsiTheme="minorHAnsi"/>
          <w:sz w:val="22"/>
          <w:szCs w:val="22"/>
          <w:lang w:eastAsia="en-GB"/>
        </w:rPr>
        <w:fldChar w:fldCharType="end"/>
      </w:r>
      <w:r w:rsidRPr="00C44D8C">
        <w:rPr>
          <w:rFonts w:asciiTheme="minorHAnsi" w:hAnsiTheme="minorHAnsi"/>
          <w:sz w:val="22"/>
          <w:szCs w:val="22"/>
          <w:lang w:eastAsia="en-GB"/>
        </w:rPr>
        <w:t>. Therefore, the formation of a more developed biofilm requires a higher input of energy, cell material and metabolism to keep up with the demands of a biofilm lifestyle</w:t>
      </w:r>
      <w:r w:rsidR="001A3070">
        <w:rPr>
          <w:rFonts w:asciiTheme="minorHAnsi" w:hAnsiTheme="minorHAnsi"/>
          <w:sz w:val="22"/>
          <w:szCs w:val="22"/>
          <w:lang w:eastAsia="en-GB"/>
        </w:rPr>
        <w:t xml:space="preserve"> </w:t>
      </w:r>
      <w:r w:rsidR="001A3070">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"ISSN" : "0168-6445", "PMID" : "10234844", "abstract" : "In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 "author" : [ { "dropping-particle" : "", "family" : "Bos", "given" : "R", "non-dropping-particle" : "", "parse-names" : false, "suffix" : "" }, { "dropping-particle" : "", "family" : "Mei", "given" : "H C", "non-dropping-particle" : "van der", "parse-names" : false, "suffix" : "" }, { "dropping-particle" : "", "family" : "Busscher", "given" : "H J", "non-dropping-particle" : "", "parse-names" : false, "suffix" : "" } ], "container-title" : "FEMS microbiology reviews", "id" : "ITEM-1", "issue" : "2", "issued" : { "date-parts" : [ [ "1999", "4" ] ] }, "page" : "179-230", "title" : "Physico-chemistry of initial microbial adhesive interactions--its mechanisms and methods for study.", "type" : "article-journal", "volume" : "23" }, "uris" : [ "http://www.mendeley.com/documents/?uuid=76307d2d-eec2-4aa7-9afe-a712c36fc1f3" ] }, { "id" : "ITEM-2", "itemData" : { "abstract" : "To get further information on bacterial surface sensing and biofilm-dependent regulation of gene expression in Escherichia coli K-12, random insertion mutagenesis with Mu dX, a mini-Mu carrying the promoterless lacZ gene, was performed with an ompR234 adherent strain, and a simple screen was developed to assess changes in gene expression in biofilm cells versus planktonic cells. This screen revealed that major changes in the pat-tern of gene expression occur during biofilm development: the transcription of 38% of the genes was affected with-in biofilms. Different cell functions were more expressed in sessile bacteria: the OmpC porin, the high-affinity transport system of glycine betaine (encoded by the proU operon), the colanic acid exopolysaccharide (wca lo-cus, formerly called cps), tripeptidase T (pepT), and the nickel high-affinity transport system (nikA). On the other hand, the syntheses of flagellin (fliC) and of a putative protein of 92 amino acids (f92) were both reduced in biofilms. Such a genetic reprogramming of gene expression in biofilms seems to result from changes in mul-tiple environmental physicochemical conditions. In this work, we show that bacteria within biofilms encounter higher-osmolarity conditions, greater oxygen limitation, and higher cell density than in the liquid phase.", "author" : [ { "dropping-particle" : "", "family" : "Prigent-Combaret", "given" : "Claire", "non-dropping-particle" : "", "parse-names" : false, "suffix" : "" }, { "dropping-particle" : "", "family" : "Vidal", "given" : "Olivier", "non-dropping-particle" : "", "parse-names" : false, "suffix" : "" }, { "dropping-particle" : "", "family" : "Dorel", "given" : "Corinne", "non-dropping-particle" : "", "parse-names" : false, "suffix" : "" }, { "dropping-particle" : "", "family" : "Lejeune", "given" : "Philippe", "non-dropping-particle" : "", "parse-names" : false, "suffix" : "" } ], "container-title" : "Journal of Bacteriology", "id" : "ITEM-2", "issue" : "19", "issued" : { "date-parts" : [ [ "1999" ] ] }, "page" : "5993-6002", "title" : "Abiotic Surface Sensing and Biofilm-Dependent Regulation of Gene Expression in Escherichia coli", "type" : "article-journal", "volume" : "181" }, "uris" : [ "http://www.mendeley.com/documents/?uuid=c59e6c91-0b34-3820-9851-913abe391226" ] } ], "mendeley" : { "formattedCitation" : "[63,224]", "plainTextFormattedCitation" : "[63,224]", "previouslyFormattedCitation" : "[63,224]"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[63,224]</w:t>
      </w:r>
      <w:r w:rsidR="001A3070">
        <w:rPr>
          <w:rFonts w:asciiTheme="minorHAnsi" w:hAnsiTheme="minorHAnsi"/>
          <w:sz w:val="22"/>
          <w:szCs w:val="22"/>
          <w:lang w:eastAsia="en-GB"/>
        </w:rPr>
        <w:fldChar w:fldCharType="end"/>
      </w:r>
      <w:r w:rsidR="001A3070">
        <w:rPr>
          <w:rFonts w:asciiTheme="minorHAnsi" w:hAnsiTheme="minorHAnsi"/>
          <w:sz w:val="22"/>
          <w:szCs w:val="22"/>
          <w:lang w:eastAsia="en-GB"/>
        </w:rPr>
        <w:t xml:space="preserve">. </w:t>
      </w:r>
      <w:r w:rsidRPr="00C44D8C">
        <w:rPr>
          <w:rFonts w:asciiTheme="minorHAnsi" w:hAnsiTheme="minorHAnsi"/>
          <w:sz w:val="22"/>
          <w:szCs w:val="22"/>
          <w:lang w:eastAsia="en-GB"/>
        </w:rPr>
        <w:t xml:space="preserve">In this study, numerous proteins involved in amino acid metabolism, the TCA cycle, methanogenesis, gluconeogenesis, protein synthesis and energy production were </w:t>
      </w:r>
      <w:r w:rsidR="003D18AD">
        <w:rPr>
          <w:rFonts w:asciiTheme="minorHAnsi" w:hAnsiTheme="minorHAnsi"/>
          <w:color w:val="000000"/>
          <w:sz w:val="22"/>
          <w:szCs w:val="22"/>
          <w:lang w:eastAsia="en-GB"/>
        </w:rPr>
        <w:t>found in higher relative abundance</w:t>
      </w:r>
      <w:r w:rsidRPr="00C44D8C">
        <w:rPr>
          <w:rFonts w:asciiTheme="minorHAnsi" w:hAnsiTheme="minorHAnsi"/>
          <w:sz w:val="22"/>
          <w:szCs w:val="22"/>
          <w:lang w:eastAsia="en-GB"/>
        </w:rPr>
        <w:t xml:space="preserve"> in the more developed biofilms attached to PVC compared to PETG. Similar findings have been found in mature biofilms of </w:t>
      </w:r>
      <w:r w:rsidRPr="00C44D8C">
        <w:rPr>
          <w:rFonts w:asciiTheme="minorHAnsi" w:hAnsiTheme="minorHAnsi"/>
          <w:i/>
          <w:sz w:val="22"/>
          <w:szCs w:val="22"/>
          <w:lang w:eastAsia="en-GB"/>
        </w:rPr>
        <w:t>P. aeruginosa</w:t>
      </w:r>
      <w:r w:rsidRPr="00C44D8C">
        <w:rPr>
          <w:rFonts w:asciiTheme="minorHAnsi" w:hAnsiTheme="minorHAnsi"/>
          <w:sz w:val="22"/>
          <w:szCs w:val="22"/>
          <w:lang w:eastAsia="en-GB"/>
        </w:rPr>
        <w:t xml:space="preserve"> compared to early stage biofilms</w:t>
      </w:r>
      <w:r w:rsidR="001A3070">
        <w:rPr>
          <w:rFonts w:asciiTheme="minorHAnsi" w:hAnsiTheme="minorHAnsi"/>
          <w:sz w:val="22"/>
          <w:szCs w:val="22"/>
          <w:lang w:eastAsia="en-GB"/>
        </w:rPr>
        <w:t xml:space="preserve"> </w:t>
      </w:r>
      <w:r w:rsidR="001A3070">
        <w:rPr>
          <w:rFonts w:asciiTheme="minorHAnsi" w:hAnsiTheme="minorHAnsi"/>
          <w:sz w:val="22"/>
          <w:szCs w:val="22"/>
          <w:lang w:eastAsia="en-GB"/>
        </w:rPr>
        <w:fldChar w:fldCharType="begin" w:fldLock="1"/>
      </w:r>
      <w:r w:rsidR="00AB0CFE">
        <w:rPr>
          <w:rFonts w:asciiTheme="minorHAnsi" w:hAnsiTheme="minorHAnsi"/>
          <w:sz w:val="22"/>
          <w:szCs w:val="22"/>
          <w:lang w:eastAsia="en-GB"/>
        </w:rPr>
        <w:instrText>ADDIN CSL_CITATION { "citationItems" : [ { "id" : "ITEM-1", "itemData" : { "DOI" : "10.1128/JB.184.4.1140", "author" : [ { "dropping-particle" : "", "family" : "Sauer", "given" : "Karin", "non-dropping-particle" : "", "parse-names" : false, "suffix" : "" }, { "dropping-particle" : "", "family" : "Camper", "given" : "Anne K", "non-dropping-particle" : "", "parse-names" : false, "suffix" : "" }, { "dropping-particle" : "", "family" : "Ehrlich", "given" : "Garth D", "non-dropping-particle" : "", "parse-names" : false, "suffix" : "" }, { "dropping-particle" : "", "family" : "Costerton", "given" : "J William", "non-dropping-particle" : "", "parse-names" : false, "suffix" : "" }, { "dropping-particle" : "", "family" : "Davies", "given" : "David G", "non-dropping-particle" : "", "parse-names" : false, "suffix" : "" } ], "container-title" : "Journal of bacteriology", "id" : "ITEM-1", "issue" : "4", "issued" : { "date-parts" : [ [ "2002" ] ] }, "page" : "1140-1154", "title" : "Pseudomonas aeruginosa Displays Multiple Phenotypes during Development as a Biofilm", "type" : "article-journal", "volume" : "184" }, "uris" : [ "http://www.mendeley.com/documents/?uuid=e60e637a-d417-4100-956a-1f1ed9275792" ] } ], "mendeley" : { "formattedCitation" : "[90]", "plainTextFormattedCitation" : "[90]", "previouslyFormattedCitation" : "[90]"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BB3D6F" w:rsidRPr="00BB3D6F">
        <w:rPr>
          <w:rFonts w:asciiTheme="minorHAnsi" w:hAnsiTheme="minorHAnsi"/>
          <w:noProof/>
          <w:sz w:val="22"/>
          <w:szCs w:val="22"/>
          <w:lang w:eastAsia="en-GB"/>
        </w:rPr>
        <w:t>[90]</w:t>
      </w:r>
      <w:r w:rsidR="001A3070">
        <w:rPr>
          <w:rFonts w:asciiTheme="minorHAnsi" w:hAnsiTheme="minorHAnsi"/>
          <w:sz w:val="22"/>
          <w:szCs w:val="22"/>
          <w:lang w:eastAsia="en-GB"/>
        </w:rPr>
        <w:fldChar w:fldCharType="end"/>
      </w:r>
      <w:r w:rsidRPr="00C44D8C">
        <w:rPr>
          <w:rFonts w:asciiTheme="minorHAnsi" w:hAnsiTheme="minorHAnsi"/>
          <w:sz w:val="22"/>
          <w:szCs w:val="22"/>
          <w:lang w:eastAsia="en-GB"/>
        </w:rPr>
        <w:t xml:space="preserve"> and in biofilms of </w:t>
      </w:r>
      <w:r w:rsidRPr="00C44D8C">
        <w:rPr>
          <w:rFonts w:asciiTheme="minorHAnsi" w:eastAsia="Calibri" w:hAnsiTheme="minorHAnsi" w:cs="Arial"/>
          <w:i/>
          <w:sz w:val="22"/>
          <w:szCs w:val="22"/>
        </w:rPr>
        <w:t>S. acidocaldarius</w:t>
      </w:r>
      <w:r w:rsidRPr="00C44D8C">
        <w:rPr>
          <w:rFonts w:asciiTheme="minorHAnsi" w:eastAsia="Calibri" w:hAnsiTheme="minorHAnsi" w:cs="Arial"/>
          <w:sz w:val="22"/>
          <w:szCs w:val="22"/>
        </w:rPr>
        <w:t xml:space="preserve">, </w:t>
      </w:r>
      <w:r w:rsidRPr="00C44D8C">
        <w:rPr>
          <w:rFonts w:asciiTheme="minorHAnsi" w:eastAsia="Calibri" w:hAnsiTheme="minorHAnsi" w:cs="Arial"/>
          <w:i/>
          <w:sz w:val="22"/>
          <w:szCs w:val="22"/>
        </w:rPr>
        <w:t>S. solfataricus</w:t>
      </w:r>
      <w:r w:rsidRPr="00C44D8C">
        <w:rPr>
          <w:rFonts w:asciiTheme="minorHAnsi" w:eastAsia="Calibri" w:hAnsiTheme="minorHAnsi" w:cs="Arial"/>
          <w:sz w:val="22"/>
          <w:szCs w:val="22"/>
        </w:rPr>
        <w:t xml:space="preserve">, and </w:t>
      </w:r>
      <w:r w:rsidRPr="00C44D8C">
        <w:rPr>
          <w:rFonts w:asciiTheme="minorHAnsi" w:eastAsia="Calibri" w:hAnsiTheme="minorHAnsi" w:cs="Arial"/>
          <w:i/>
          <w:sz w:val="22"/>
          <w:szCs w:val="22"/>
        </w:rPr>
        <w:t>S. tokodaii</w:t>
      </w:r>
      <w:r w:rsidRPr="00C44D8C">
        <w:rPr>
          <w:rFonts w:asciiTheme="minorHAnsi" w:eastAsia="Calibri" w:hAnsiTheme="minorHAnsi" w:cs="Arial"/>
          <w:sz w:val="22"/>
          <w:szCs w:val="22"/>
        </w:rPr>
        <w:t xml:space="preserve"> compared to planktonic cells </w:t>
      </w:r>
      <w:r w:rsidR="001A3070">
        <w:rPr>
          <w:rFonts w:asciiTheme="minorHAnsi" w:eastAsia="Calibri" w:hAnsiTheme="minorHAnsi" w:cs="Arial"/>
          <w:sz w:val="22"/>
          <w:szCs w:val="22"/>
        </w:rPr>
        <w:fldChar w:fldCharType="begin" w:fldLock="1"/>
      </w:r>
      <w:r w:rsidR="00AB0CFE">
        <w:rPr>
          <w:rFonts w:asciiTheme="minorHAnsi" w:eastAsia="Calibri" w:hAnsiTheme="minorHAnsi" w:cs="Arial"/>
          <w:sz w:val="22"/>
          <w:szCs w:val="22"/>
        </w:rPr>
        <w:instrText>ADDIN CSL_CITATION { "citationItems" : [ { "id" : "ITEM-1",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"ITEM-1",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"mendeley" : { "formattedCitation" : "[89]", "plainTextFormattedCitation" : "[89]", "previouslyFormattedCitation" : "[89]" }, "properties" : { "noteIndex" : 0 }, "schema" : "https://github.com/citation-style-language/schema/raw/master/csl-citation.json" }</w:instrText>
      </w:r>
      <w:r w:rsidR="001A3070">
        <w:rPr>
          <w:rFonts w:asciiTheme="minorHAnsi" w:eastAsia="Calibri" w:hAnsiTheme="minorHAnsi" w:cs="Arial"/>
          <w:sz w:val="22"/>
          <w:szCs w:val="22"/>
        </w:rPr>
        <w:fldChar w:fldCharType="separate"/>
      </w:r>
      <w:r w:rsidR="00BB3D6F" w:rsidRPr="00BB3D6F">
        <w:rPr>
          <w:rFonts w:asciiTheme="minorHAnsi" w:eastAsia="Calibri" w:hAnsiTheme="minorHAnsi" w:cs="Arial"/>
          <w:noProof/>
          <w:sz w:val="22"/>
          <w:szCs w:val="22"/>
        </w:rPr>
        <w:t>[89]</w:t>
      </w:r>
      <w:r w:rsidR="001A3070">
        <w:rPr>
          <w:rFonts w:asciiTheme="minorHAnsi" w:eastAsia="Calibri" w:hAnsiTheme="minorHAnsi" w:cs="Arial"/>
          <w:sz w:val="22"/>
          <w:szCs w:val="22"/>
        </w:rPr>
        <w:fldChar w:fldCharType="end"/>
      </w:r>
      <w:r w:rsidRPr="00C44D8C">
        <w:rPr>
          <w:rFonts w:asciiTheme="minorHAnsi" w:eastAsia="Calibri" w:hAnsiTheme="minorHAnsi" w:cs="Arial"/>
          <w:sz w:val="22"/>
          <w:szCs w:val="22"/>
        </w:rPr>
        <w:t>.</w:t>
      </w:r>
      <w:r w:rsidRPr="00C44D8C">
        <w:rPr>
          <w:rFonts w:asciiTheme="minorHAnsi" w:hAnsiTheme="minorHAnsi"/>
          <w:sz w:val="22"/>
          <w:szCs w:val="22"/>
          <w:lang w:eastAsia="en-GB"/>
        </w:rPr>
        <w:t xml:space="preserve"> </w:t>
      </w:r>
    </w:p>
    <w:p w14:paraId="7B3D5004" w14:textId="5528912D"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sz w:val="22"/>
          <w:szCs w:val="22"/>
          <w:lang w:eastAsia="en-GB"/>
        </w:rPr>
        <w:t xml:space="preserve">However, biofilms attached to PVC showed a </w:t>
      </w:r>
      <w:r w:rsidR="003D18AD">
        <w:rPr>
          <w:rFonts w:asciiTheme="minorHAnsi" w:hAnsiTheme="minorHAnsi"/>
          <w:sz w:val="22"/>
          <w:szCs w:val="22"/>
          <w:lang w:eastAsia="en-GB"/>
        </w:rPr>
        <w:t>lower relative abundance</w:t>
      </w:r>
      <w:r w:rsidRPr="00C44D8C">
        <w:rPr>
          <w:rFonts w:asciiTheme="minorHAnsi" w:hAnsiTheme="minorHAnsi"/>
          <w:sz w:val="22"/>
          <w:szCs w:val="22"/>
          <w:lang w:eastAsia="en-GB"/>
        </w:rPr>
        <w:t xml:space="preserve"> of nicotinamide-nucleotide adenylyltransferase, which was </w:t>
      </w:r>
      <w:r w:rsidR="003D18AD">
        <w:rPr>
          <w:rFonts w:asciiTheme="minorHAnsi" w:hAnsiTheme="minorHAnsi"/>
          <w:color w:val="000000"/>
          <w:sz w:val="22"/>
          <w:szCs w:val="22"/>
          <w:lang w:eastAsia="en-GB"/>
        </w:rPr>
        <w:t>found in higher relative abundance</w:t>
      </w:r>
      <w:r w:rsidRPr="00C44D8C">
        <w:rPr>
          <w:rFonts w:asciiTheme="minorHAnsi" w:hAnsiTheme="minorHAnsi"/>
          <w:sz w:val="22"/>
          <w:szCs w:val="22"/>
          <w:lang w:eastAsia="en-GB"/>
        </w:rPr>
        <w:t xml:space="preserve"> in biofilms on PETG (Table 5.6). This enzyme is involved in the synthesis of </w:t>
      </w:r>
      <w:r w:rsidRPr="00C44D8C">
        <w:rPr>
          <w:rFonts w:asciiTheme="minorHAnsi" w:eastAsia="Calibri" w:hAnsiTheme="minorHAnsi" w:cs="Arial"/>
          <w:sz w:val="22"/>
          <w:szCs w:val="22"/>
        </w:rPr>
        <w:t xml:space="preserve">NAD+, which is an important cofactor for redox reactions and for controlling cell metabolism </w:t>
      </w:r>
      <w:r w:rsidR="001A3070">
        <w:rPr>
          <w:rFonts w:asciiTheme="minorHAnsi" w:eastAsia="Calibri" w:hAnsiTheme="minorHAnsi" w:cs="Arial"/>
          <w:sz w:val="22"/>
          <w:szCs w:val="22"/>
        </w:rPr>
        <w:fldChar w:fldCharType="begin" w:fldLock="1"/>
      </w:r>
      <w:r w:rsidR="007E3308">
        <w:rPr>
          <w:rFonts w:asciiTheme="minorHAnsi" w:eastAsia="Calibri" w:hAnsiTheme="minorHAnsi" w:cs="Arial"/>
          <w:sz w:val="22"/>
          <w:szCs w:val="22"/>
        </w:rPr>
        <w:instrText>ADDIN CSL_CITATION { "citationItems" : [ { "id" : "ITEM-1", "itemData" : { "DOI" : "10.1128/JB.186.12.3970", "ISBN" : "0021-9193 (Print)", "ISSN" : "00219193", "PMID" : "15175311", "author" : [ { "dropping-particle" : "", "family" : "Branda", "given" : "Steven S", "non-dropping-particle" : "", "parse-names" : false, "suffix" : "" }, { "dropping-particle" : "", "family" : "Gonz\u00e1lez-Pastor, Jos\u00e9 Dervyn", "given" : "Etienne", "non-dropping-particle" : "", "parse-names" : false, "suffix" : "" }, { "dropping-particle" : "", "family" : "Ehrlich", "given" : "S Dusko", "non-dropping-particle" : "", "parse-names" : false, "suffix" : "" }, { "dropping-particle" : "", "family" : "Losick", "given" : "Richard", "non-dropping-particle" : "", "parse-names" : false, "suffix" : "" }, { "dropping-particle" : "", "family" : "Kolter", "given" : "Roberto", "non-dropping-particle" : "", "parse-names" : false, "suffix" : "" } ], "container-title" : "Journal of bacteriology", "id" : "ITEM-1", "issue" : "12", "issued" : { "date-parts" : [ [ "2004" ] ] }, "page" : "3970-3979", "title" : "Genes Involved in Formation of Structured Multicellular Communities by Bacillus subtilis", "type" : "article-journal", "volume" : "186" }, "uris" : [ "http://www.mendeley.com/documents/?uuid=574d21ee-1b78-487f-8674-dcede28670b5" ] }, { "id" : "ITEM-2", "itemData" : { "DOI" : "10.1016/j.cmet.2015.05.023", "ISBN" : "1550-4131", "ISSN" : "19327420", "PMID" : "26118927", "abstract" : "NAD&lt;sup&gt;+&lt;/sup&gt; has emerged as a vital cofactor that can rewire metabolism, activate sirtuins, and maintain mitochondrial fitness through mechanisms such as the mitochondrial unfolded protein response. This improved understanding of NAD&lt;sup&gt;+&lt;/sup&gt; metabolism revived interest in NAD&lt;sup&gt;+&lt;/sup&gt;-boosting strategies to manage a wide spectrum of diseases, ranging from diabetes to cancer. In this review, we summarize how NAD&lt;sup&gt;+&lt;/sup&gt; metabolism links energy status with adaptive cellular and organismal responses and how this knowledge can be therapeutically exploited.", "author" : [ { "dropping-particle" : "", "family" : "Cant\u00f3", "given" : "Carles", "non-dropping-particle" : "", "parse-names" : false, "suffix" : "" }, { "dropping-particle" : "", "family" : "Menzies", "given" : "Keir J.", "non-dropping-particle" : "", "parse-names" : false, "suffix" : "" }, { "dropping-particle" : "", "family" : "Auwerx", "given" : "Johan", "non-dropping-particle" : "", "parse-names" : false, "suffix" : "" } ], "container-title" : "Cell Metabolism", "id" : "ITEM-2", "issue" : "1", "issued" : { "date-parts" : [ [ "2015" ] ] }, "page" : "31-53", "title" : "NAD&lt;sup&gt;+&lt;/sup&gt; Metabolism and the Control of Energy Homeostasis: A Balancing Act between Mitochondria and the Nucleus", "type" : "article-journal", "volume" : "22" }, "uris" : [ "http://www.mendeley.com/documents/?uuid=dd7ad151-e254-4da3-a3db-4aaa80abe8c8" ] } ], "mendeley" : { "formattedCitation" : "[237,238]", "plainTextFormattedCitation" : "[237,238]", "previouslyFormattedCitation" : "[237,238]" }, "properties" : { "noteIndex" : 0 }, "schema" : "https://github.com/citation-style-language/schema/raw/master/csl-citation.json" }</w:instrText>
      </w:r>
      <w:r w:rsidR="001A3070">
        <w:rPr>
          <w:rFonts w:asciiTheme="minorHAnsi" w:eastAsia="Calibri" w:hAnsiTheme="minorHAnsi" w:cs="Arial"/>
          <w:sz w:val="22"/>
          <w:szCs w:val="22"/>
        </w:rPr>
        <w:fldChar w:fldCharType="separate"/>
      </w:r>
      <w:r w:rsidR="007E3308" w:rsidRPr="007E3308">
        <w:rPr>
          <w:rFonts w:asciiTheme="minorHAnsi" w:eastAsia="Calibri" w:hAnsiTheme="minorHAnsi" w:cs="Arial"/>
          <w:noProof/>
          <w:sz w:val="22"/>
          <w:szCs w:val="22"/>
        </w:rPr>
        <w:t>[237,238]</w:t>
      </w:r>
      <w:r w:rsidR="001A3070">
        <w:rPr>
          <w:rFonts w:asciiTheme="minorHAnsi" w:eastAsia="Calibri" w:hAnsiTheme="minorHAnsi" w:cs="Arial"/>
          <w:sz w:val="22"/>
          <w:szCs w:val="22"/>
        </w:rPr>
        <w:fldChar w:fldCharType="end"/>
      </w:r>
      <w:r w:rsidRPr="00C44D8C">
        <w:rPr>
          <w:rFonts w:asciiTheme="minorHAnsi" w:eastAsia="Calibri" w:hAnsiTheme="minorHAnsi" w:cs="Arial"/>
          <w:sz w:val="22"/>
          <w:szCs w:val="22"/>
        </w:rPr>
        <w:t>.</w:t>
      </w:r>
      <w:r w:rsidRPr="00C44D8C">
        <w:rPr>
          <w:rFonts w:asciiTheme="minorHAnsi" w:hAnsiTheme="minorHAnsi"/>
          <w:sz w:val="22"/>
          <w:szCs w:val="22"/>
          <w:lang w:eastAsia="en-GB"/>
        </w:rPr>
        <w:t xml:space="preserve"> </w:t>
      </w:r>
      <w:r w:rsidR="005C2A73">
        <w:rPr>
          <w:rFonts w:asciiTheme="minorHAnsi" w:eastAsia="Calibri" w:hAnsiTheme="minorHAnsi" w:cs="Arial"/>
          <w:sz w:val="22"/>
          <w:szCs w:val="22"/>
        </w:rPr>
        <w:t>This</w:t>
      </w:r>
      <w:r w:rsidR="005C2A73" w:rsidRPr="00C44D8C">
        <w:rPr>
          <w:rFonts w:asciiTheme="minorHAnsi" w:eastAsia="Calibri" w:hAnsiTheme="minorHAnsi" w:cs="Arial"/>
          <w:sz w:val="22"/>
          <w:szCs w:val="22"/>
        </w:rPr>
        <w:t xml:space="preserve"> may suggest that biofilms on PETG are metabolically active, but have not yet triggered biofilm formation to the same extent as biofilms on PVC. This finding corresponds to the results from the biofilm accumulation experiment</w:t>
      </w:r>
      <w:r w:rsidR="005C2A73">
        <w:rPr>
          <w:rFonts w:asciiTheme="minorHAnsi" w:eastAsia="Calibri" w:hAnsiTheme="minorHAnsi" w:cs="Arial"/>
          <w:sz w:val="22"/>
          <w:szCs w:val="22"/>
        </w:rPr>
        <w:t>.</w:t>
      </w:r>
    </w:p>
    <w:p w14:paraId="7A33B4D1" w14:textId="5CB64B69" w:rsidR="00436CD0" w:rsidRPr="00C44D8C" w:rsidRDefault="005C2A73" w:rsidP="00436CD0">
      <w:pPr>
        <w:spacing w:line="360" w:lineRule="auto"/>
        <w:ind w:firstLine="720"/>
        <w:rPr>
          <w:rFonts w:asciiTheme="minorHAnsi" w:hAnsiTheme="minorHAnsi"/>
          <w:sz w:val="22"/>
          <w:szCs w:val="22"/>
          <w:lang w:eastAsia="en-GB"/>
        </w:rPr>
      </w:pPr>
      <w:r>
        <w:rPr>
          <w:rFonts w:asciiTheme="minorHAnsi" w:hAnsiTheme="minorHAnsi"/>
          <w:sz w:val="22"/>
          <w:szCs w:val="22"/>
          <w:lang w:eastAsia="en-GB"/>
        </w:rPr>
        <w:t>In eukarya, l</w:t>
      </w:r>
      <w:r w:rsidR="00436CD0" w:rsidRPr="00C44D8C">
        <w:rPr>
          <w:rFonts w:asciiTheme="minorHAnsi" w:hAnsiTheme="minorHAnsi"/>
          <w:sz w:val="22"/>
          <w:szCs w:val="22"/>
          <w:lang w:eastAsia="en-GB"/>
        </w:rPr>
        <w:t>evels of intracellular NAD+ can increase two-fold in response to environmental stress, such as in situations of nutrient depletion</w:t>
      </w:r>
      <w:r w:rsidR="001A3070">
        <w:rPr>
          <w:rFonts w:asciiTheme="minorHAnsi" w:hAnsiTheme="minorHAnsi"/>
          <w:sz w:val="22"/>
          <w:szCs w:val="22"/>
          <w:lang w:eastAsia="en-GB"/>
        </w:rPr>
        <w:t xml:space="preserve"> </w:t>
      </w:r>
      <w:r w:rsidR="001A3070">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"10.1016/j.cmet.2015.05.023", "ISBN" : "1550-4131", "ISSN" : "19327420", "PMID" : "26118927", "abstract" : "NAD&lt;sup&gt;+&lt;/sup&gt; has emerged as a vital cofactor that can rewire metabolism, activate sirtuins, and maintain mitochondrial fitness through mechanisms such as the mitochondrial unfolded protein response. This improved understanding of NAD&lt;sup&gt;+&lt;/sup&gt; metabolism revived interest in NAD&lt;sup&gt;+&lt;/sup&gt;-boosting strategies to manage a wide spectrum of diseases, ranging from diabetes to cancer. In this review, we summarize how NAD&lt;sup&gt;+&lt;/sup&gt; metabolism links energy status with adaptive cellular and organismal responses and how this knowledge can be therapeutically exploited.", "author" : [ { "dropping-particle" : "", "family" : "Cant\u00f3", "given" : "Carles", "non-dropping-particle" : "", "parse-names" : false, "suffix" : "" }, { "dropping-particle" : "", "family" : "Menzies", "given" : "Keir J.", "non-dropping-particle" : "", "parse-names" : false, "suffix" : "" }, { "dropping-particle" : "", "family" : "Auwerx", "given" : "Johan", "non-dropping-particle" : "", "parse-names" : false, "suffix" : "" } ], "container-title" : "Cell Metabolism", "id" : "ITEM-1", "issue" : "1", "issued" : { "date-parts" : [ [ "2015" ] ] }, "page" : "31-53", "title" : "NAD&lt;sup&gt;+&lt;/sup&gt; Metabolism and the Control of Energy Homeostasis: A Balancing Act between Mitochondria and the Nucleus", "type" : "article-journal", "volume" : "22" }, "uris" : [ "http://www.mendeley.com/documents/?uuid=dd7ad151-e254-4da3-a3db-4aaa80abe8c8" ] } ], "mendeley" : { "formattedCitation" : "[238]", "plainTextFormattedCitation" : "[238]", "previouslyFormattedCitation" : "[238]"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[238]</w:t>
      </w:r>
      <w:r w:rsidR="001A3070">
        <w:rPr>
          <w:rFonts w:asciiTheme="minorHAnsi" w:hAnsiTheme="minorHAnsi"/>
          <w:sz w:val="22"/>
          <w:szCs w:val="22"/>
          <w:lang w:eastAsia="en-GB"/>
        </w:rPr>
        <w:fldChar w:fldCharType="end"/>
      </w:r>
      <w:r w:rsidR="001A3070">
        <w:rPr>
          <w:rFonts w:asciiTheme="minorHAnsi" w:hAnsiTheme="minorHAnsi"/>
          <w:sz w:val="22"/>
          <w:szCs w:val="22"/>
          <w:lang w:eastAsia="en-GB"/>
        </w:rPr>
        <w:t>.</w:t>
      </w:r>
      <w:r w:rsidR="00436CD0" w:rsidRPr="00C44D8C">
        <w:rPr>
          <w:rFonts w:asciiTheme="minorHAnsi" w:hAnsiTheme="minorHAnsi"/>
          <w:sz w:val="22"/>
          <w:szCs w:val="22"/>
          <w:lang w:eastAsia="en-GB"/>
        </w:rPr>
        <w:t xml:space="preserve"> Many archaeal cellular processes share more similarities to the eukarya than to bacteria </w:t>
      </w:r>
      <w:r w:rsidR="001A3070">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"10.1098/rstb.2006.1841", "ISBN" : "0962-8436 (Print)", "ISSN" : "0962-8436", "PMID" : "16754611", "abstract" : "Environmental surveys indicate that the Archaea are diverse and abundant not only in extreme environments, but also in soil, oceans and freshwater, where they may fulfil a key role in the biogeochemical cycles of the planet. Archaea display unique capacities, such as methanogenesis and survival at temperatures higher than 90 degrees C, that make them crucial for understanding the nature of the biota of early Earth. Molecular, genomics and phylogenetics data strengthen Woese's definition of Archaea as a third domain of life in addition to Bacteria and Eukarya. Phylogenomics analyses of the components of different molecular systems are highlighting a core of mainly vertically inherited genes in Archaea. This allows recovering a globally well-resolved picture of archaeal evolution, as opposed to what is observed for Bacteria and Eukarya. This may be due to the fact that no rapid divergence occurred at the emergence of present-day archaeal lineages. This phylogeny supports a hyperthermophilic and non-methanogenic ancestor to present-day archaeal lineages, and a profound divergence between two major phyla, the Crenarchaeota and the Euryarchaeota, that may not have an equivalent in the other two domains of life. Nanoarchaea may not represent a third and ancestral archaeal phylum, but a fast-evolving euryarchaeal lineage. Methanogenesis seems to have appeared only once and early in the evolution of Euryarchaeota. Filling up this picture of archaeal evolution by adding presently uncultivated species, and placing it back in geological time remain two essential goals for the future.", "author" : [ { "dropping-particle" : "", "family" : "Gribaldo", "given" : "Simonetta", "non-dropping-particle" : "", "parse-names" : false, "suffix" : "" }, { "dropping-particle" : "", "family" : "Brochier-Armanet", "given" : "Celine", "non-dropping-particle" : "", "parse-names" : false, "suffix" : "" } ], "container-title" : "Philosophical transactions of the Royal Society of London. Series B, Biological sciences", "id" : "ITEM-1", "issue" : "1470", "issued" : { "date-parts" : [ [ "2006" ] ] }, "page" : "1007-1022", "title" : "The origin and evolution of Archaea: a state of the art.", "type" : "article-journal", "volume" : "361" }, "uris" : [ "http://www.mendeley.com/documents/?uuid=f0a7b190-ac07-41c3-8ff7-c4913a87db9b" ] }, { "id" : "ITEM-2", "itemData" : { "DOI" : "10.1155/2014/590214", "ISSN" : "14723646", "PMID" : "24987307", "abstract" : "The study of the origin of diversified life has been plagued by technical and conceptual difficulties, controversy, and apriorism. It is now popularly accepted that the universal tree of life is rooted in the akaryotes and that Archaea and Eukarya are sister groups to each other. However, evolutionary studies have overwhelmingly focused on nucleic acid and protein sequences, which partially fulfill only two of the three main steps of phylogenetic analysis, formulation of realistic evolutionary models, and optimization of tree reconstruction. In the absence of character polarization, that is, the ability to identify ancestral and derived character states, any statement about the rooting of the tree of life should be considered suspect. Here we show that macromolecular structure and a new phylogenetic framework of analysis that focuses on the parts of biological systems instead of the whole provide both deep and reliable phylogenetic signal and enable us to put forth hypotheses of origin. We review over a decade of phylogenomic studies, which mine information in a genomic census of millions of encoded proteins and RNAs. We show how the use of process models of molecular accumulation that comply with Weston's generality criterion supports a consistent phylogenomic scenario in which the origin of diversified life can be traced back to the early history of Archaea.", "author" : [ { "dropping-particle" : "", "family" : "Caetano-Anoll\u00e9s", "given" : "Gustavo", "non-dropping-particle" : "", "parse-names" : false, "suffix" : "" }, { "dropping-particle" : "", "family" : "Nasir", "given" : "Arshan", "non-dropping-particle" : "", "parse-names" : false, "suffix" : "" }, { "dropping-particle" : "", "family" : "Zhou", "given" : "Kaiyue", "non-dropping-particle" : "", "parse-names" : false, "suffix" : "" }, { "dropping-particle" : "", "family" : "Caetano-Anoll\u00e9s", "given" : "Derek", "non-dropping-particle" : "", "parse-names" : false, "suffix" : "" }, { "dropping-particle" : "", "family" : "Mittenthal", "given" : "Jay E.", "non-dropping-particle" : "", "parse-names" : false, "suffix" : "" }, { "dropping-particle" : "", "family" : "Sun", "given" : "Feng Jie", "non-dropping-particle" : "", "parse-names" : false, "suffix" : "" }, { "dropping-particle" : "", "family" : "Kim", "given" : "Kyung Mo", "non-dropping-particle" : "", "parse-names" : false, "suffix" : "" } ], "container-title" : "Archaea", "id" : "ITEM-2", "issue" : "iii", "issued" : { "date-parts" : [ [ "2014" ] ] }, "title" : "Archaea: The first domain of diversified life", "type" : "article-journal", "volume" : "2014" }, "uris" : [ "http://www.mendeley.com/documents/?uuid=8fa959bc-e7ba-46b6-bcdb-6bdaa2d1a8cb" ] } ], "mendeley" : { "formattedCitation" : "[239,240]", "plainTextFormattedCitation" : "[239,240]", "previouslyFormattedCitation" : "[239,240]"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[239,240]</w:t>
      </w:r>
      <w:r w:rsidR="001A3070">
        <w:rPr>
          <w:rFonts w:asciiTheme="minorHAnsi" w:hAnsiTheme="minorHAnsi"/>
          <w:sz w:val="22"/>
          <w:szCs w:val="22"/>
          <w:lang w:eastAsia="en-GB"/>
        </w:rPr>
        <w:fldChar w:fldCharType="end"/>
      </w:r>
      <w:r w:rsidR="00436CD0" w:rsidRPr="00C44D8C">
        <w:rPr>
          <w:rFonts w:asciiTheme="minorHAnsi" w:hAnsiTheme="minorHAnsi"/>
          <w:sz w:val="22"/>
          <w:szCs w:val="22"/>
          <w:lang w:eastAsia="en-GB"/>
        </w:rPr>
        <w:t xml:space="preserve">, and it is possible that the growth of </w:t>
      </w:r>
      <w:r w:rsidR="00436CD0" w:rsidRPr="00C44D8C">
        <w:rPr>
          <w:rFonts w:asciiTheme="minorHAnsi" w:hAnsiTheme="minorHAnsi"/>
          <w:i/>
          <w:sz w:val="22"/>
          <w:szCs w:val="22"/>
          <w:lang w:eastAsia="en-GB"/>
        </w:rPr>
        <w:t xml:space="preserve">M. barkeri </w:t>
      </w:r>
      <w:r w:rsidR="00436CD0" w:rsidRPr="00C44D8C">
        <w:rPr>
          <w:rFonts w:asciiTheme="minorHAnsi" w:hAnsiTheme="minorHAnsi"/>
          <w:sz w:val="22"/>
          <w:szCs w:val="22"/>
          <w:lang w:eastAsia="en-GB"/>
        </w:rPr>
        <w:t xml:space="preserve">to PETG, which has a demonstrable poor surface for attachment and biofilm formation, may constitute stressful conditions for </w:t>
      </w:r>
      <w:r w:rsidR="00436CD0" w:rsidRPr="00C44D8C">
        <w:rPr>
          <w:rFonts w:asciiTheme="minorHAnsi" w:hAnsiTheme="minorHAnsi"/>
          <w:i/>
          <w:sz w:val="22"/>
          <w:szCs w:val="22"/>
          <w:lang w:eastAsia="en-GB"/>
        </w:rPr>
        <w:t xml:space="preserve">M. barkeri, </w:t>
      </w:r>
      <w:r w:rsidR="00436CD0" w:rsidRPr="00C44D8C">
        <w:rPr>
          <w:rFonts w:asciiTheme="minorHAnsi" w:hAnsiTheme="minorHAnsi"/>
          <w:sz w:val="22"/>
          <w:szCs w:val="22"/>
          <w:lang w:eastAsia="en-GB"/>
        </w:rPr>
        <w:t>and promote an increased metabolic requirement</w:t>
      </w:r>
      <w:r w:rsidR="00ED7487">
        <w:rPr>
          <w:rFonts w:asciiTheme="minorHAnsi" w:hAnsiTheme="minorHAnsi"/>
          <w:sz w:val="22"/>
          <w:szCs w:val="22"/>
          <w:lang w:eastAsia="en-GB"/>
        </w:rPr>
        <w:t xml:space="preserve"> for early-stage biofilm formation</w:t>
      </w:r>
      <w:r w:rsidR="00436CD0" w:rsidRPr="00C44D8C">
        <w:rPr>
          <w:rFonts w:asciiTheme="minorHAnsi" w:hAnsiTheme="minorHAnsi"/>
          <w:sz w:val="22"/>
          <w:szCs w:val="22"/>
          <w:lang w:eastAsia="en-GB"/>
        </w:rPr>
        <w:t xml:space="preserve">. Therefore, </w:t>
      </w:r>
      <w:r w:rsidR="00436CD0" w:rsidRPr="00C44D8C">
        <w:rPr>
          <w:rFonts w:asciiTheme="minorHAnsi" w:hAnsiTheme="minorHAnsi"/>
          <w:sz w:val="22"/>
          <w:szCs w:val="22"/>
          <w:lang w:eastAsia="en-GB"/>
        </w:rPr>
        <w:lastRenderedPageBreak/>
        <w:t xml:space="preserve">nicotinamide-nucleotide adenylyltransferase may play a role in </w:t>
      </w:r>
      <w:r>
        <w:rPr>
          <w:rFonts w:asciiTheme="minorHAnsi" w:hAnsiTheme="minorHAnsi"/>
          <w:sz w:val="22"/>
          <w:szCs w:val="22"/>
          <w:lang w:eastAsia="en-GB"/>
        </w:rPr>
        <w:t xml:space="preserve">kick-starting biofilm formation </w:t>
      </w:r>
      <w:r w:rsidR="00436CD0" w:rsidRPr="00C44D8C">
        <w:rPr>
          <w:rFonts w:asciiTheme="minorHAnsi" w:hAnsiTheme="minorHAnsi"/>
          <w:sz w:val="22"/>
          <w:szCs w:val="22"/>
          <w:lang w:eastAsia="en-GB"/>
        </w:rPr>
        <w:t>on PETG.</w:t>
      </w:r>
    </w:p>
    <w:p w14:paraId="2CACB06F" w14:textId="594CECBD" w:rsidR="00436CD0" w:rsidRPr="00C44D8C" w:rsidRDefault="00436CD0" w:rsidP="00436CD0">
      <w:pPr>
        <w:spacing w:line="360" w:lineRule="auto"/>
        <w:rPr>
          <w:rFonts w:asciiTheme="minorHAnsi" w:hAnsiTheme="minorHAnsi"/>
          <w:color w:val="000000"/>
          <w:sz w:val="22"/>
          <w:szCs w:val="22"/>
          <w:lang w:eastAsia="en-GB"/>
        </w:rPr>
      </w:pPr>
      <w:r w:rsidRPr="00C44D8C">
        <w:rPr>
          <w:rFonts w:asciiTheme="minorHAnsi" w:hAnsiTheme="minorHAnsi"/>
          <w:color w:val="000000"/>
          <w:sz w:val="22"/>
          <w:szCs w:val="22"/>
          <w:lang w:eastAsia="en-GB"/>
        </w:rPr>
        <w:tab/>
        <w:t>One of the mechanisms of biofilm formation is having a stress response, owing to the fact that cells within a biofilm are under increased environmental stress. This is due to living in close proximity of each other, and the increasing levels of cell numbers, cell layers, and nutrient depletion within the biofilm</w:t>
      </w:r>
      <w:r w:rsidR="001A3070">
        <w:rPr>
          <w:rFonts w:asciiTheme="minorHAnsi" w:hAnsiTheme="minorHAnsi"/>
          <w:color w:val="000000"/>
          <w:sz w:val="22"/>
          <w:szCs w:val="22"/>
          <w:lang w:eastAsia="en-GB"/>
        </w:rPr>
        <w:t xml:space="preserve"> </w:t>
      </w:r>
      <w:r w:rsidR="001A3070">
        <w:rPr>
          <w:rFonts w:asciiTheme="minorHAnsi" w:hAnsiTheme="minorHAnsi"/>
          <w:color w:val="000000"/>
          <w:sz w:val="22"/>
          <w:szCs w:val="22"/>
          <w:lang w:eastAsia="en-GB"/>
        </w:rPr>
        <w:fldChar w:fldCharType="begin" w:fldLock="1"/>
      </w:r>
      <w:r w:rsidR="007E3308">
        <w:rPr>
          <w:rFonts w:asciiTheme="minorHAnsi" w:hAnsiTheme="minorHAnsi"/>
          <w:color w:val="000000"/>
          <w:sz w:val="22"/>
          <w:szCs w:val="22"/>
          <w:lang w:eastAsia="en-GB"/>
        </w:rPr>
        <w:instrText>ADDIN CSL_CITATION { "citationItems" : [ { "id" : "ITEM-1", "itemData" : { "DOI" : "10.1038/nrmicro1838", "ISSN" : "1740-1534", "PMID" : "18264116", "abstract" : "Biofilms contain bacterial cells that are in a wide range of physiological states. Within a biofilm population, cells with diverse genotypes and phenotypes that express distinct metabolic pathways, stress responses and other specific biological activities are juxtaposed. The mechanisms that contribute to this genetic and physiological heterogeneity include microscale chemical gradients, adaptation to local environmental conditions, stochastic gene expression and the genotypic variation that occurs through mutation and selection. Here, we discuss the processes that generate chemical gradients in biofilms, the genetic and physiological responses of the bacteria as they adapt to these gradients and the techniques that can be used to visualize and measure the microscale physiological heterogeneities of bacteria in biofilms.", "author" : [ { "dropping-particle" : "", "family" : "Stewart", "given" : "Philip S", "non-dropping-particle" : "", "parse-names" : false, "suffix" : "" }, { "dropping-particle" : "", "family" : "Franklin", "given" : "Michael J", "non-dropping-particle" : "", "parse-names" : false, "suffix" : "" } ], "container-title" : "Nature reviews. Microbiology", "id" : "ITEM-1", "issue" : "3", "issued" : { "date-parts" : [ [ "2008", "3" ] ] }, "page" : "199-210", "title" : "Physiological heterogeneity in biofilms.", "type" : "article-journal", "volume" : "6" }, "uris" : [ "http://www.mendeley.com/documents/?uuid=03901db8-4f8b-42b7-b7cc-aca0db12cc68" ] } ], "mendeley" : { "formattedCitation" : "[222]", "plainTextFormattedCitation" : "[222]", "previouslyFormattedCitation" : "[222]" }, "properties" : { "noteIndex" : 0 }, "schema" : "https://github.com/citation-style-language/schema/raw/master/csl-citation.json" }</w:instrText>
      </w:r>
      <w:r w:rsidR="001A3070">
        <w:rPr>
          <w:rFonts w:asciiTheme="minorHAnsi" w:hAnsiTheme="minorHAnsi"/>
          <w:color w:val="000000"/>
          <w:sz w:val="22"/>
          <w:szCs w:val="22"/>
          <w:lang w:eastAsia="en-GB"/>
        </w:rPr>
        <w:fldChar w:fldCharType="separate"/>
      </w:r>
      <w:r w:rsidR="007E3308" w:rsidRPr="007E3308">
        <w:rPr>
          <w:rFonts w:asciiTheme="minorHAnsi" w:hAnsiTheme="minorHAnsi"/>
          <w:noProof/>
          <w:color w:val="000000"/>
          <w:sz w:val="22"/>
          <w:szCs w:val="22"/>
          <w:lang w:eastAsia="en-GB"/>
        </w:rPr>
        <w:t>[222]</w:t>
      </w:r>
      <w:r w:rsidR="001A3070">
        <w:rPr>
          <w:rFonts w:asciiTheme="minorHAnsi" w:hAnsiTheme="minorHAnsi"/>
          <w:color w:val="000000"/>
          <w:sz w:val="22"/>
          <w:szCs w:val="22"/>
          <w:lang w:eastAsia="en-GB"/>
        </w:rPr>
        <w:fldChar w:fldCharType="end"/>
      </w:r>
      <w:r w:rsidRPr="00C44D8C">
        <w:rPr>
          <w:rFonts w:asciiTheme="minorHAnsi" w:hAnsiTheme="minorHAnsi"/>
          <w:color w:val="000000"/>
          <w:sz w:val="22"/>
          <w:szCs w:val="22"/>
          <w:lang w:eastAsia="en-GB"/>
        </w:rPr>
        <w:t xml:space="preserve">. This study revealed the </w:t>
      </w:r>
      <w:r w:rsidR="00833BC6">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multiple proteins associated with a stress and defence response from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when attached to PVC compared to PETG, such as universal stress proteins, thermosomes and thioredoxin. As described previously, the relatively low levels of adhesion and proteins involved in biofilm formation from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to PETG suggests a possible extensive lag phase in the initial attachment of cells to PETG (Fig. 5.2). Therefore, with the higher levels of adhesion and more developed biofilm formation of </w:t>
      </w:r>
      <w:r w:rsidRPr="00C44D8C">
        <w:rPr>
          <w:rFonts w:asciiTheme="minorHAnsi" w:hAnsiTheme="minorHAnsi"/>
          <w:i/>
          <w:color w:val="000000"/>
          <w:sz w:val="22"/>
          <w:szCs w:val="22"/>
          <w:lang w:eastAsia="en-GB"/>
        </w:rPr>
        <w:t xml:space="preserve">M. barkeri </w:t>
      </w:r>
      <w:r w:rsidRPr="00C44D8C">
        <w:rPr>
          <w:rFonts w:asciiTheme="minorHAnsi" w:hAnsiTheme="minorHAnsi"/>
          <w:color w:val="000000"/>
          <w:sz w:val="22"/>
          <w:szCs w:val="22"/>
          <w:lang w:eastAsia="en-GB"/>
        </w:rPr>
        <w:t xml:space="preserve">to the surface of PVC, the </w:t>
      </w:r>
      <w:r w:rsidR="00833BC6">
        <w:rPr>
          <w:rFonts w:asciiTheme="minorHAnsi" w:hAnsiTheme="minorHAnsi"/>
          <w:color w:val="000000"/>
          <w:sz w:val="22"/>
          <w:szCs w:val="22"/>
          <w:lang w:eastAsia="en-GB"/>
        </w:rPr>
        <w:t>higher relative abundance</w:t>
      </w:r>
      <w:r w:rsidRPr="00C44D8C">
        <w:rPr>
          <w:rFonts w:asciiTheme="minorHAnsi" w:hAnsiTheme="minorHAnsi"/>
          <w:color w:val="000000"/>
          <w:sz w:val="22"/>
          <w:szCs w:val="22"/>
          <w:lang w:eastAsia="en-GB"/>
        </w:rPr>
        <w:t xml:space="preserve"> of proteins involved in stress and defence can be expected compared to PETG biofilms.</w:t>
      </w:r>
    </w:p>
    <w:p w14:paraId="28A97B9A" w14:textId="702C0FB5" w:rsidR="003F5820" w:rsidRDefault="00436CD0" w:rsidP="00DC24FE">
      <w:pPr>
        <w:spacing w:line="360" w:lineRule="auto"/>
        <w:rPr>
          <w:rFonts w:asciiTheme="minorHAnsi" w:hAnsiTheme="minorHAnsi"/>
          <w:bCs/>
          <w:color w:val="000000"/>
          <w:sz w:val="22"/>
          <w:szCs w:val="22"/>
          <w:lang w:eastAsia="en-GB"/>
        </w:rPr>
      </w:pPr>
      <w:r w:rsidRPr="00C44D8C">
        <w:rPr>
          <w:rFonts w:asciiTheme="minorHAnsi" w:hAnsiTheme="minorHAnsi"/>
          <w:color w:val="000000"/>
          <w:sz w:val="22"/>
          <w:szCs w:val="22"/>
          <w:lang w:eastAsia="en-GB"/>
        </w:rPr>
        <w:tab/>
      </w:r>
      <w:r w:rsidRPr="00C44D8C">
        <w:rPr>
          <w:rFonts w:asciiTheme="minorHAnsi" w:hAnsiTheme="minorHAnsi"/>
          <w:sz w:val="22"/>
          <w:szCs w:val="22"/>
          <w:lang w:eastAsia="en-GB"/>
        </w:rPr>
        <w:t xml:space="preserve">Using an iTRAQ approach </w:t>
      </w:r>
      <w:r w:rsidR="003F5820">
        <w:rPr>
          <w:rFonts w:asciiTheme="minorHAnsi" w:hAnsiTheme="minorHAnsi"/>
          <w:sz w:val="22"/>
          <w:szCs w:val="22"/>
          <w:lang w:eastAsia="en-GB"/>
        </w:rPr>
        <w:t xml:space="preserve">using the two most clustered biological replicates from each biofilm condition gave </w:t>
      </w:r>
      <w:r w:rsidRPr="00C44D8C">
        <w:rPr>
          <w:rFonts w:asciiTheme="minorHAnsi" w:hAnsiTheme="minorHAnsi"/>
          <w:sz w:val="22"/>
          <w:szCs w:val="22"/>
          <w:lang w:eastAsia="en-GB"/>
        </w:rPr>
        <w:t xml:space="preserve">rise to the conclusion </w:t>
      </w:r>
      <w:r w:rsidRPr="00C44D8C">
        <w:rPr>
          <w:rFonts w:asciiTheme="minorHAnsi" w:hAnsiTheme="minorHAnsi"/>
          <w:color w:val="000000"/>
          <w:sz w:val="22"/>
          <w:szCs w:val="22"/>
          <w:lang w:eastAsia="en-GB"/>
        </w:rPr>
        <w:t>that PVC induced a</w:t>
      </w:r>
      <w:r w:rsidRPr="00C44D8C">
        <w:rPr>
          <w:rFonts w:asciiTheme="minorHAnsi" w:hAnsiTheme="minorHAnsi"/>
          <w:bCs/>
          <w:color w:val="000000"/>
          <w:sz w:val="22"/>
          <w:szCs w:val="22"/>
          <w:lang w:eastAsia="en-GB"/>
        </w:rPr>
        <w:t xml:space="preserve"> higher level of microbial adhesion and a faster accumulation of cells to the surface compared to PETG, producing a proteomic profile of a more developed biofilm.</w:t>
      </w:r>
      <w:r w:rsidR="003F5820">
        <w:rPr>
          <w:rFonts w:asciiTheme="minorHAnsi" w:hAnsiTheme="minorHAnsi"/>
          <w:bCs/>
          <w:color w:val="000000"/>
          <w:sz w:val="22"/>
          <w:szCs w:val="22"/>
          <w:lang w:eastAsia="en-GB"/>
        </w:rPr>
        <w:t xml:space="preserve"> </w:t>
      </w:r>
      <w:r w:rsidR="0041070D">
        <w:rPr>
          <w:rFonts w:asciiTheme="minorHAnsi" w:hAnsiTheme="minorHAnsi"/>
          <w:bCs/>
          <w:color w:val="000000"/>
          <w:sz w:val="22"/>
          <w:szCs w:val="22"/>
          <w:lang w:eastAsia="en-GB"/>
        </w:rPr>
        <w:t>This conclusion was also applicable to the norm</w:t>
      </w:r>
      <w:bookmarkStart w:id="158" w:name="_GoBack"/>
      <w:bookmarkEnd w:id="158"/>
      <w:r w:rsidR="0041070D">
        <w:rPr>
          <w:rFonts w:asciiTheme="minorHAnsi" w:hAnsiTheme="minorHAnsi"/>
          <w:bCs/>
          <w:color w:val="000000"/>
          <w:sz w:val="22"/>
          <w:szCs w:val="22"/>
          <w:lang w:eastAsia="en-GB"/>
        </w:rPr>
        <w:t>alisation technique used, which was based on</w:t>
      </w:r>
      <w:r w:rsidR="00614FA1">
        <w:rPr>
          <w:rFonts w:asciiTheme="minorHAnsi" w:hAnsiTheme="minorHAnsi"/>
          <w:bCs/>
          <w:color w:val="000000"/>
          <w:sz w:val="22"/>
          <w:szCs w:val="22"/>
          <w:lang w:eastAsia="en-GB"/>
        </w:rPr>
        <w:t xml:space="preserve"> normalising the</w:t>
      </w:r>
      <w:r w:rsidR="0041070D">
        <w:rPr>
          <w:rFonts w:asciiTheme="minorHAnsi" w:hAnsiTheme="minorHAnsi"/>
          <w:bCs/>
          <w:color w:val="000000"/>
          <w:sz w:val="22"/>
          <w:szCs w:val="22"/>
          <w:lang w:eastAsia="en-GB"/>
        </w:rPr>
        <w:t xml:space="preserve"> </w:t>
      </w:r>
      <w:r w:rsidR="00614FA1" w:rsidRPr="00C44D8C">
        <w:rPr>
          <w:rFonts w:asciiTheme="minorHAnsi" w:hAnsiTheme="minorHAnsi"/>
          <w:sz w:val="22"/>
          <w:szCs w:val="22"/>
          <w:lang w:eastAsia="en-GB"/>
        </w:rPr>
        <w:t xml:space="preserve">intensity of the isotopic corrected values of the reporter ions (114 – 121) for each protein </w:t>
      </w:r>
      <w:r w:rsidR="007715D2">
        <w:rPr>
          <w:rFonts w:asciiTheme="minorHAnsi" w:hAnsiTheme="minorHAnsi"/>
          <w:bCs/>
          <w:color w:val="000000"/>
          <w:sz w:val="22"/>
          <w:szCs w:val="22"/>
          <w:lang w:eastAsia="en-GB"/>
        </w:rPr>
        <w:t>against</w:t>
      </w:r>
      <w:r w:rsidR="00DC24FE">
        <w:rPr>
          <w:rFonts w:asciiTheme="minorHAnsi" w:hAnsiTheme="minorHAnsi"/>
          <w:bCs/>
          <w:color w:val="000000"/>
          <w:sz w:val="22"/>
          <w:szCs w:val="22"/>
          <w:lang w:eastAsia="en-GB"/>
        </w:rPr>
        <w:t xml:space="preserve"> </w:t>
      </w:r>
      <w:r w:rsidR="00DC24FE" w:rsidRPr="00C44D8C">
        <w:rPr>
          <w:rFonts w:asciiTheme="minorHAnsi" w:hAnsiTheme="minorHAnsi"/>
          <w:sz w:val="22"/>
          <w:szCs w:val="22"/>
          <w:lang w:eastAsia="en-GB"/>
        </w:rPr>
        <w:t>the isotopic corrected intensity of reporter ion 113</w:t>
      </w:r>
      <w:r w:rsidR="00614FA1">
        <w:rPr>
          <w:rFonts w:asciiTheme="minorHAnsi" w:hAnsiTheme="minorHAnsi"/>
          <w:sz w:val="22"/>
          <w:szCs w:val="22"/>
          <w:lang w:eastAsia="en-GB"/>
        </w:rPr>
        <w:t>. T</w:t>
      </w:r>
      <w:r w:rsidR="00DC24FE">
        <w:rPr>
          <w:rFonts w:asciiTheme="minorHAnsi" w:hAnsiTheme="minorHAnsi"/>
          <w:sz w:val="22"/>
          <w:szCs w:val="22"/>
          <w:lang w:eastAsia="en-GB"/>
        </w:rPr>
        <w:t xml:space="preserve">he median </w:t>
      </w:r>
      <w:r w:rsidR="00DC24FE" w:rsidRPr="00C44D8C">
        <w:rPr>
          <w:rFonts w:asciiTheme="minorHAnsi" w:hAnsiTheme="minorHAnsi"/>
          <w:sz w:val="22"/>
          <w:szCs w:val="22"/>
          <w:lang w:eastAsia="en-GB"/>
        </w:rPr>
        <w:t xml:space="preserve">of </w:t>
      </w:r>
      <w:r w:rsidR="00DC24FE">
        <w:rPr>
          <w:rFonts w:asciiTheme="minorHAnsi" w:hAnsiTheme="minorHAnsi"/>
          <w:sz w:val="22"/>
          <w:szCs w:val="22"/>
          <w:lang w:eastAsia="en-GB"/>
        </w:rPr>
        <w:t xml:space="preserve">these </w:t>
      </w:r>
      <w:r w:rsidR="00DC24FE" w:rsidRPr="00C44D8C">
        <w:rPr>
          <w:rFonts w:asciiTheme="minorHAnsi" w:hAnsiTheme="minorHAnsi"/>
          <w:sz w:val="22"/>
          <w:szCs w:val="22"/>
          <w:lang w:eastAsia="en-GB"/>
        </w:rPr>
        <w:t xml:space="preserve">normalised </w:t>
      </w:r>
      <w:r w:rsidR="00DC24FE">
        <w:rPr>
          <w:rFonts w:asciiTheme="minorHAnsi" w:hAnsiTheme="minorHAnsi"/>
          <w:sz w:val="22"/>
          <w:szCs w:val="22"/>
          <w:lang w:eastAsia="en-GB"/>
        </w:rPr>
        <w:t xml:space="preserve">reporter </w:t>
      </w:r>
      <w:r w:rsidR="00DC24FE" w:rsidRPr="00C44D8C">
        <w:rPr>
          <w:rFonts w:asciiTheme="minorHAnsi" w:hAnsiTheme="minorHAnsi"/>
          <w:sz w:val="22"/>
          <w:szCs w:val="22"/>
          <w:lang w:eastAsia="en-GB"/>
        </w:rPr>
        <w:t xml:space="preserve">values </w:t>
      </w:r>
      <w:r w:rsidR="00614FA1">
        <w:rPr>
          <w:rFonts w:asciiTheme="minorHAnsi" w:hAnsiTheme="minorHAnsi"/>
          <w:sz w:val="22"/>
          <w:szCs w:val="22"/>
          <w:lang w:eastAsia="en-GB"/>
        </w:rPr>
        <w:t xml:space="preserve">was </w:t>
      </w:r>
      <w:r w:rsidR="00DC24FE">
        <w:rPr>
          <w:rFonts w:asciiTheme="minorHAnsi" w:hAnsiTheme="minorHAnsi"/>
          <w:sz w:val="22"/>
          <w:szCs w:val="22"/>
          <w:lang w:eastAsia="en-GB"/>
        </w:rPr>
        <w:t xml:space="preserve">consequently </w:t>
      </w:r>
      <w:r w:rsidR="00DC24FE" w:rsidRPr="00C44D8C">
        <w:rPr>
          <w:rFonts w:asciiTheme="minorHAnsi" w:hAnsiTheme="minorHAnsi"/>
          <w:sz w:val="22"/>
          <w:szCs w:val="22"/>
          <w:lang w:eastAsia="en-GB"/>
        </w:rPr>
        <w:t>calculated</w:t>
      </w:r>
      <w:r w:rsidR="00DC24FE">
        <w:rPr>
          <w:rFonts w:asciiTheme="minorHAnsi" w:hAnsiTheme="minorHAnsi"/>
          <w:sz w:val="22"/>
          <w:szCs w:val="22"/>
          <w:lang w:eastAsia="en-GB"/>
        </w:rPr>
        <w:t xml:space="preserve"> for the fold changes in protein abundance</w:t>
      </w:r>
      <w:r w:rsidR="00DC24FE" w:rsidRPr="00C44D8C">
        <w:rPr>
          <w:rFonts w:asciiTheme="minorHAnsi" w:hAnsiTheme="minorHAnsi"/>
          <w:sz w:val="22"/>
          <w:szCs w:val="22"/>
          <w:lang w:eastAsia="en-GB"/>
        </w:rPr>
        <w:t xml:space="preserve">. </w:t>
      </w:r>
      <w:r w:rsidR="0041070D">
        <w:rPr>
          <w:rFonts w:asciiTheme="minorHAnsi" w:hAnsiTheme="minorHAnsi"/>
          <w:sz w:val="22"/>
          <w:szCs w:val="22"/>
          <w:lang w:eastAsia="en-GB"/>
        </w:rPr>
        <w:t xml:space="preserve">However, </w:t>
      </w:r>
      <w:r w:rsidR="00614FA1">
        <w:rPr>
          <w:rFonts w:asciiTheme="minorHAnsi" w:hAnsiTheme="minorHAnsi"/>
          <w:sz w:val="22"/>
          <w:szCs w:val="22"/>
          <w:lang w:eastAsia="en-GB"/>
        </w:rPr>
        <w:t xml:space="preserve">using median correction as a method of normalisation </w:t>
      </w:r>
      <w:r w:rsidR="0041070D">
        <w:rPr>
          <w:rFonts w:asciiTheme="minorHAnsi" w:hAnsiTheme="minorHAnsi"/>
          <w:sz w:val="22"/>
          <w:szCs w:val="22"/>
          <w:lang w:eastAsia="en-GB"/>
        </w:rPr>
        <w:t xml:space="preserve">is </w:t>
      </w:r>
      <w:r w:rsidR="00614FA1">
        <w:rPr>
          <w:rFonts w:asciiTheme="minorHAnsi" w:hAnsiTheme="minorHAnsi"/>
          <w:sz w:val="22"/>
          <w:szCs w:val="22"/>
          <w:lang w:eastAsia="en-GB"/>
        </w:rPr>
        <w:t xml:space="preserve">more </w:t>
      </w:r>
      <w:r w:rsidR="0041070D">
        <w:rPr>
          <w:rFonts w:asciiTheme="minorHAnsi" w:hAnsiTheme="minorHAnsi"/>
          <w:sz w:val="22"/>
          <w:szCs w:val="22"/>
          <w:lang w:eastAsia="en-GB"/>
        </w:rPr>
        <w:t>often used to compensate for high variability in complex data sets [160</w:t>
      </w:r>
      <w:r w:rsidR="00614FA1">
        <w:rPr>
          <w:rFonts w:asciiTheme="minorHAnsi" w:hAnsiTheme="minorHAnsi"/>
          <w:sz w:val="22"/>
          <w:szCs w:val="22"/>
          <w:lang w:eastAsia="en-GB"/>
        </w:rPr>
        <w:t>, 163</w:t>
      </w:r>
      <w:r w:rsidR="0041070D">
        <w:rPr>
          <w:rFonts w:asciiTheme="minorHAnsi" w:hAnsiTheme="minorHAnsi"/>
          <w:sz w:val="22"/>
          <w:szCs w:val="22"/>
          <w:lang w:eastAsia="en-GB"/>
        </w:rPr>
        <w:t>]</w:t>
      </w:r>
      <w:r w:rsidR="00614FA1">
        <w:rPr>
          <w:rFonts w:asciiTheme="minorHAnsi" w:hAnsiTheme="minorHAnsi"/>
          <w:sz w:val="22"/>
          <w:szCs w:val="22"/>
          <w:lang w:eastAsia="en-GB"/>
        </w:rPr>
        <w:t>. Such a method</w:t>
      </w:r>
      <w:r w:rsidR="00772CBB">
        <w:rPr>
          <w:rFonts w:asciiTheme="minorHAnsi" w:hAnsiTheme="minorHAnsi"/>
          <w:sz w:val="22"/>
          <w:szCs w:val="22"/>
          <w:lang w:eastAsia="en-GB"/>
        </w:rPr>
        <w:t xml:space="preserve"> </w:t>
      </w:r>
      <w:r w:rsidR="0041070D">
        <w:rPr>
          <w:rFonts w:asciiTheme="minorHAnsi" w:hAnsiTheme="minorHAnsi"/>
          <w:sz w:val="22"/>
          <w:szCs w:val="22"/>
          <w:lang w:eastAsia="en-GB"/>
        </w:rPr>
        <w:t>would have been valuable in this experiment</w:t>
      </w:r>
      <w:r w:rsidR="00614FA1">
        <w:rPr>
          <w:rFonts w:asciiTheme="minorHAnsi" w:hAnsiTheme="minorHAnsi"/>
          <w:sz w:val="22"/>
          <w:szCs w:val="22"/>
          <w:lang w:eastAsia="en-GB"/>
        </w:rPr>
        <w:t xml:space="preserve"> and should have been done</w:t>
      </w:r>
      <w:r w:rsidR="0041070D">
        <w:rPr>
          <w:rFonts w:asciiTheme="minorHAnsi" w:hAnsiTheme="minorHAnsi"/>
          <w:sz w:val="22"/>
          <w:szCs w:val="22"/>
          <w:lang w:eastAsia="en-GB"/>
        </w:rPr>
        <w:t xml:space="preserve">. </w:t>
      </w:r>
      <w:r w:rsidR="0041070D">
        <w:rPr>
          <w:rFonts w:asciiTheme="minorHAnsi" w:hAnsiTheme="minorHAnsi"/>
          <w:bCs/>
          <w:color w:val="000000"/>
          <w:sz w:val="22"/>
          <w:szCs w:val="22"/>
          <w:lang w:eastAsia="en-GB"/>
        </w:rPr>
        <w:t xml:space="preserve">Whether the same conclusions hold in a more complex protein dataset from the analysis of all four biological replicates for each biofilm condition </w:t>
      </w:r>
      <w:r w:rsidR="00614FA1">
        <w:rPr>
          <w:rFonts w:asciiTheme="minorHAnsi" w:hAnsiTheme="minorHAnsi"/>
          <w:bCs/>
          <w:color w:val="000000"/>
          <w:sz w:val="22"/>
          <w:szCs w:val="22"/>
          <w:lang w:eastAsia="en-GB"/>
        </w:rPr>
        <w:t>and corrected for using</w:t>
      </w:r>
      <w:r w:rsidR="0041070D">
        <w:rPr>
          <w:rFonts w:asciiTheme="minorHAnsi" w:hAnsiTheme="minorHAnsi"/>
          <w:bCs/>
          <w:color w:val="000000"/>
          <w:sz w:val="22"/>
          <w:szCs w:val="22"/>
          <w:lang w:eastAsia="en-GB"/>
        </w:rPr>
        <w:t xml:space="preserve"> media</w:t>
      </w:r>
      <w:r w:rsidR="00772CBB">
        <w:rPr>
          <w:rFonts w:asciiTheme="minorHAnsi" w:hAnsiTheme="minorHAnsi"/>
          <w:bCs/>
          <w:color w:val="000000"/>
          <w:sz w:val="22"/>
          <w:szCs w:val="22"/>
          <w:lang w:eastAsia="en-GB"/>
        </w:rPr>
        <w:t>n</w:t>
      </w:r>
      <w:r w:rsidR="0041070D">
        <w:rPr>
          <w:rFonts w:asciiTheme="minorHAnsi" w:hAnsiTheme="minorHAnsi"/>
          <w:bCs/>
          <w:color w:val="000000"/>
          <w:sz w:val="22"/>
          <w:szCs w:val="22"/>
          <w:lang w:eastAsia="en-GB"/>
        </w:rPr>
        <w:t xml:space="preserve"> normalisation is a matter for future work.</w:t>
      </w:r>
    </w:p>
    <w:p w14:paraId="77F96B90" w14:textId="08F79226" w:rsidR="00436CD0" w:rsidRPr="00C44D8C" w:rsidRDefault="00436CD0" w:rsidP="00224A2D">
      <w:pPr>
        <w:spacing w:line="360" w:lineRule="auto"/>
        <w:ind w:firstLine="720"/>
        <w:rPr>
          <w:rFonts w:asciiTheme="minorHAnsi" w:hAnsiTheme="minorHAnsi"/>
          <w:sz w:val="22"/>
          <w:szCs w:val="22"/>
          <w:lang w:eastAsia="en-GB"/>
        </w:rPr>
      </w:pPr>
      <w:r w:rsidRPr="00C44D8C">
        <w:rPr>
          <w:rFonts w:asciiTheme="minorHAnsi" w:hAnsiTheme="minorHAnsi"/>
          <w:sz w:val="22"/>
          <w:szCs w:val="22"/>
          <w:lang w:eastAsia="en-GB"/>
        </w:rPr>
        <w:t xml:space="preserve">iTRAQ is a popular tool in determining the function of proteins for a wide range of eukaryal, bacterial and archaeal species, and has gained popularity over the years for its ease of use and ability to quantify multiple samples simultaneously </w:t>
      </w:r>
      <w:r w:rsidR="001A3070">
        <w:rPr>
          <w:rFonts w:asciiTheme="minorHAnsi" w:hAnsiTheme="minorHAnsi"/>
          <w:sz w:val="22"/>
          <w:szCs w:val="22"/>
          <w:lang w:eastAsia="en-GB"/>
        </w:rPr>
        <w:fldChar w:fldCharType="begin" w:fldLock="1"/>
      </w:r>
      <w:r w:rsidR="00AB0CFE">
        <w:rPr>
          <w:rFonts w:asciiTheme="minorHAnsi" w:hAnsiTheme="minorHAnsi"/>
          <w:sz w:val="22"/>
          <w:szCs w:val="22"/>
          <w:lang w:eastAsia="en-GB"/>
        </w:rPr>
        <w:instrText>ADDIN CSL_CITATION { "citationItems" : [ { "id" : "ITEM-1", "itemData" : { "DOI" : "10.2174/157016411794697408", "ISSN" : "15701646", "abstract" : "Isobaric tags for absolute and relative quantification (iTRAQ) provide the quantitative proteomics community with an easy-to-use tool to examine proteome changes. Five years after the launch of the technique, has the community become familiar with iTRAQ? In this review, we propose to answer this question by looking at two of its facets. On the one hand, we enquire whether iTRAQ is used `optimally'; in other words, whether the community is keeping up with the methods that have been devised and the requirements that have become recognised, in quantitative proteomics. On the other hand, there is the question of whether an iTRAQ paper is written in such a way as to allow other researchers to challenge or improve the results. To tackle these two problems, we have reviewed the iTRAQ literature and gathered data about the methods; in this study, we discuss the experimental designs, the use of biological and technical replicates, the confirmation through additional experiments, the strategies to identify differential expression and supplementary information. Our conclusions aim at giving recommendations in light of our statistics.", "author" : [ { "dropping-particle" : "", "family" : "Noirel", "given" : "Josselin", "non-dropping-particle" : "", "parse-names" : false, "suffix" : "" }, { "dropping-particle" : "", "family" : "Evans", "given" : "Caroline", "non-dropping-particle" : "", "parse-names" : false, "suffix" : "" }, { "dropping-particle" : "", "family" : "Salim", "given" : "Malinda", "non-dropping-particle" : "", "parse-names" : false, "suffix" : "" }, { "dropping-particle" : "", "family" : "Mukherjee", "given" : "Joy", "non-dropping-particle" : "", "parse-names" : false, "suffix" : "" }, { "dropping-particle" : "", "family" : "Yen Ow", "given" : "Saw", "non-dropping-particle" : "", "parse-names" : false, "suffix" : "" }, { "dropping-particle" : "", "family" : "Pandhal", "given" : "Jagroop", "non-dropping-particle" : "", "parse-names" : false, "suffix" : "" }, { "dropping-particle" : "", "family" : "Khoa Pham", "given" : "Trong", "non-dropping-particle" : "", "parse-names" : false, "suffix" : "" }, { "dropping-particle" : "", "family" : "A. Biggs", "given" : "Catherine", "non-dropping-particle" : "", "parse-names" : false, "suffix" : "" }, { "dropping-particle" : "", "family" : "C. Wright", "given" : "Phillip", "non-dropping-particle" : "", "parse-names" : false, "suffix" : "" } ], "container-title" : "Current Proteomics", "id" : "ITEM-1", "issue" : "1", "issued" : { "date-parts" : [ [ "2011" ] ] }, "page" : "17-30", "title" : "Methods in Quantitative Proteomics: Setting iTRAQ on the Right Track", "type" : "article-journal", "volume" : "8" }, "uris" : [ "http://www.mendeley.com/documents/?uuid=b6f1e376-d24d-40c5-a1f2-58b0ce013666" ] } ], "mendeley" : { "formattedCitation" : "[159]", "plainTextFormattedCitation" : "[159]", "previouslyFormattedCitation" : "[159]" }, "properties" : { "noteIndex" : 0 }, "schema" : "https://github.com/citation-style-language/schema/raw/master/csl-citation.json" }</w:instrText>
      </w:r>
      <w:r w:rsidR="001A3070">
        <w:rPr>
          <w:rFonts w:asciiTheme="minorHAnsi" w:hAnsiTheme="minorHAnsi"/>
          <w:sz w:val="22"/>
          <w:szCs w:val="22"/>
          <w:lang w:eastAsia="en-GB"/>
        </w:rPr>
        <w:fldChar w:fldCharType="separate"/>
      </w:r>
      <w:r w:rsidR="00BB3D6F" w:rsidRPr="00BB3D6F">
        <w:rPr>
          <w:rFonts w:asciiTheme="minorHAnsi" w:hAnsiTheme="minorHAnsi"/>
          <w:noProof/>
          <w:sz w:val="22"/>
          <w:szCs w:val="22"/>
          <w:lang w:eastAsia="en-GB"/>
        </w:rPr>
        <w:t>[159]</w:t>
      </w:r>
      <w:r w:rsidR="001A3070">
        <w:rPr>
          <w:rFonts w:asciiTheme="minorHAnsi" w:hAnsiTheme="minorHAnsi"/>
          <w:sz w:val="22"/>
          <w:szCs w:val="22"/>
          <w:lang w:eastAsia="en-GB"/>
        </w:rPr>
        <w:fldChar w:fldCharType="end"/>
      </w:r>
      <w:r w:rsidRPr="00C44D8C">
        <w:rPr>
          <w:rFonts w:asciiTheme="minorHAnsi" w:hAnsiTheme="minorHAnsi"/>
          <w:sz w:val="22"/>
          <w:szCs w:val="22"/>
          <w:lang w:eastAsia="en-GB"/>
        </w:rPr>
        <w:t>. In order to validate these conclusions from the iTRAQ approach, there was a need to verify the reliability of the results from iTRAQ, which in this case, was carried out by measuring the activity of fumarase and triose phosphate isomerase in PVC and PETG biofilm cells.</w:t>
      </w:r>
    </w:p>
    <w:p w14:paraId="36A059F7" w14:textId="766D2AE9" w:rsidR="00436CD0" w:rsidRPr="00C44D8C" w:rsidRDefault="00436CD0" w:rsidP="00436CD0">
      <w:pPr>
        <w:spacing w:line="360" w:lineRule="auto"/>
        <w:ind w:firstLine="720"/>
        <w:rPr>
          <w:rFonts w:asciiTheme="minorHAnsi" w:hAnsiTheme="minorHAnsi"/>
          <w:sz w:val="22"/>
          <w:szCs w:val="22"/>
          <w:lang w:eastAsia="en-GB"/>
        </w:rPr>
      </w:pPr>
      <w:r w:rsidRPr="00C44D8C">
        <w:rPr>
          <w:rFonts w:asciiTheme="minorHAnsi" w:hAnsiTheme="minorHAnsi"/>
          <w:sz w:val="22"/>
          <w:szCs w:val="22"/>
          <w:lang w:eastAsia="en-GB"/>
        </w:rPr>
        <w:lastRenderedPageBreak/>
        <w:t xml:space="preserve">The results from the triose phosphate isomerase activity enzyme assay were comparable with those from the iTRAQ approach, with both approaches showing an approximate two-fold </w:t>
      </w:r>
      <w:r w:rsidR="00833BC6">
        <w:rPr>
          <w:rFonts w:asciiTheme="minorHAnsi" w:hAnsiTheme="minorHAnsi"/>
          <w:color w:val="000000"/>
          <w:sz w:val="22"/>
          <w:szCs w:val="22"/>
          <w:lang w:eastAsia="en-GB"/>
        </w:rPr>
        <w:t>higher relative abundance</w:t>
      </w:r>
      <w:r w:rsidRPr="00C44D8C">
        <w:rPr>
          <w:rFonts w:asciiTheme="minorHAnsi" w:hAnsiTheme="minorHAnsi"/>
          <w:sz w:val="22"/>
          <w:szCs w:val="22"/>
          <w:lang w:eastAsia="en-GB"/>
        </w:rPr>
        <w:t xml:space="preserve"> of triose phosphate isomerase in cells attached to PVC. For the validation of fumarase, the iTRAQ analysis gave a fumarase fold change of 1.4 for cells attached to PVC, whereas the enzyme assay showed a 14-fold increase in fumarase activity from cells attached to PVC. </w:t>
      </w:r>
    </w:p>
    <w:p w14:paraId="40A82CE0" w14:textId="3B454A11" w:rsidR="00436CD0" w:rsidRPr="00C44D8C" w:rsidRDefault="00436CD0" w:rsidP="00114AA3">
      <w:pPr>
        <w:spacing w:line="360" w:lineRule="auto"/>
        <w:ind w:firstLine="720"/>
        <w:rPr>
          <w:rFonts w:asciiTheme="minorHAnsi" w:hAnsiTheme="minorHAnsi"/>
          <w:sz w:val="22"/>
          <w:szCs w:val="22"/>
          <w:lang w:eastAsia="en-GB"/>
        </w:rPr>
      </w:pPr>
      <w:r w:rsidRPr="00C44D8C">
        <w:rPr>
          <w:rFonts w:asciiTheme="minorHAnsi" w:hAnsiTheme="minorHAnsi"/>
          <w:sz w:val="22"/>
          <w:szCs w:val="22"/>
          <w:lang w:eastAsia="en-GB"/>
        </w:rPr>
        <w:t xml:space="preserve">This discrepancy in fumarase quantification could be explained by the fact that malate was the intermediate that was spectrophotometrically measured as an indicator of fumarase activity. Malate is a key intermediate in the incomplete TCA cycle for carbohydrate and energy metabolism in </w:t>
      </w:r>
      <w:r w:rsidRPr="00C44D8C">
        <w:rPr>
          <w:rFonts w:asciiTheme="minorHAnsi" w:hAnsiTheme="minorHAnsi"/>
          <w:i/>
          <w:iCs/>
          <w:sz w:val="22"/>
          <w:szCs w:val="22"/>
          <w:lang w:eastAsia="en-GB"/>
        </w:rPr>
        <w:t>M. barkeri</w:t>
      </w:r>
      <w:r w:rsidRPr="00C44D8C">
        <w:rPr>
          <w:rFonts w:asciiTheme="minorHAnsi" w:hAnsiTheme="minorHAnsi"/>
          <w:sz w:val="22"/>
          <w:szCs w:val="22"/>
          <w:lang w:eastAsia="en-GB"/>
        </w:rPr>
        <w:t xml:space="preserve"> </w:t>
      </w:r>
      <w:r w:rsidR="006E76D9">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"10.1111/j.1365-2958.2004.04130.x", "ISBN" : "0950382X", "ISSN" : "0950382X", "PMID" : "15225324", "abstract" : "A global view of the biology of the cold-adapted archaeon Methanococcoides burtonii was achieved using proteomics. Proteins specific to growth at 4 degrees C versus T(opt) (23 degrees C) were identified by mass spectrometry using the draft genome sequence of M. burtonii. mRNA levels were determined for all genes identified by proteomics, and specific enzyme assays confirmed the protein expression results. Key aspects of cold adaptation related to transcription, protein folding and metabolism, including specific roles for RNA polymerase subunit E, a response regulator and peptidyl prolyl cis/trans isomerase. Heat shock protein DnaK was expressed during growth at T(opt), indicating that growth at 'optimal' temperatures was stressful for this cold-adapted organism. Expression of trimethylamine methyltransferase involves contiguous translation of two open reading frames, which is likely to result from incorporation of pyrrolysine at an amber stop codon. Thermal regulation in M. burtonii is achieved through complex gene expression events involving gene clusters and operons, through to protein modifications.", "author" : [ { "dropping-particle" : "", "family" : "Goodchild", "given" : "Amber", "non-dropping-particle" : "", "parse-names" : false, "suffix" : "" }, { "dropping-particle" : "", "family" : "Saunders", "given" : "Neil F W", "non-dropping-particle" : "", "parse-names" : false, "suffix" : "" }, { "dropping-particle" : "", "family" : "Ertan", "given" : "Haluk", "non-dropping-particle" : "", "parse-names" : false, "suffix" : "" }, { "dropping-particle" : "", "family" : "Raftery", "given" : "Mark", "non-dropping-particle" : "", "parse-names" : false, "suffix" : "" }, { "dropping-particle" : "", "family" : "Guilhaus", "given" : "Michael", "non-dropping-particle" : "", "parse-names" : false, "suffix" : "" }, { "dropping-particle" : "", "family" : "Curmi", "given" : "Paul M G", "non-dropping-particle" : "", "parse-names" : false, "suffix" : "" }, { "dropping-particle" : "", "family" : "Cavicchioli", "given" : "Ricardo", "non-dropping-particle" : "", "parse-names" : false, "suffix" : "" } ], "container-title" : "Molecular Microbiology", "id" : "ITEM-1", "issue" : "1", "issued" : { "date-parts" : [ [ "2004" ] ] }, "page" : "309-321", "title" : "A proteomic determination of cold adaptation in the Antarctic archaeon, Methanococcoides burtonii", "type" : "article-journal", "volume" : "53" }, "uris" : [ "http://www.mendeley.com/documents/?uuid=74942998-60ae-4e7f-81db-4dde8e81c2dc" ] } ], "mendeley" : { "formattedCitation" : "[230]", "plainTextFormattedCitation" : "[230]", "previouslyFormattedCitation" : "[230]" }, "properties" : { "noteIndex" : 0 }, "schema" : "https://github.com/citation-style-language/schema/raw/master/csl-citation.json" }</w:instrText>
      </w:r>
      <w:r w:rsidR="006E76D9">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[230]</w:t>
      </w:r>
      <w:r w:rsidR="006E76D9">
        <w:rPr>
          <w:rFonts w:asciiTheme="minorHAnsi" w:hAnsiTheme="minorHAnsi"/>
          <w:sz w:val="22"/>
          <w:szCs w:val="22"/>
          <w:lang w:eastAsia="en-GB"/>
        </w:rPr>
        <w:fldChar w:fldCharType="end"/>
      </w:r>
      <w:r w:rsidRPr="00C44D8C">
        <w:rPr>
          <w:rFonts w:asciiTheme="minorHAnsi" w:hAnsiTheme="minorHAnsi"/>
          <w:sz w:val="22"/>
          <w:szCs w:val="22"/>
          <w:lang w:eastAsia="en-GB"/>
        </w:rPr>
        <w:t>, and is produced from fumarate by the action of fumarase</w:t>
      </w:r>
      <w:r w:rsidR="006E76D9">
        <w:rPr>
          <w:rFonts w:asciiTheme="minorHAnsi" w:hAnsiTheme="minorHAnsi"/>
          <w:sz w:val="22"/>
          <w:szCs w:val="22"/>
          <w:lang w:eastAsia="en-GB"/>
        </w:rPr>
        <w:t xml:space="preserve"> </w:t>
      </w:r>
      <w:r w:rsidR="006E76D9">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"DOI" : "10.1099/mic.0.27303-0", "ISBN" : "1350-0872 (Print)\\r1350-0872 (Linking)", "ISSN" : "13500872", "PMID" : "15528644", "abstract" : "The nitrogen cycle (N-cycle) in the biosphere, mainly driven by prokaryotes, involves different reductive or oxidative reactions used either for assimilatory purposes or in respiratory processes for energy conservation. As the N-cycle has important agricultural and environmental implications, bacterial nitrogen metabolism has become a major research topic in recent years. Archaea are able to perform different reductive pathways of the N-cycle, including both assimilatory processes, such as nitrate assimilation and N(2) fixation, and dissimilatory reactions, such as nitrate respiration and denitrification. However, nitrogen metabolism is much less known in archaea than in bacteria. The availability of the complete genome sequences of several members of the eury- and crenarchaeota has enabled new approaches to the understanding of archaeal physiology and biochemistry, including metabolic reactions involving nitrogen compounds. Comparative studies reveal that significant differences exist in the structure and regulation of some enzymes involved in nitrogen metabolism in archaea, giving rise to important conclusions and new perspectives regarding the evolution, function and physiological relevance of the different N-cycle processes. This review discusses the advances that have been made in understanding nitrate reduction and other aspects of the inorganic nitrogen metabolism in archaea.", "author" : [ { "dropping-particle" : "", "family" : "Cabello", "given" : "Purificaci\u00f3n", "non-dropping-particle" : "", "parse-names" : false, "suffix" : "" }, { "dropping-particle" : "", "family" : "Rold\u00e1n", "given" : "M. Dolores", "non-dropping-particle" : "", "parse-names" : false, "suffix" : "" }, { "dropping-particle" : "", "family" : "Moreno-Vivi\u00e1n", "given" : "Conrado", "non-dropping-particle" : "", "parse-names" : false, "suffix" : "" } ], "container-title" : "Microbiology", "id" : "ITEM-1", "issue" : "11", "issued" : { "date-parts" : [ [ "2004" ] ] }, "page" : "3527-3546", "title" : "Nitrate reduction and the nitrogen cycle in archaea", "type" : "article-journal", "volume" : "150" }, "uris" : [ "http://www.mendeley.com/documents/?uuid=4d674c3a-6e47-44ce-a20f-4a7cb9cf43b4" ] } ], "mendeley" : { "formattedCitation" : "[221]", "plainTextFormattedCitation" : "[221]", "previouslyFormattedCitation" : "[221]" }, "properties" : { "noteIndex" : 0 }, "schema" : "https://github.com/citation-style-language/schema/raw/master/csl-citation.json" }</w:instrText>
      </w:r>
      <w:r w:rsidR="006E76D9">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[221]</w:t>
      </w:r>
      <w:r w:rsidR="006E76D9">
        <w:rPr>
          <w:rFonts w:asciiTheme="minorHAnsi" w:hAnsiTheme="minorHAnsi"/>
          <w:sz w:val="22"/>
          <w:szCs w:val="22"/>
          <w:lang w:eastAsia="en-GB"/>
        </w:rPr>
        <w:fldChar w:fldCharType="end"/>
      </w:r>
      <w:r w:rsidRPr="00C44D8C">
        <w:rPr>
          <w:rFonts w:asciiTheme="minorHAnsi" w:hAnsiTheme="minorHAnsi"/>
          <w:sz w:val="22"/>
          <w:szCs w:val="22"/>
          <w:lang w:eastAsia="en-GB"/>
        </w:rPr>
        <w:t xml:space="preserve">. However, malate is also produced from oxaloacetate by malate dehydrogenase in the incomplete TCA cycle </w:t>
      </w:r>
      <w:r w:rsidR="006E76D9">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"ISBN" : "0146-0749 (Print)\\n0146-0749 (Linking)", "ISSN" : "0146-0749", "PMID" : "3104748", "author" : [ { "dropping-particle" : "", "family" : "Jones", "given" : "W J", "non-dropping-particle" : "", "parse-names" : false, "suffix" : "" }, { "dropping-particle" : "", "family" : "Nagle", "given" : "D P", "non-dropping-particle" : "", "parse-names" : false, "suffix" : "" }, { "dropping-particle" : "", "family" : "Whitman", "given" : "W B", "non-dropping-particle" : "", "parse-names" : false, "suffix" : "" } ], "container-title" : "Microbiological reviews", "id" : "ITEM-1", "issue" : "1", "issued" : { "date-parts" : [ [ "1987" ] ] }, "page" : "135-177", "title" : "Methanogens and the diversity of archaebacteria.", "type" : "article-journal", "volume" : "51" }, "uris" : [ "http://www.mendeley.com/documents/?uuid=bf50ae31-8a32-4944-9195-81210aafcb86" ] }, { "id" : "ITEM-2", "itemData" : { "DOI" : "10.1128/AEM.01938-12", "ISSN" : "00992240", "PMID" : "23001646", "abstract" : "Archaea are widely distributed and yet are most often not the most abundant members of microbial communities. Here, we document a transition from Bacteria- to Archaea-dominated communities in microbial biofilms sampled from the Richmond Mine acid mine drainage (AMD) system (\u223cpH 1.0, \u223c38\u00b0C) and in laboratory-cultivated biofilms. This transition occurs when chemoautotrophic microbial communities that develop at the air-solution interface sink to the sediment-solution interface and degrade under microaerobic and anaerobic conditions. The archaea identified in these sunken biofilms are from the class Thermoplasmata, and in some cases, the highly divergent ARMAN nanoarchaeal lineage. In several of the sunken biofilms, nanoarchaea comprise 10 to 25% of the community, based on fluorescent in situ hybridization and metagenomic analyses. Comparative community proteomic analyses show a persistence of bacterial proteins in sunken biofilms, but there is clear evidence for amino acid modifications due to acid hydrolysis. Given the low representation of bacterial cells in sunken biofilms based on microscopy, we infer that hydrolysis reflects proteins derived from lysed cells. For archaea, we detected \u223c2,400 distinct proteins, including a subset involved in proteolysis and peptide uptake. Laboratory cultivation experiments using complex carbon substrates demonstrated anaerobic enrichment of Ferroplasma and Aplasma coupled to the reduction of ferric iron. These findings indicate dominance of acidophilic archaea in degrading biofilms and suggest that they play roles in anaerobic nutrient cycling at low pH.", "author" : [ { "dropping-particle" : "", "family" : "Justice", "given" : "Nicholas B.", "non-dropping-particle" : "", "parse-names" : false, "suffix" : "" }, { "dropping-particle" : "", "family" : "Pan", "given" : "Chongle", "non-dropping-particle" : "", "parse-names" : false, "suffix" : "" }, { "dropping-particle" : "", "family" : "Mueller", "given" : "Ryan", "non-dropping-particle" : "", "parse-names" : false, "suffix" : "" }, { "dropping-particle" : "", "family" : "Spaulding", "given" : "Susan E.", "non-dropping-particle" : "", "parse-names" : false, "suffix" : "" }, { "dropping-particle" : "", "family" : "Shah", "given" : "Vega", "non-dropping-particle" : "", "parse-names" : false, "suffix" : "" }, { "dropping-particle" : "", "family" : "Sun", "given" : "Christine L.", "non-dropping-particle" : "", "parse-names" : false, "suffix" : "" }, { "dropping-particle" : "", "family" : "Yelton", "given" : "Alexis P.", "non-dropping-particle" : "", "parse-names" : false, "suffix" : "" }, { "dropping-particle" : "", "family" : "Miller", "given" : "Christopher S.", "non-dropping-particle" : "", "parse-names" : false, "suffix" : "" }, { "dropping-particle" : "", "family" : "Thomas", "given" : "Brian C.", "non-dropping-particle" : "", "parse-names" : false, "suffix" : "" }, { "dropping-particle" : "", "family" : "Shah", "given" : "Manesh", "non-dropping-particle" : "", "parse-names" : false, "suffix" : "" }, { "dropping-particle" : "", "family" : "VerBerkmoes", "given" : "Nathan", "non-dropping-particle" : "", "parse-names" : false, "suffix" : "" }, { "dropping-particle" : "", "family" : "Hettich", "given" : "Robert", "non-dropping-particle" : "", "parse-names" : false, "suffix" : "" }, { "dropping-particle" : "", "family" : "Banfield", "given" : "Jillian F.", "non-dropping-particle" : "", "parse-names" : false, "suffix" : "" } ], "container-title" : "Applied and Environmental Microbiology", "id" : "ITEM-2", "issue" : "23", "issued" : { "date-parts" : [ [ "2012" ] ] }, "page" : "8321-8330", "title" : "Heterotrophic archaea contribute to carbon cycling in low-pH, suboxic biofilm communities", "type" : "article-journal", "volume" : "78" }, "uris" : [ "http://www.mendeley.com/documents/?uuid=75be5c62-d5a3-4d7b-aff6-5c2f83ffcc26" ] } ], "mendeley" : { "formattedCitation" : "[241,242]", "plainTextFormattedCitation" : "[241,242]", "previouslyFormattedCitation" : "[241,242]" }, "properties" : { "noteIndex" : 0 }, "schema" : "https://github.com/citation-style-language/schema/raw/master/csl-citation.json" }</w:instrText>
      </w:r>
      <w:r w:rsidR="006E76D9">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[241,242]</w:t>
      </w:r>
      <w:r w:rsidR="006E76D9">
        <w:rPr>
          <w:rFonts w:asciiTheme="minorHAnsi" w:hAnsiTheme="minorHAnsi"/>
          <w:sz w:val="22"/>
          <w:szCs w:val="22"/>
          <w:lang w:eastAsia="en-GB"/>
        </w:rPr>
        <w:fldChar w:fldCharType="end"/>
      </w:r>
      <w:r w:rsidRPr="00C44D8C">
        <w:rPr>
          <w:rFonts w:asciiTheme="minorHAnsi" w:hAnsiTheme="minorHAnsi"/>
          <w:sz w:val="22"/>
          <w:szCs w:val="22"/>
          <w:lang w:eastAsia="en-GB"/>
        </w:rPr>
        <w:t xml:space="preserve">. Additionally, the genome of </w:t>
      </w:r>
      <w:r w:rsidRPr="00C44D8C">
        <w:rPr>
          <w:rFonts w:asciiTheme="minorHAnsi" w:hAnsiTheme="minorHAnsi"/>
          <w:i/>
          <w:iCs/>
          <w:sz w:val="22"/>
          <w:szCs w:val="22"/>
          <w:lang w:eastAsia="en-GB"/>
        </w:rPr>
        <w:t xml:space="preserve">M. barkeri </w:t>
      </w:r>
      <w:r w:rsidRPr="00C44D8C">
        <w:rPr>
          <w:rFonts w:asciiTheme="minorHAnsi" w:hAnsiTheme="minorHAnsi"/>
          <w:sz w:val="22"/>
          <w:szCs w:val="22"/>
          <w:lang w:eastAsia="en-GB"/>
        </w:rPr>
        <w:t xml:space="preserve">includes homologs of malic enzymes, which are ubiquitous in nature and have been proposed to be involved in the interconversion of pyruvate to malate in the carbohydrate metabolism of the </w:t>
      </w:r>
      <w:r w:rsidR="00BF0C8E" w:rsidRPr="00C44D8C">
        <w:rPr>
          <w:rFonts w:asciiTheme="minorHAnsi" w:hAnsiTheme="minorHAnsi"/>
          <w:sz w:val="22"/>
          <w:szCs w:val="22"/>
          <w:lang w:eastAsia="en-GB"/>
        </w:rPr>
        <w:t>archaeon</w:t>
      </w:r>
      <w:r w:rsidRPr="00C44D8C">
        <w:rPr>
          <w:rFonts w:asciiTheme="minorHAnsi" w:hAnsiTheme="minorHAnsi"/>
          <w:sz w:val="22"/>
          <w:szCs w:val="22"/>
          <w:lang w:eastAsia="en-GB"/>
        </w:rPr>
        <w:t xml:space="preserve">, </w:t>
      </w:r>
      <w:r w:rsidRPr="00C44D8C">
        <w:rPr>
          <w:rFonts w:asciiTheme="minorHAnsi" w:eastAsia="Calibri" w:hAnsiTheme="minorHAnsi" w:cs="Arial"/>
          <w:i/>
          <w:iCs/>
          <w:color w:val="231F20"/>
          <w:sz w:val="22"/>
          <w:szCs w:val="22"/>
        </w:rPr>
        <w:t xml:space="preserve">Thermococcus kodakaraensis </w:t>
      </w:r>
      <w:r w:rsidRPr="00C44D8C">
        <w:rPr>
          <w:rFonts w:asciiTheme="minorHAnsi" w:eastAsia="Calibri" w:hAnsiTheme="minorHAnsi" w:cs="Arial"/>
          <w:color w:val="231F20"/>
          <w:sz w:val="22"/>
          <w:szCs w:val="22"/>
        </w:rPr>
        <w:t>KOD1</w:t>
      </w:r>
      <w:r w:rsidRPr="00C44D8C">
        <w:rPr>
          <w:rFonts w:asciiTheme="minorHAnsi" w:hAnsiTheme="minorHAnsi"/>
          <w:sz w:val="22"/>
          <w:szCs w:val="22"/>
          <w:lang w:eastAsia="en-GB"/>
        </w:rPr>
        <w:t xml:space="preserve"> </w:t>
      </w:r>
      <w:r w:rsidR="006E76D9">
        <w:rPr>
          <w:rFonts w:asciiTheme="minorHAnsi" w:hAnsiTheme="minorHAnsi"/>
          <w:sz w:val="22"/>
          <w:szCs w:val="22"/>
          <w:lang w:eastAsia="en-GB"/>
        </w:rPr>
        <w:fldChar w:fldCharType="begin" w:fldLock="1"/>
      </w:r>
      <w:r w:rsidR="007E3308">
        <w:rPr>
          <w:rFonts w:asciiTheme="minorHAnsi" w:hAnsiTheme="minorHAnsi"/>
          <w:sz w:val="22"/>
          <w:szCs w:val="22"/>
          <w:lang w:eastAsia="en-GB"/>
        </w:rPr>
        <w:instrText>ADDIN CSL_CITATION { "citationItems" : [ { "id" : "ITEM-1", "itemData" : { "ISBN" : "1472-3646 (Print)", "ISSN" : "1472-3646 (Print)", "PMID" : "15876562", "abstract" : "Although the interconversion between C4 and C3 compounds has an important role in overall metabolism, limited information is available on the properties and regulation of enzymes acting on these metabolites in hyperthermophilic archaea. Malic enzyme is one of the enzymes involved in this interconversion, catalyzing the oxidative decarboxylation of malate to pyruvate as well as the reductive carboxylation coupled with NAD(P)H. This study focused on the enzymatic properties and expression profile of an uncharacterized homolog of malic enzyme identified in the genome of a heterotrophic, hyperthermophilic archaeon Thermococcus kodakaraensis KOD1 (Tk-Mae). The amino acid sequence of Tk-Mae was 52-58% identical to those of malic enzymes from bacteria, whereas the similarities to the eukaryotic homologs were lower. Several catalytically important regions and residues were conserved in the primary structure of Tk-Mae. The recombinant protein, which formed a homodimer, exhibited thermostable malic enzyme activity with strict divalent cation dependency. The enzyme preferred NADP(+) rather than NAD(+), but did not catalyze the decarboxylation of oxaloacetate, unlike the usual NADP-dependent malic enzymes. The apparent Michaelis constant (K(m)) of Tk-Mae for malate (16.9 mM) was much larger than those of known enzymes, leading to no strong preference for the reaction direction. Transcription of the gene encoding Tk-Mae and intracellular malic enzyme activity in T. kodakaraensis were constitutively weak, regardless of the growth substrates. Possible roles of Tk-Mae are discussed based on these results and the metabolic pathways of T. kodakaraensis deduced from the genome sequence.", "author" : [ { "dropping-particle" : "", "family" : "Fukuda", "given" : "W", "non-dropping-particle" : "", "parse-names" : false, "suffix" : "" }, { "dropping-particle" : "", "family" : "Ismail", "given" : "Y S", "non-dropping-particle" : "", "parse-names" : false, "suffix" : "" }, { "dropping-particle" : "", "family" : "Fukui", "given" : "T", "non-dropping-particle" : "", "parse-names" : false, "suffix" : "" }, { "dropping-particle" : "", "family" : "Atomi", "given" : "H", "non-dropping-particle" : "", "parse-names" : false, "suffix" : "" }, { "dropping-particle" : "", "family" : "Imanaka", "given" : "T", "non-dropping-particle" : "", "parse-names" : false, "suffix" : "" } ], "container-title" : "Archaea", "id" : "ITEM-1", "issued" : { "date-parts" : [ [ "2005" ] ] }, "page" : "293-301", "title" : "Characterization of an archaeal malic enzyme from the hyperthermophilic archaeon Thermococcus kodakaraensis KOD1", "type" : "article-journal", "volume" : "1" }, "uris" : [ "http://www.mendeley.com/documents/?uuid=8f5ed641-8c69-4d4e-9b29-d1a71e2ed312" ] } ], "mendeley" : { "formattedCitation" : "[243]", "plainTextFormattedCitation" : "[243]", "previouslyFormattedCitation" : "[243]" }, "properties" : { "noteIndex" : 0 }, "schema" : "https://github.com/citation-style-language/schema/raw/master/csl-citation.json" }</w:instrText>
      </w:r>
      <w:r w:rsidR="006E76D9">
        <w:rPr>
          <w:rFonts w:asciiTheme="minorHAnsi" w:hAnsiTheme="minorHAnsi"/>
          <w:sz w:val="22"/>
          <w:szCs w:val="22"/>
          <w:lang w:eastAsia="en-GB"/>
        </w:rPr>
        <w:fldChar w:fldCharType="separate"/>
      </w:r>
      <w:r w:rsidR="007E3308" w:rsidRPr="007E3308">
        <w:rPr>
          <w:rFonts w:asciiTheme="minorHAnsi" w:hAnsiTheme="minorHAnsi"/>
          <w:noProof/>
          <w:sz w:val="22"/>
          <w:szCs w:val="22"/>
          <w:lang w:eastAsia="en-GB"/>
        </w:rPr>
        <w:t>[243]</w:t>
      </w:r>
      <w:r w:rsidR="006E76D9">
        <w:rPr>
          <w:rFonts w:asciiTheme="minorHAnsi" w:hAnsiTheme="minorHAnsi"/>
          <w:sz w:val="22"/>
          <w:szCs w:val="22"/>
          <w:lang w:eastAsia="en-GB"/>
        </w:rPr>
        <w:fldChar w:fldCharType="end"/>
      </w:r>
      <w:r w:rsidRPr="00C44D8C">
        <w:rPr>
          <w:rFonts w:asciiTheme="minorHAnsi" w:hAnsiTheme="minorHAnsi"/>
          <w:sz w:val="22"/>
          <w:szCs w:val="22"/>
          <w:lang w:eastAsia="en-GB"/>
        </w:rPr>
        <w:t xml:space="preserve">. It is feasible that the proposed different pathways for malate synthesis in </w:t>
      </w:r>
      <w:r w:rsidRPr="00C44D8C">
        <w:rPr>
          <w:rFonts w:asciiTheme="minorHAnsi" w:hAnsiTheme="minorHAnsi"/>
          <w:i/>
          <w:iCs/>
          <w:sz w:val="22"/>
          <w:szCs w:val="22"/>
          <w:lang w:eastAsia="en-GB"/>
        </w:rPr>
        <w:t>M. barkeri</w:t>
      </w:r>
      <w:r w:rsidRPr="00C44D8C">
        <w:rPr>
          <w:rFonts w:asciiTheme="minorHAnsi" w:hAnsiTheme="minorHAnsi"/>
          <w:sz w:val="22"/>
          <w:szCs w:val="22"/>
          <w:lang w:eastAsia="en-GB"/>
        </w:rPr>
        <w:t xml:space="preserve"> may have increased the levels of malate in biofilm cells of </w:t>
      </w:r>
      <w:r w:rsidRPr="00C44D8C">
        <w:rPr>
          <w:rFonts w:asciiTheme="minorHAnsi" w:hAnsiTheme="minorHAnsi"/>
          <w:i/>
          <w:iCs/>
          <w:sz w:val="22"/>
          <w:szCs w:val="22"/>
          <w:lang w:eastAsia="en-GB"/>
        </w:rPr>
        <w:t xml:space="preserve">M. barkeri </w:t>
      </w:r>
      <w:r w:rsidRPr="00C44D8C">
        <w:rPr>
          <w:rFonts w:asciiTheme="minorHAnsi" w:hAnsiTheme="minorHAnsi"/>
          <w:sz w:val="22"/>
          <w:szCs w:val="22"/>
          <w:lang w:eastAsia="en-GB"/>
        </w:rPr>
        <w:t>above that which were solely a result of the activity of fumarase. This may have led to the observed high levels of fumarase activity determined by the enzyme assay for biofilms attached to PVC</w:t>
      </w:r>
      <w:r w:rsidR="00114AA3" w:rsidRPr="00C44D8C">
        <w:rPr>
          <w:rFonts w:asciiTheme="minorHAnsi" w:hAnsiTheme="minorHAnsi"/>
          <w:sz w:val="22"/>
          <w:szCs w:val="22"/>
          <w:lang w:eastAsia="en-GB"/>
        </w:rPr>
        <w:t>.</w:t>
      </w:r>
    </w:p>
    <w:p w14:paraId="0ECE668B" w14:textId="77777777" w:rsidR="00436CD0" w:rsidRPr="00C44D8C" w:rsidRDefault="00436CD0" w:rsidP="00436CD0">
      <w:pPr>
        <w:spacing w:line="360" w:lineRule="auto"/>
        <w:ind w:firstLine="720"/>
        <w:rPr>
          <w:rFonts w:asciiTheme="minorHAnsi" w:hAnsiTheme="minorHAnsi"/>
          <w:i/>
          <w:sz w:val="22"/>
          <w:szCs w:val="22"/>
          <w:lang w:eastAsia="en-GB"/>
        </w:rPr>
      </w:pPr>
      <w:r w:rsidRPr="00C44D8C">
        <w:rPr>
          <w:rFonts w:asciiTheme="minorHAnsi" w:hAnsiTheme="minorHAnsi"/>
          <w:sz w:val="22"/>
          <w:szCs w:val="22"/>
          <w:lang w:eastAsia="en-GB"/>
        </w:rPr>
        <w:t xml:space="preserve">Despite this, both the iTRAQ and enzyme assay approach gave the same conclusion that there was an increase in triose phosphate isomerase and fumarase produced in </w:t>
      </w:r>
      <w:r w:rsidRPr="00C44D8C">
        <w:rPr>
          <w:rFonts w:asciiTheme="minorHAnsi" w:hAnsiTheme="minorHAnsi"/>
          <w:i/>
          <w:sz w:val="22"/>
          <w:szCs w:val="22"/>
          <w:lang w:eastAsia="en-GB"/>
        </w:rPr>
        <w:t xml:space="preserve">M. barkeri </w:t>
      </w:r>
      <w:r w:rsidRPr="00C44D8C">
        <w:rPr>
          <w:rFonts w:asciiTheme="minorHAnsi" w:hAnsiTheme="minorHAnsi"/>
          <w:sz w:val="22"/>
          <w:szCs w:val="22"/>
          <w:lang w:eastAsia="en-GB"/>
        </w:rPr>
        <w:t xml:space="preserve">biofilms attached to PVC compared to PETG, suggesting that validation of the iTRAQ results was possible. These two different approaches complement each other and the biofilm accumulation experiment, and suggests a key role of PVC in promoting the distinct expression of proteins and phenotypes involved in biofilm formation in </w:t>
      </w:r>
      <w:r w:rsidRPr="00C44D8C">
        <w:rPr>
          <w:rFonts w:asciiTheme="minorHAnsi" w:hAnsiTheme="minorHAnsi"/>
          <w:i/>
          <w:sz w:val="22"/>
          <w:szCs w:val="22"/>
          <w:lang w:eastAsia="en-GB"/>
        </w:rPr>
        <w:t>M. barkeri.</w:t>
      </w:r>
    </w:p>
    <w:p w14:paraId="1F409BD2" w14:textId="77777777" w:rsidR="00436CD0" w:rsidRPr="00C44D8C" w:rsidRDefault="00436CD0" w:rsidP="00436CD0">
      <w:pPr>
        <w:spacing w:line="360" w:lineRule="auto"/>
        <w:rPr>
          <w:rFonts w:asciiTheme="minorHAnsi" w:hAnsiTheme="minorHAnsi"/>
          <w:color w:val="FF0000"/>
          <w:sz w:val="22"/>
          <w:szCs w:val="22"/>
          <w:lang w:eastAsia="en-GB"/>
        </w:rPr>
      </w:pPr>
    </w:p>
    <w:p w14:paraId="0CA6790B" w14:textId="48B1A266" w:rsidR="00436CD0" w:rsidRPr="00C44D8C" w:rsidRDefault="00436CD0" w:rsidP="002B29E5">
      <w:pPr>
        <w:pStyle w:val="Heading1"/>
        <w:rPr>
          <w:lang w:eastAsia="en-GB"/>
        </w:rPr>
      </w:pPr>
      <w:bookmarkStart w:id="159" w:name="_Toc462575367"/>
      <w:r w:rsidRPr="00C44D8C">
        <w:rPr>
          <w:lang w:eastAsia="en-GB"/>
        </w:rPr>
        <w:t>5.5. Conclusions</w:t>
      </w:r>
      <w:bookmarkEnd w:id="159"/>
    </w:p>
    <w:p w14:paraId="58BEAAE6" w14:textId="77777777" w:rsidR="00B44746" w:rsidRDefault="00436CD0" w:rsidP="00436CD0">
      <w:pPr>
        <w:spacing w:line="360" w:lineRule="auto"/>
        <w:rPr>
          <w:rFonts w:asciiTheme="minorHAnsi" w:hAnsiTheme="minorHAnsi"/>
          <w:sz w:val="22"/>
          <w:szCs w:val="22"/>
          <w:lang w:eastAsia="en-GB"/>
        </w:rPr>
        <w:sectPr w:rsidR="00B44746" w:rsidSect="00DF337D">
          <w:pgSz w:w="11906" w:h="16838"/>
          <w:pgMar w:top="1418" w:right="1418" w:bottom="1418" w:left="2268" w:header="708" w:footer="708" w:gutter="0"/>
          <w:cols w:space="708"/>
          <w:docGrid w:linePitch="360"/>
        </w:sectPr>
      </w:pPr>
      <w:r w:rsidRPr="00C44D8C">
        <w:rPr>
          <w:rFonts w:asciiTheme="minorHAnsi" w:hAnsiTheme="minorHAnsi"/>
          <w:sz w:val="22"/>
          <w:szCs w:val="22"/>
          <w:lang w:eastAsia="en-GB"/>
        </w:rPr>
        <w:t xml:space="preserve">This study has shown that the nature of the support material is a key factor in biofilm-dependent protein expression. A combination of the iTRAQ approach and static biofilm and enzyme assay experiments successfully highlighted that PVC provided the most suitable surface for microbial attachment and biofilm accumulation over time, resulting in a phenotypic and proteomic profile of a more developed biofilm. However, PETG provided a poor surface for microbial attachment and biofilm formation, yielding a phenotypic and proteomic profile of a less developed biofilm. The results reinforce the idea that the nature </w:t>
      </w:r>
      <w:r w:rsidRPr="00C44D8C">
        <w:rPr>
          <w:rFonts w:asciiTheme="minorHAnsi" w:hAnsiTheme="minorHAnsi"/>
          <w:sz w:val="22"/>
          <w:szCs w:val="22"/>
          <w:lang w:eastAsia="en-GB"/>
        </w:rPr>
        <w:lastRenderedPageBreak/>
        <w:t xml:space="preserve">of the support material is an important environmental factor for biofilm formation, which can be sensed by </w:t>
      </w:r>
      <w:r w:rsidRPr="00C44D8C">
        <w:rPr>
          <w:rFonts w:asciiTheme="minorHAnsi" w:hAnsiTheme="minorHAnsi"/>
          <w:i/>
          <w:sz w:val="22"/>
          <w:szCs w:val="22"/>
          <w:lang w:eastAsia="en-GB"/>
        </w:rPr>
        <w:t xml:space="preserve">M. barkeri </w:t>
      </w:r>
      <w:r w:rsidRPr="00C44D8C">
        <w:rPr>
          <w:rFonts w:asciiTheme="minorHAnsi" w:hAnsiTheme="minorHAnsi"/>
          <w:sz w:val="22"/>
          <w:szCs w:val="22"/>
          <w:lang w:eastAsia="en-GB"/>
        </w:rPr>
        <w:t xml:space="preserve">to signal changes in the cell surface, cellular growth, methanogenesis, energy production and central metabolism to facilitate irreversible adhesion onto a favourable support material, such as PVC. </w:t>
      </w:r>
    </w:p>
    <w:p w14:paraId="5BBE2F92" w14:textId="2105BDE5" w:rsidR="00697FE7" w:rsidRPr="00697FE7" w:rsidRDefault="00B44746" w:rsidP="00697FE7">
      <w:pPr>
        <w:pStyle w:val="Heading2"/>
        <w:jc w:val="right"/>
      </w:pPr>
      <w:bookmarkStart w:id="160" w:name="_Toc462575368"/>
      <w:r>
        <w:lastRenderedPageBreak/>
        <w:t>C</w:t>
      </w:r>
      <w:r w:rsidR="00697FE7" w:rsidRPr="00697FE7">
        <w:t>hapter 6</w:t>
      </w:r>
      <w:bookmarkEnd w:id="160"/>
    </w:p>
    <w:p w14:paraId="2A33D91E" w14:textId="77777777" w:rsidR="00697FE7" w:rsidRPr="00C44D8C" w:rsidRDefault="00697FE7" w:rsidP="00697FE7">
      <w:pPr>
        <w:spacing w:line="360" w:lineRule="auto"/>
        <w:rPr>
          <w:rFonts w:asciiTheme="minorHAnsi" w:eastAsia="Cambria" w:hAnsiTheme="minorHAnsi" w:cs="Cambria"/>
          <w:color w:val="000000"/>
          <w:sz w:val="22"/>
          <w:szCs w:val="22"/>
          <w:lang w:eastAsia="zh-CN"/>
        </w:rPr>
      </w:pPr>
      <w:r w:rsidRPr="00C44D8C">
        <w:rPr>
          <w:rFonts w:asciiTheme="minorHAnsi" w:eastAsia="Calibri" w:hAnsiTheme="minorHAnsi" w:cs="Calibri"/>
          <w:b/>
          <w:color w:val="000000"/>
          <w:sz w:val="22"/>
          <w:szCs w:val="22"/>
          <w:lang w:eastAsia="zh-CN"/>
        </w:rPr>
        <w:t>____________________________________________________________________</w:t>
      </w:r>
      <w:r>
        <w:rPr>
          <w:rFonts w:asciiTheme="minorHAnsi" w:eastAsia="Calibri" w:hAnsiTheme="minorHAnsi" w:cs="Calibri"/>
          <w:b/>
          <w:color w:val="000000"/>
          <w:sz w:val="22"/>
          <w:szCs w:val="22"/>
          <w:lang w:eastAsia="zh-CN"/>
        </w:rPr>
        <w:t>_______</w:t>
      </w:r>
    </w:p>
    <w:p w14:paraId="7B73D639" w14:textId="5C15D1B0" w:rsidR="00F23008" w:rsidRPr="00C44D8C" w:rsidRDefault="00F23008" w:rsidP="00697FE7">
      <w:pPr>
        <w:pStyle w:val="Heading5"/>
        <w:rPr>
          <w:rFonts w:eastAsia="Calibri"/>
        </w:rPr>
      </w:pPr>
      <w:bookmarkStart w:id="161" w:name="_Toc462574756"/>
      <w:bookmarkStart w:id="162" w:name="_Toc462575369"/>
      <w:r w:rsidRPr="00C44D8C">
        <w:rPr>
          <w:rFonts w:eastAsia="Calibri"/>
        </w:rPr>
        <w:t>Conclusions and Future Work</w:t>
      </w:r>
      <w:bookmarkEnd w:id="161"/>
      <w:bookmarkEnd w:id="162"/>
    </w:p>
    <w:p w14:paraId="25EE5606" w14:textId="77777777" w:rsidR="00F23008" w:rsidRPr="00697FE7" w:rsidRDefault="00F23008" w:rsidP="00F23008">
      <w:pPr>
        <w:spacing w:after="160" w:line="360" w:lineRule="auto"/>
        <w:jc w:val="center"/>
        <w:rPr>
          <w:rFonts w:asciiTheme="minorHAnsi" w:eastAsia="Calibri" w:hAnsiTheme="minorHAnsi"/>
          <w:iCs/>
          <w:szCs w:val="24"/>
        </w:rPr>
      </w:pPr>
      <w:r w:rsidRPr="00697FE7">
        <w:rPr>
          <w:rFonts w:asciiTheme="minorHAnsi" w:eastAsia="Calibri" w:hAnsiTheme="minorHAnsi"/>
          <w:i/>
          <w:szCs w:val="24"/>
          <w:shd w:val="clear" w:color="auto" w:fill="FFFFFF"/>
        </w:rPr>
        <w:t>“The truth is rarely pure and never simple.” </w:t>
      </w:r>
      <w:r w:rsidRPr="00697FE7">
        <w:rPr>
          <w:rFonts w:asciiTheme="minorHAnsi" w:eastAsia="Calibri" w:hAnsiTheme="minorHAnsi"/>
          <w:i/>
          <w:szCs w:val="24"/>
        </w:rPr>
        <w:br/>
      </w:r>
      <w:r w:rsidRPr="00697FE7">
        <w:rPr>
          <w:rFonts w:asciiTheme="minorHAnsi" w:eastAsia="Calibri" w:hAnsiTheme="minorHAnsi"/>
          <w:i/>
          <w:szCs w:val="24"/>
          <w:shd w:val="clear" w:color="auto" w:fill="FFFFFF"/>
        </w:rPr>
        <w:t>― </w:t>
      </w:r>
      <w:hyperlink r:id="rId59" w:history="1">
        <w:r w:rsidRPr="00697FE7">
          <w:rPr>
            <w:rFonts w:asciiTheme="minorHAnsi" w:eastAsia="Calibri" w:hAnsiTheme="minorHAnsi"/>
            <w:szCs w:val="24"/>
            <w:shd w:val="clear" w:color="auto" w:fill="FFFFFF"/>
          </w:rPr>
          <w:t>Oscar Wilde</w:t>
        </w:r>
      </w:hyperlink>
    </w:p>
    <w:p w14:paraId="4366EDD6" w14:textId="77777777" w:rsidR="00F23008" w:rsidRPr="00C44D8C" w:rsidRDefault="00F23008" w:rsidP="00F23008">
      <w:pPr>
        <w:spacing w:line="360" w:lineRule="auto"/>
        <w:rPr>
          <w:rFonts w:asciiTheme="minorHAnsi" w:hAnsiTheme="minorHAnsi"/>
          <w:sz w:val="22"/>
          <w:szCs w:val="22"/>
          <w:lang w:eastAsia="en-GB"/>
        </w:rPr>
      </w:pPr>
    </w:p>
    <w:p w14:paraId="5EBEF36C" w14:textId="20AEC6EF" w:rsidR="00F23008" w:rsidRPr="00C44D8C" w:rsidRDefault="00F23008" w:rsidP="00697FE7">
      <w:pPr>
        <w:pStyle w:val="Heading1"/>
        <w:rPr>
          <w:lang w:eastAsia="en-GB"/>
        </w:rPr>
      </w:pPr>
      <w:bookmarkStart w:id="163" w:name="_Toc462575370"/>
      <w:r w:rsidRPr="00C44D8C">
        <w:rPr>
          <w:lang w:eastAsia="en-GB"/>
        </w:rPr>
        <w:t>6.1. Introduction</w:t>
      </w:r>
      <w:bookmarkEnd w:id="163"/>
    </w:p>
    <w:p w14:paraId="1F5A9584" w14:textId="49A6F7A9" w:rsidR="006E76D9" w:rsidRDefault="00F23008" w:rsidP="00F23008">
      <w:pPr>
        <w:spacing w:line="360" w:lineRule="auto"/>
        <w:rPr>
          <w:rFonts w:asciiTheme="minorHAnsi" w:eastAsia="Calibri" w:hAnsiTheme="minorHAnsi" w:cs="Calibri"/>
          <w:sz w:val="22"/>
          <w:szCs w:val="22"/>
        </w:rPr>
      </w:pPr>
      <w:r w:rsidRPr="00C44D8C">
        <w:rPr>
          <w:rFonts w:asciiTheme="minorHAnsi" w:eastAsia="Calibri" w:hAnsiTheme="minorHAnsi" w:cs="Calibri"/>
          <w:sz w:val="22"/>
          <w:szCs w:val="22"/>
        </w:rPr>
        <w:t xml:space="preserve">This thesis aimed to develop a microbial-based strategy for optimising the AD of domestic wastewater in peri-urban areas, by promoting biofilm formation from key resilient methanogens, such as </w:t>
      </w:r>
      <w:r w:rsidRPr="00C44D8C">
        <w:rPr>
          <w:rFonts w:asciiTheme="minorHAnsi" w:eastAsia="Calibri" w:hAnsiTheme="minorHAnsi" w:cs="Calibri"/>
          <w:i/>
          <w:sz w:val="22"/>
          <w:szCs w:val="22"/>
        </w:rPr>
        <w:t xml:space="preserve">Methanosarcina, </w:t>
      </w:r>
      <w:r w:rsidRPr="00C44D8C">
        <w:rPr>
          <w:rFonts w:asciiTheme="minorHAnsi" w:eastAsia="Calibri" w:hAnsiTheme="minorHAnsi" w:cs="Calibri"/>
          <w:sz w:val="22"/>
          <w:szCs w:val="22"/>
        </w:rPr>
        <w:t>within AD reactors. Previous studies have found methanogens to preferentially attach to specific support materials in both pure and mixed cultures</w:t>
      </w:r>
      <w:r w:rsidR="006E76D9">
        <w:rPr>
          <w:rFonts w:asciiTheme="minorHAnsi" w:eastAsia="Calibri" w:hAnsiTheme="minorHAnsi" w:cs="Calibri"/>
          <w:sz w:val="22"/>
          <w:szCs w:val="22"/>
        </w:rPr>
        <w:t xml:space="preserve"> </w:t>
      </w:r>
      <w:r w:rsidR="006E76D9">
        <w:rPr>
          <w:rFonts w:asciiTheme="minorHAnsi" w:eastAsia="Calibri" w:hAnsiTheme="minorHAnsi" w:cs="Calibri"/>
          <w:sz w:val="22"/>
          <w:szCs w:val="22"/>
        </w:rPr>
        <w:fldChar w:fldCharType="begin" w:fldLock="1"/>
      </w:r>
      <w:r w:rsidR="00AB0CFE">
        <w:rPr>
          <w:rFonts w:asciiTheme="minorHAnsi" w:eastAsia="Calibri" w:hAnsiTheme="minorHAnsi" w:cs="Calibri"/>
          <w:sz w:val="22"/>
          <w:szCs w:val="22"/>
        </w:rPr>
        <w:instrText>ADDIN CSL_CITATION { "citationItems" : [ { "id" : "ITEM-1", "itemData" : { "DOI" : "10.1016/j.biortech.2010.12.023", "ISSN" : "1873-2976", "PMID" : "21211965", "abstract" : "In anaerobic wastewater treatment systems, the complex microbial biomass including Archaea and Bacteria can be retained as a biofilm attached to solid supports. The aim of this study was to evaluate the impact of specific properties of support material on early microbial adhesion. Seven different substrata are described in terms of topography and surface energy. Adhesion of a methanogenic consortium to these substrata was tested, the adhesion was quantified as a percentage of the surface area covered and the bacterial and archaeal community structures was assessed by molecular fingerprinting profiles (CE-SSCP). As expected, the overall adhesion on the supports was influenced mainly by total surface energy. Moreover, the adhered communities were different from the parent inocula, including the Archaea/Bacteria ratio. This could have a significant impact on the start-up of anaerobic digesters for which supports favoring Archaea adhesion, responsible for the limiting reaction of the process, should be preferred.", "author" : [ { "dropping-particle" : "", "family" : "Habouzit", "given" : "Fr\u00e9d\u00e9ric", "non-dropping-particle" : "", "parse-names" : false, "suffix" : "" }, { "dropping-particle" : "", "family" : "G\u00e9vaudan", "given" : "Ga\u00eblle", "non-dropping-particle" : "", "parse-names" : false, "suffix" : "" }, { "dropping-particle" : "", "family" : "Hamelin", "given" : "J\u00e9r\u00f4me", "non-dropping-particle" : "", "parse-names" : false, "suffix" : "" }, { "dropping-particle" : "", "family" : "Steyer", "given" : "Jean-Philippe", "non-dropping-particle" : "", "parse-names" : false, "suffix" : "" }, { "dropping-particle" : "", "family" : "Bernet", "given" : "Nicolas", "non-dropping-particle" : "", "parse-names" : false, "suffix" : "" } ], "container-title" : "Bioresource technology", "id" : "ITEM-1", "issue" : "5", "issued" : { "date-parts" : [ [ "2011", "3" ] ] }, "page" : "4054-60", "title" : "Influence of support material properties on the potential selection of Archaea during initial adhesion of a methanogenic consortium.", "type" : "article-journal", "volume" : "102" }, "uris" : [ "http://www.mendeley.com/documents/?uuid=4bf566e3-042c-46b5-9d07-ed10ce554bbb" ] }, { "id" : "ITEM-2", "itemData" : { "author" : [ { "dropping-particle" : "", "family" : "Verrier", "given" : "D.", "non-dropping-particle" : "", "parse-names" : false, "suffix" : "" }, { "dropping-particle" : "", "family" : "MORTIER", "given" : "B.", "non-dropping-particle" : "", "parse-names" : false, "suffix" : "" }, { "dropping-particle" : "", "family" : "Albagnac", "given" : "G.", "non-dropping-particle" : "", "parse-names" : false, "suffix" : "" } ], "container-title" : "Biotechnology Letters", "id" : "ITEM-2", "issue" : "10", "issued" : { "date-parts" : [ [ "1987" ] ] }, "page" : "735-740", "title" : "INITIAL ADHESION OF METHANOGENIC BACTERIA TO POLYMERS", "type" : "article-journal", "volume" : "9" }, "uris" : [ "http://www.mendeley.com/documents/?uuid=0930b16e-69fc-4a28-8a97-9211d32a600c" ] } ], "mendeley" : { "formattedCitation" : "[94,96]", "plainTextFormattedCitation" : "[94,96]", "previouslyFormattedCitation" : "[94,96]" }, "properties" : { "noteIndex" : 0 }, "schema" : "https://github.com/citation-style-language/schema/raw/master/csl-citation.json" }</w:instrText>
      </w:r>
      <w:r w:rsidR="006E76D9">
        <w:rPr>
          <w:rFonts w:asciiTheme="minorHAnsi" w:eastAsia="Calibri" w:hAnsiTheme="minorHAnsi" w:cs="Calibri"/>
          <w:sz w:val="22"/>
          <w:szCs w:val="22"/>
        </w:rPr>
        <w:fldChar w:fldCharType="separate"/>
      </w:r>
      <w:r w:rsidR="00BB3D6F" w:rsidRPr="00BB3D6F">
        <w:rPr>
          <w:rFonts w:asciiTheme="minorHAnsi" w:eastAsia="Calibri" w:hAnsiTheme="minorHAnsi" w:cs="Calibri"/>
          <w:noProof/>
          <w:sz w:val="22"/>
          <w:szCs w:val="22"/>
        </w:rPr>
        <w:t>[94,96]</w:t>
      </w:r>
      <w:r w:rsidR="006E76D9">
        <w:rPr>
          <w:rFonts w:asciiTheme="minorHAnsi" w:eastAsia="Calibri" w:hAnsiTheme="minorHAnsi" w:cs="Calibri"/>
          <w:sz w:val="22"/>
          <w:szCs w:val="22"/>
        </w:rPr>
        <w:fldChar w:fldCharType="end"/>
      </w:r>
      <w:r w:rsidRPr="00C44D8C">
        <w:rPr>
          <w:rFonts w:asciiTheme="minorHAnsi" w:eastAsia="Calibri" w:hAnsiTheme="minorHAnsi" w:cs="Calibri"/>
          <w:sz w:val="22"/>
          <w:szCs w:val="22"/>
        </w:rPr>
        <w:t>, yet little is known of the underlying processes for this selective attachment. This information could provide guidance to the AD sector on which support materials could be prioritised for use in AD reactors to retain a higher active methanogenic biomass to improve the stability and performance of the AD process</w:t>
      </w:r>
      <w:r w:rsidR="006E76D9">
        <w:rPr>
          <w:rFonts w:asciiTheme="minorHAnsi" w:eastAsia="Calibri" w:hAnsiTheme="minorHAnsi" w:cs="Calibri"/>
          <w:sz w:val="22"/>
          <w:szCs w:val="22"/>
        </w:rPr>
        <w:t xml:space="preserve"> </w:t>
      </w:r>
      <w:r w:rsidR="006E76D9">
        <w:rPr>
          <w:rFonts w:asciiTheme="minorHAnsi" w:eastAsia="Calibri" w:hAnsiTheme="minorHAnsi" w:cs="Calibri"/>
          <w:sz w:val="22"/>
          <w:szCs w:val="22"/>
        </w:rPr>
        <w:fldChar w:fldCharType="begin" w:fldLock="1"/>
      </w:r>
      <w:r w:rsidR="006E76D9">
        <w:rPr>
          <w:rFonts w:asciiTheme="minorHAnsi" w:eastAsia="Calibri" w:hAnsiTheme="minorHAnsi" w:cs="Calibri"/>
          <w:sz w:val="22"/>
          <w:szCs w:val="22"/>
        </w:rPr>
        <w:instrText>ADDIN CSL_CITATION { "citationItems" : [ { "id" : "ITEM-1", "itemData" : { "ISSN" : "0003-6072", "PMID" : "7741528", "abstract" : "Upflow Anaerobic Sludge Bed (UASB) wastewater (pre-)treatment systems represent a proven sustainable technology for a wide range of very different industrial effluents, including those containing toxic/inhibitory compounds. The process is also feasible for treatment of domestic wastewater with temperatures as low as 14-16 degrees C and likely even lower. Compared to conventional aerobic treatment systems the anaerobic treatment process merely offers advantages. This especially is true for the rate of start-up. The available insight in anaerobic sludge immobilization (i.e. granulation) and growth of granular anaerobic sludge in many respects suffices for practice. In anaerobic treatment the immobilization of balanced microbial communities is essential, because the concentration of intermediates then can be kept sufficiently low. So far ignored factors like the death and decay rate of organisms are of eminent importance for the quality of immobilized anaerobic sludge. Taking these factors into account, it can be shown that there does not exist any need for 'phase separation' when treating non- or slightly acidified wastewaters. Phase separation even is detrimental in case the acidogenic organisms are not removed from the effluent of the acidogenic reactor, because they deteriorate the settleability of granular sludge and also negatively affect the formation and growth of granular sludge. The growing insight in the role of factors like nutrients and trace elements, the effect of metabolic intermediates and end products opens excellent prospects for process control, e.g. for the anaerobic treatment of wastewaters containing mainly methanol. Anaerobic wastewater treatment can also profitably be applied in the thermophilic and psychrophilic temperature range. Moreover, thermophilic anaerobic sludge can be used under mesophilic conditions. The Expanded Granular Sludge Bed (EGSB) system particularly offers big practical potentials, e.g. for very low strength wastewaters (COD &lt; 1 g/l) and at temperatures as low as 10 degrees C. In EGSB-systems virtually all the retained sludge is employed, while compared to UASB-systems also a substantially bigger fraction of the immobilized organisms (inside the granules) participates in the process, because an extraordinary high substrate affinity prevails in these systems. It looks necessary to reconsider theories for mass transfer in immobilized anaerobic biomass. Instead of phasing the digestion process, staging of the anae\u2026", "author" : [ { "dropping-particle" : "", "family" : "Lettinga", "given" : "G", "non-dropping-particle" : "", "parse-names" : false, "suffix" : "" } ], "container-title" : "Antonie van Leeuwenhoek", "id" : "ITEM-1", "issue" : "1", "issued" : { "date-parts" : [ [ "1995", "1" ] ] }, "page" : "3-28", "title" : "Anaerobic digestion and wastewater treatment systems.", "type" : "article-journal", "volume" : "67" }, "uris" : [ "http://www.mendeley.com/documents/?uuid=2c6b4f1b-c663-49cc-a188-61b592307d2d" ] } ], "mendeley" : { "formattedCitation" : "[16]", "plainTextFormattedCitation" : "[16]", "previouslyFormattedCitation" : "[16]" }, "properties" : { "noteIndex" : 0 }, "schema" : "https://github.com/citation-style-language/schema/raw/master/csl-citation.json" }</w:instrText>
      </w:r>
      <w:r w:rsidR="006E76D9">
        <w:rPr>
          <w:rFonts w:asciiTheme="minorHAnsi" w:eastAsia="Calibri" w:hAnsiTheme="minorHAnsi" w:cs="Calibri"/>
          <w:sz w:val="22"/>
          <w:szCs w:val="22"/>
        </w:rPr>
        <w:fldChar w:fldCharType="separate"/>
      </w:r>
      <w:r w:rsidR="006E76D9" w:rsidRPr="006E76D9">
        <w:rPr>
          <w:rFonts w:asciiTheme="minorHAnsi" w:eastAsia="Calibri" w:hAnsiTheme="minorHAnsi" w:cs="Calibri"/>
          <w:noProof/>
          <w:sz w:val="22"/>
          <w:szCs w:val="22"/>
        </w:rPr>
        <w:t>[16]</w:t>
      </w:r>
      <w:r w:rsidR="006E76D9">
        <w:rPr>
          <w:rFonts w:asciiTheme="minorHAnsi" w:eastAsia="Calibri" w:hAnsiTheme="minorHAnsi" w:cs="Calibri"/>
          <w:sz w:val="22"/>
          <w:szCs w:val="22"/>
        </w:rPr>
        <w:fldChar w:fldCharType="end"/>
      </w:r>
      <w:r w:rsidRPr="00C44D8C">
        <w:rPr>
          <w:rFonts w:asciiTheme="minorHAnsi" w:eastAsia="Calibri" w:hAnsiTheme="minorHAnsi" w:cs="Calibri"/>
          <w:sz w:val="22"/>
          <w:szCs w:val="22"/>
        </w:rPr>
        <w:t xml:space="preserve">. </w:t>
      </w:r>
    </w:p>
    <w:p w14:paraId="5E8D576A" w14:textId="1490920E" w:rsidR="00F23008" w:rsidRPr="00C44D8C" w:rsidRDefault="00F23008" w:rsidP="006E76D9">
      <w:pPr>
        <w:spacing w:line="360" w:lineRule="auto"/>
        <w:ind w:firstLine="720"/>
        <w:rPr>
          <w:rFonts w:asciiTheme="minorHAnsi" w:eastAsia="Calibri" w:hAnsiTheme="minorHAnsi" w:cs="Calibri"/>
          <w:sz w:val="22"/>
          <w:szCs w:val="22"/>
        </w:rPr>
      </w:pPr>
      <w:r w:rsidRPr="00C44D8C">
        <w:rPr>
          <w:rFonts w:asciiTheme="minorHAnsi" w:eastAsia="Calibri" w:hAnsiTheme="minorHAnsi" w:cs="Calibri"/>
          <w:sz w:val="22"/>
          <w:szCs w:val="22"/>
        </w:rPr>
        <w:t xml:space="preserve">Additionally, current understanding of archaeal biofilm formation is limited </w:t>
      </w:r>
      <w:r w:rsidR="006E76D9">
        <w:rPr>
          <w:rFonts w:asciiTheme="minorHAnsi" w:eastAsia="Calibri" w:hAnsiTheme="minorHAnsi" w:cs="Calibri"/>
          <w:sz w:val="22"/>
          <w:szCs w:val="22"/>
        </w:rPr>
        <w:fldChar w:fldCharType="begin" w:fldLock="1"/>
      </w:r>
      <w:r w:rsidR="006E76D9">
        <w:rPr>
          <w:rFonts w:asciiTheme="minorHAnsi" w:eastAsia="Calibri" w:hAnsiTheme="minorHAnsi" w:cs="Calibri"/>
          <w:sz w:val="22"/>
          <w:szCs w:val="22"/>
        </w:rPr>
        <w:instrText>ADDIN CSL_CITATION { "citationItems" : [ { "id" : "ITEM-1", "itemData" : { "DOI" : "10.1042/BST20120304", "ISBN" : "1470-8752 (Electronic)\\r0300-5127 (Linking)", "ISSN" : "1470-8752", "PMID" : "23356317", "abstract" : "Biofilms or multicellular structures become accepted as the dominant microbial lifestyle in Nature, but in the past they were only studied extensively in bacteria. Investigations on archaeal monospecies cultures have shown that many archaeal species are able to adhere on biotic and abiotic surfaces and form complex biofilm structures. Biofilm-forming archaea were identified in a broad range of extreme and moderate environments. Natural biofilms observed are mostly mixed communities composed of archaeal and bacterial species of various abundances. The physiological functions of the archaea identified in such mixed communities suggest a significant impact on the biochemical cycles maintaining the flow and recycling of the nutrients on earth. Therefore it is of high interest to investigate the characteristics and mechanisms underlying the archaeal biofilm formation. In the present review, I summarize and discuss the present investigations of biofilm-forming archaeal species, i.e. their diverse biofilm architectures in monospecies or mixed communities, the identified EPSs (extracellular polymeric substances), archaeal structures mediating surface adhesion or cell-cell connections, and the response to physical and chemical stressors implying that archaeal biofilm formation is an adaptive reaction to changing environmental conditions. A first insight into the molecular differentiation of cells within archaeal biofilms is given.", "author" : [ { "dropping-particle" : "", "family" : "Fr\u00f6ls", "given" : "Sabrina", "non-dropping-particle" : "", "parse-names" : false, "suffix" : "" } ], "container-title" : "Biochemical Society transactions", "id" : "ITEM-1", "issue" : "1", "issued" : { "date-parts" : [ [ "2013" ] ] }, "page" : "393-8", "title" : "Archaeal biofilms: widespread and complex.", "type" : "article-journal", "volume" : "41" }, "uris" : [ "http://www.mendeley.com/documents/?uuid=cb32140d-6064-4104-9b03-d3d3ab307963" ] }, { "id" : "ITEM-2",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"ITEM-2", "issued" : { "date-parts" : [ [ "2013", "1" ] ] }, "page" : "337-54", "title" : "Archaeal biofilms: the great unexplored.", "type" : "article-journal", "volume" : "67" }, "uris" : [ "http://www.mendeley.com/documents/?uuid=dc3cb733-9675-4eba-a2c0-2241013452de" ] } ], "mendeley" : { "formattedCitation" : "[20,21]", "plainTextFormattedCitation" : "[20,21]", "previouslyFormattedCitation" : "[20,21]" }, "properties" : { "noteIndex" : 0 }, "schema" : "https://github.com/citation-style-language/schema/raw/master/csl-citation.json" }</w:instrText>
      </w:r>
      <w:r w:rsidR="006E76D9">
        <w:rPr>
          <w:rFonts w:asciiTheme="minorHAnsi" w:eastAsia="Calibri" w:hAnsiTheme="minorHAnsi" w:cs="Calibri"/>
          <w:sz w:val="22"/>
          <w:szCs w:val="22"/>
        </w:rPr>
        <w:fldChar w:fldCharType="separate"/>
      </w:r>
      <w:r w:rsidR="006E76D9" w:rsidRPr="006E76D9">
        <w:rPr>
          <w:rFonts w:asciiTheme="minorHAnsi" w:eastAsia="Calibri" w:hAnsiTheme="minorHAnsi" w:cs="Calibri"/>
          <w:noProof/>
          <w:sz w:val="22"/>
          <w:szCs w:val="22"/>
        </w:rPr>
        <w:t>[20,21]</w:t>
      </w:r>
      <w:r w:rsidR="006E76D9">
        <w:rPr>
          <w:rFonts w:asciiTheme="minorHAnsi" w:eastAsia="Calibri" w:hAnsiTheme="minorHAnsi" w:cs="Calibri"/>
          <w:sz w:val="22"/>
          <w:szCs w:val="22"/>
        </w:rPr>
        <w:fldChar w:fldCharType="end"/>
      </w:r>
      <w:r w:rsidRPr="00C44D8C">
        <w:rPr>
          <w:rFonts w:asciiTheme="minorHAnsi" w:eastAsia="Calibri" w:hAnsiTheme="minorHAnsi" w:cs="Calibri"/>
          <w:sz w:val="22"/>
          <w:szCs w:val="22"/>
        </w:rPr>
        <w:t xml:space="preserve">, and this thesis would provide a framework in which to better understand this natural, yet complex process in the archaeon, </w:t>
      </w:r>
      <w:r w:rsidRPr="00C44D8C">
        <w:rPr>
          <w:rFonts w:asciiTheme="minorHAnsi" w:eastAsia="Calibri" w:hAnsiTheme="minorHAnsi" w:cs="Calibri"/>
          <w:i/>
          <w:sz w:val="22"/>
          <w:szCs w:val="22"/>
        </w:rPr>
        <w:t>M. barkeri.</w:t>
      </w:r>
      <w:r w:rsidRPr="00C44D8C">
        <w:rPr>
          <w:rFonts w:asciiTheme="minorHAnsi" w:eastAsia="Calibri" w:hAnsiTheme="minorHAnsi" w:cs="Calibri"/>
          <w:sz w:val="22"/>
          <w:szCs w:val="22"/>
        </w:rPr>
        <w:t xml:space="preserve"> Therefore, as a first step in proposing a </w:t>
      </w:r>
      <w:r w:rsidRPr="00C44D8C">
        <w:rPr>
          <w:rFonts w:asciiTheme="minorHAnsi" w:eastAsia="Calibri" w:hAnsiTheme="minorHAnsi" w:cs="Calibri"/>
          <w:i/>
          <w:sz w:val="22"/>
          <w:szCs w:val="22"/>
        </w:rPr>
        <w:t>Methanosarcina-</w:t>
      </w:r>
      <w:r w:rsidRPr="00C44D8C">
        <w:rPr>
          <w:rFonts w:asciiTheme="minorHAnsi" w:eastAsia="Calibri" w:hAnsiTheme="minorHAnsi" w:cs="Calibri"/>
          <w:sz w:val="22"/>
          <w:szCs w:val="22"/>
        </w:rPr>
        <w:t xml:space="preserve">based AD system, the overall question being addressed in this thesis was </w:t>
      </w:r>
      <w:r w:rsidRPr="00C44D8C">
        <w:rPr>
          <w:rFonts w:asciiTheme="minorHAnsi" w:eastAsia="Calibri" w:hAnsiTheme="minorHAnsi" w:cs="Calibri"/>
          <w:i/>
          <w:sz w:val="22"/>
          <w:szCs w:val="22"/>
        </w:rPr>
        <w:t>how</w:t>
      </w:r>
      <w:r w:rsidRPr="00C44D8C">
        <w:rPr>
          <w:rFonts w:asciiTheme="minorHAnsi" w:eastAsia="Calibri" w:hAnsiTheme="minorHAnsi" w:cs="Calibri"/>
          <w:sz w:val="22"/>
          <w:szCs w:val="22"/>
        </w:rPr>
        <w:t xml:space="preserve"> different support materials affected the biofilm-forming capabilities of </w:t>
      </w:r>
      <w:r w:rsidRPr="00C44D8C">
        <w:rPr>
          <w:rFonts w:asciiTheme="minorHAnsi" w:eastAsia="Calibri" w:hAnsiTheme="minorHAnsi" w:cs="Calibri"/>
          <w:i/>
          <w:sz w:val="22"/>
          <w:szCs w:val="22"/>
        </w:rPr>
        <w:t>M. barkeri</w:t>
      </w:r>
      <w:r w:rsidRPr="00C44D8C">
        <w:rPr>
          <w:rFonts w:asciiTheme="minorHAnsi" w:eastAsia="Calibri" w:hAnsiTheme="minorHAnsi" w:cs="Calibri"/>
          <w:sz w:val="22"/>
          <w:szCs w:val="22"/>
        </w:rPr>
        <w:t xml:space="preserve">. </w:t>
      </w:r>
      <w:r w:rsidRPr="00C44D8C">
        <w:rPr>
          <w:rFonts w:asciiTheme="minorHAnsi" w:eastAsia="Calibri" w:hAnsiTheme="minorHAnsi" w:cs="Dutch801BT-Roman"/>
          <w:sz w:val="22"/>
          <w:szCs w:val="22"/>
        </w:rPr>
        <w:t xml:space="preserve">The </w:t>
      </w:r>
      <w:r w:rsidRPr="00C44D8C">
        <w:rPr>
          <w:rFonts w:asciiTheme="minorHAnsi" w:eastAsia="Calibri" w:hAnsiTheme="minorHAnsi"/>
          <w:sz w:val="22"/>
          <w:szCs w:val="22"/>
        </w:rPr>
        <w:t>experiments in this thesis were carried out in high ionic and neutral pH aqueous environments to model the typical characteristics of domestic wastewater in peri-urban areas of the Global South, and the tested support materials were chosen based on</w:t>
      </w:r>
      <w:r w:rsidR="002B347F">
        <w:rPr>
          <w:rFonts w:asciiTheme="minorHAnsi" w:eastAsia="Calibri" w:hAnsiTheme="minorHAnsi"/>
          <w:sz w:val="22"/>
          <w:szCs w:val="22"/>
        </w:rPr>
        <w:t xml:space="preserve"> their common usage in AD reactors </w:t>
      </w:r>
      <w:r w:rsidR="002B347F">
        <w:rPr>
          <w:rFonts w:asciiTheme="minorHAnsi" w:eastAsia="Calibri" w:hAnsiTheme="minorHAnsi"/>
          <w:sz w:val="22"/>
          <w:szCs w:val="22"/>
        </w:rPr>
        <w:fldChar w:fldCharType="begin" w:fldLock="1"/>
      </w:r>
      <w:r w:rsidR="002B347F">
        <w:rPr>
          <w:rFonts w:asciiTheme="minorHAnsi" w:eastAsia="Calibri" w:hAnsiTheme="minorHAnsi"/>
          <w:sz w:val="22"/>
          <w:szCs w:val="22"/>
        </w:rPr>
        <w:instrText>ADDIN CSL_CITATION { "citationItems" : [ { "id" : "ITEM-1", "itemData" : { "DOI" : "10.1016/j.biortech.2010.12.023", "ISSN" : "1873-2976", "PMID" : "21211965", "abstract" : "In anaerobic wastewater treatment systems, the complex microbial biomass including Archaea and Bacteria can be retained as a biofilm attached to solid supports. The aim of this study was to evaluate the impact of specific properties of support material on early microbial adhesion. Seven different substrata are described in terms of topography and surface energy. Adhesion of a methanogenic consortium to these substrata was tested, the adhesion was quantified as a percentage of the surface area covered and the bacterial and archaeal community structures was assessed by molecular fingerprinting profiles (CE-SSCP). As expected, the overall adhesion on the supports was influenced mainly by total surface energy. Moreover, the adhered communities were different from the parent inocula, including the Archaea/Bacteria ratio. This could have a significant impact on the start-up of anaerobic digesters for which supports favoring Archaea adhesion, responsible for the limiting reaction of the process, should be preferred.", "author" : [ { "dropping-particle" : "", "family" : "Habouzit", "given" : "Fr\u00e9d\u00e9ric", "non-dropping-particle" : "", "parse-names" : false, "suffix" : "" }, { "dropping-particle" : "", "family" : "G\u00e9vaudan", "given" : "Ga\u00eblle", "non-dropping-particle" : "", "parse-names" : false, "suffix" : "" }, { "dropping-particle" : "", "family" : "Hamelin", "given" : "J\u00e9r\u00f4me", "non-dropping-particle" : "", "parse-names" : false, "suffix" : "" }, { "dropping-particle" : "", "family" : "Steyer", "given" : "Jean-Philippe", "non-dropping-particle" : "", "parse-names" : false, "suffix" : "" }, { "dropping-particle" : "", "family" : "Bernet", "given" : "Nicolas", "non-dropping-particle" : "", "parse-names" : false, "suffix" : "" } ], "container-title" : "Bioresource technology", "id" : "ITEM-1", "issue" : "5", "issued" : { "date-parts" : [ [ "2011", "3" ] ] }, "page" : "4054-60", "title" : "Influence of support material properties on the potential selection of Archaea during initial adhesion of a methanogenic consortium.", "type" : "article-journal", "volume" : "102" }, "uris" : [ "http://www.mendeley.com/documents/?uuid=4bf566e3-042c-46b5-9d07-ed10ce554bbb" ] } ], "mendeley" : { "formattedCitation" : "[94]", "plainTextFormattedCitation" : "[94]", "previouslyFormattedCitation" : "[94]" }, "properties" : { "noteIndex" : 0 }, "schema" : "https://github.com/citation-style-language/schema/raw/master/csl-citation.json" }</w:instrText>
      </w:r>
      <w:r w:rsidR="002B347F">
        <w:rPr>
          <w:rFonts w:asciiTheme="minorHAnsi" w:eastAsia="Calibri" w:hAnsiTheme="minorHAnsi"/>
          <w:sz w:val="22"/>
          <w:szCs w:val="22"/>
        </w:rPr>
        <w:fldChar w:fldCharType="separate"/>
      </w:r>
      <w:r w:rsidR="002B347F" w:rsidRPr="002B347F">
        <w:rPr>
          <w:rFonts w:asciiTheme="minorHAnsi" w:eastAsia="Calibri" w:hAnsiTheme="minorHAnsi"/>
          <w:noProof/>
          <w:sz w:val="22"/>
          <w:szCs w:val="22"/>
        </w:rPr>
        <w:t>[94]</w:t>
      </w:r>
      <w:r w:rsidR="002B347F">
        <w:rPr>
          <w:rFonts w:asciiTheme="minorHAnsi" w:eastAsia="Calibri" w:hAnsiTheme="minorHAnsi"/>
          <w:sz w:val="22"/>
          <w:szCs w:val="22"/>
        </w:rPr>
        <w:fldChar w:fldCharType="end"/>
      </w:r>
      <w:r w:rsidR="002B347F">
        <w:rPr>
          <w:rFonts w:asciiTheme="minorHAnsi" w:eastAsia="Calibri" w:hAnsiTheme="minorHAnsi"/>
          <w:sz w:val="22"/>
          <w:szCs w:val="22"/>
        </w:rPr>
        <w:t xml:space="preserve"> and evaluated to be of </w:t>
      </w:r>
      <w:r w:rsidRPr="00C44D8C">
        <w:rPr>
          <w:rFonts w:asciiTheme="minorHAnsi" w:eastAsia="Calibri" w:hAnsiTheme="minorHAnsi"/>
          <w:sz w:val="22"/>
          <w:szCs w:val="22"/>
        </w:rPr>
        <w:t xml:space="preserve">low cost, </w:t>
      </w:r>
      <w:r w:rsidR="002B347F">
        <w:rPr>
          <w:rFonts w:asciiTheme="minorHAnsi" w:eastAsia="Calibri" w:hAnsiTheme="minorHAnsi"/>
          <w:sz w:val="22"/>
          <w:szCs w:val="22"/>
        </w:rPr>
        <w:t xml:space="preserve">available globally </w:t>
      </w:r>
      <w:r w:rsidR="002B347F">
        <w:rPr>
          <w:rFonts w:asciiTheme="minorHAnsi" w:eastAsia="Calibri" w:hAnsiTheme="minorHAnsi"/>
          <w:sz w:val="22"/>
          <w:szCs w:val="22"/>
        </w:rPr>
        <w:fldChar w:fldCharType="begin" w:fldLock="1"/>
      </w:r>
      <w:r w:rsidR="002B347F">
        <w:rPr>
          <w:rFonts w:asciiTheme="minorHAnsi" w:eastAsia="Calibri" w:hAnsiTheme="minorHAnsi"/>
          <w:sz w:val="22"/>
          <w:szCs w:val="22"/>
        </w:rPr>
        <w:instrText>ADDIN CSL_CITATION { "citationItems" : [ { "id" : "ITEM-1", "itemData" : { "DOI" : "10.1016/j.rser.2008.08.006", "ISSN" : "13640321", "author" : [ { "dropping-particle" : "", "family" : "Singh", "given" : "S.P.", "non-dropping-particle" : "", "parse-names" : false, "suffix" : "" }, { "dropping-particle" : "", "family" : "Prerna", "given" : "Pandey", "non-dropping-particle" : "", "parse-names" : false, "suffix" : "" } ], "container-title" : "Renewable and Sustainable Energy Reviews", "id" : "ITEM-1", "issue" : "6-7", "issued" : { "date-parts" : [ [ "2009", "8" ] ] }, "page" : "1569-1575", "title" : "Review of recent advances in anaerobic packed-bed biogas reactors", "type" : "article-journal", "volume" : "13" }, "uris" : [ "http://www.mendeley.com/documents/?uuid=59866e5b-8c07-4e8f-9111-d87af250ce4c" ] } ], "mendeley" : { "formattedCitation" : "[13]", "plainTextFormattedCitation" : "[13]", "previouslyFormattedCitation" : "[13]" }, "properties" : { "noteIndex" : 0 }, "schema" : "https://github.com/citation-style-language/schema/raw/master/csl-citation.json" }</w:instrText>
      </w:r>
      <w:r w:rsidR="002B347F">
        <w:rPr>
          <w:rFonts w:asciiTheme="minorHAnsi" w:eastAsia="Calibri" w:hAnsiTheme="minorHAnsi"/>
          <w:sz w:val="22"/>
          <w:szCs w:val="22"/>
        </w:rPr>
        <w:fldChar w:fldCharType="separate"/>
      </w:r>
      <w:r w:rsidR="002B347F" w:rsidRPr="002B347F">
        <w:rPr>
          <w:rFonts w:asciiTheme="minorHAnsi" w:eastAsia="Calibri" w:hAnsiTheme="minorHAnsi"/>
          <w:noProof/>
          <w:sz w:val="22"/>
          <w:szCs w:val="22"/>
        </w:rPr>
        <w:t>[13]</w:t>
      </w:r>
      <w:r w:rsidR="002B347F">
        <w:rPr>
          <w:rFonts w:asciiTheme="minorHAnsi" w:eastAsia="Calibri" w:hAnsiTheme="minorHAnsi"/>
          <w:sz w:val="22"/>
          <w:szCs w:val="22"/>
        </w:rPr>
        <w:fldChar w:fldCharType="end"/>
      </w:r>
      <w:r w:rsidRPr="00C44D8C">
        <w:rPr>
          <w:rFonts w:asciiTheme="minorHAnsi" w:eastAsia="Calibri" w:hAnsiTheme="minorHAnsi"/>
          <w:sz w:val="22"/>
          <w:szCs w:val="22"/>
        </w:rPr>
        <w:t xml:space="preserve"> and durab</w:t>
      </w:r>
      <w:r w:rsidR="002B347F">
        <w:rPr>
          <w:rFonts w:asciiTheme="minorHAnsi" w:eastAsia="Calibri" w:hAnsiTheme="minorHAnsi"/>
          <w:sz w:val="22"/>
          <w:szCs w:val="22"/>
        </w:rPr>
        <w:t xml:space="preserve">le </w:t>
      </w:r>
      <w:r w:rsidR="002B347F">
        <w:rPr>
          <w:rFonts w:asciiTheme="minorHAnsi" w:eastAsia="Calibri" w:hAnsiTheme="minorHAnsi"/>
          <w:sz w:val="22"/>
          <w:szCs w:val="22"/>
        </w:rPr>
        <w:fldChar w:fldCharType="begin" w:fldLock="1"/>
      </w:r>
      <w:r w:rsidR="002B347F">
        <w:rPr>
          <w:rFonts w:asciiTheme="minorHAnsi" w:eastAsia="Calibri" w:hAnsiTheme="minorHAnsi"/>
          <w:sz w:val="22"/>
          <w:szCs w:val="22"/>
        </w:rPr>
        <w:instrText>ADDIN CSL_CITATION { "citationItems" : [ { "id" : "ITEM-1", "itemData" : { "DOI" : "10.1016/j.energy.2011.03.068", "ISSN" : "03605442", "author" : [ { "dropping-particle" : "", "family" : "Gong", "given" : "Wei-jia", "non-dropping-particle" : "", "parse-names" : false, "suffix" : "" }, { "dropping-particle" : "", "family" : "Liang", "given" : "Heng", "non-dropping-particle" : "", "parse-names" : false, "suffix" : "" }, { "dropping-particle" : "", "family" : "Li", "given" : "Wen-zhe", "non-dropping-particle" : "", "parse-names" : false, "suffix" : "" }, { "dropping-particle" : "", "family" : "Wang", "given" : "Zhen-zhen", "non-dropping-particle" : "", "parse-names" : false, "suffix" : "" } ], "container-title" : "Energy", "id" : "ITEM-1", "issue" : "5", "issued" : { "date-parts" : [ [ "2011", "5" ] ] }, "page" : "3572-3578", "publisher" : "Elsevier Ltd", "title" : "Selection and evaluation of biofilm carrier in anaerobic digestion treatment of cattle manure", "type" : "article-journal", "volume" : "36" }, "uris" : [ "http://www.mendeley.com/documents/?uuid=b9fcefda-449d-47c6-b11b-37a0d0560b03" ] } ], "mendeley" : { "formattedCitation" : "[42]", "plainTextFormattedCitation" : "[42]", "previouslyFormattedCitation" : "[42]" }, "properties" : { "noteIndex" : 0 }, "schema" : "https://github.com/citation-style-language/schema/raw/master/csl-citation.json" }</w:instrText>
      </w:r>
      <w:r w:rsidR="002B347F">
        <w:rPr>
          <w:rFonts w:asciiTheme="minorHAnsi" w:eastAsia="Calibri" w:hAnsiTheme="minorHAnsi"/>
          <w:sz w:val="22"/>
          <w:szCs w:val="22"/>
        </w:rPr>
        <w:fldChar w:fldCharType="separate"/>
      </w:r>
      <w:r w:rsidR="002B347F" w:rsidRPr="002B347F">
        <w:rPr>
          <w:rFonts w:asciiTheme="minorHAnsi" w:eastAsia="Calibri" w:hAnsiTheme="minorHAnsi"/>
          <w:noProof/>
          <w:sz w:val="22"/>
          <w:szCs w:val="22"/>
        </w:rPr>
        <w:t>[42]</w:t>
      </w:r>
      <w:r w:rsidR="002B347F">
        <w:rPr>
          <w:rFonts w:asciiTheme="minorHAnsi" w:eastAsia="Calibri" w:hAnsiTheme="minorHAnsi"/>
          <w:sz w:val="22"/>
          <w:szCs w:val="22"/>
        </w:rPr>
        <w:fldChar w:fldCharType="end"/>
      </w:r>
      <w:r w:rsidRPr="00C44D8C">
        <w:rPr>
          <w:rFonts w:asciiTheme="minorHAnsi" w:eastAsia="Calibri" w:hAnsiTheme="minorHAnsi"/>
          <w:sz w:val="22"/>
          <w:szCs w:val="22"/>
        </w:rPr>
        <w:t xml:space="preserve"> for applicability in peri-urban areas</w:t>
      </w:r>
      <w:r w:rsidR="002B347F">
        <w:rPr>
          <w:rFonts w:asciiTheme="minorHAnsi" w:eastAsia="Calibri" w:hAnsiTheme="minorHAnsi"/>
          <w:sz w:val="22"/>
          <w:szCs w:val="22"/>
        </w:rPr>
        <w:t xml:space="preserve">. </w:t>
      </w:r>
    </w:p>
    <w:p w14:paraId="3B07FC14" w14:textId="2B45B1B5" w:rsidR="00F23008" w:rsidRPr="00697FE7" w:rsidRDefault="00F23008" w:rsidP="00F23008">
      <w:pPr>
        <w:spacing w:line="360" w:lineRule="auto"/>
        <w:rPr>
          <w:rFonts w:asciiTheme="minorHAnsi" w:eastAsia="Calibri" w:hAnsiTheme="minorHAnsi"/>
          <w:sz w:val="22"/>
          <w:szCs w:val="22"/>
        </w:rPr>
      </w:pPr>
      <w:r w:rsidRPr="00C44D8C">
        <w:rPr>
          <w:rFonts w:asciiTheme="minorHAnsi" w:eastAsia="Calibri" w:hAnsiTheme="minorHAnsi"/>
          <w:sz w:val="22"/>
          <w:szCs w:val="22"/>
        </w:rPr>
        <w:tab/>
        <w:t xml:space="preserve">A wide range of chemical, physical, spectroscopic, microscopic and proteomic methods were utilised throughout this thesis in order to understand the physicochemical and biological factors influencing biofilm formation in </w:t>
      </w:r>
      <w:r w:rsidRPr="00C44D8C">
        <w:rPr>
          <w:rFonts w:asciiTheme="minorHAnsi" w:eastAsia="Calibri" w:hAnsiTheme="minorHAnsi"/>
          <w:i/>
          <w:sz w:val="22"/>
          <w:szCs w:val="22"/>
        </w:rPr>
        <w:t xml:space="preserve">M. barkeri </w:t>
      </w:r>
      <w:r w:rsidRPr="00C44D8C">
        <w:rPr>
          <w:rFonts w:asciiTheme="minorHAnsi" w:eastAsia="Calibri" w:hAnsiTheme="minorHAnsi"/>
          <w:sz w:val="22"/>
          <w:szCs w:val="22"/>
        </w:rPr>
        <w:t xml:space="preserve">as a function of support material. These methods have allowed for an unprecedented view of biofilm formation for a diverse range of bacteria in previous studies </w:t>
      </w:r>
      <w:r w:rsidR="006E76D9">
        <w:rPr>
          <w:rFonts w:asciiTheme="minorHAnsi" w:eastAsia="Calibri" w:hAnsiTheme="minorHAnsi"/>
          <w:sz w:val="22"/>
          <w:szCs w:val="22"/>
        </w:rPr>
        <w:fldChar w:fldCharType="begin" w:fldLock="1"/>
      </w:r>
      <w:r w:rsidR="006E76D9">
        <w:rPr>
          <w:rFonts w:asciiTheme="minorHAnsi" w:eastAsia="Calibri" w:hAnsiTheme="minorHAnsi"/>
          <w:sz w:val="22"/>
          <w:szCs w:val="22"/>
        </w:rPr>
        <w:instrText>ADDIN CSL_CITATION { "citationItems" : [ { "id" : "ITEM-1", "itemData" : { "DOI" : "10.1016/S0167-7012(97)00058-4", "ISSN" : "01677012", "author" : [ { "dropping-particle" : "", "family" : "An", "given" : "Yuehuei H", "non-dropping-particle" : "", "parse-names" : false, "suffix" : "" }, { "dropping-particle" : "", "family" : "Friedman", "given" : "Richard J", "non-dropping-particle" : "", "parse-names" : false, "suffix" : "" } ], "container-title" : "Journal of Microbiological Methods", "id" : "ITEM-1", "issue" : "2", "issued" : { "date-parts" : [ [ "1997", "8" ] ] }, "page" : "141-152", "title" : "Laboratory methods for studies of bacterial adhesion", "type" : "article-journal", "volume" : "30" }, "uris" : [ "http://www.mendeley.com/documents/?uuid=a2942c76-e961-4a5a-b60f-3947fca50dd1" ] } ], "mendeley" : { "formattedCitation" : "[25]", "plainTextFormattedCitation" : "[25]", "previouslyFormattedCitation" : "[25]" }, "properties" : { "noteIndex" : 0 }, "schema" : "https://github.com/citation-style-language/schema/raw/master/csl-citation.json" }</w:instrText>
      </w:r>
      <w:r w:rsidR="006E76D9">
        <w:rPr>
          <w:rFonts w:asciiTheme="minorHAnsi" w:eastAsia="Calibri" w:hAnsiTheme="minorHAnsi"/>
          <w:sz w:val="22"/>
          <w:szCs w:val="22"/>
        </w:rPr>
        <w:fldChar w:fldCharType="separate"/>
      </w:r>
      <w:r w:rsidR="006E76D9" w:rsidRPr="006E76D9">
        <w:rPr>
          <w:rFonts w:asciiTheme="minorHAnsi" w:eastAsia="Calibri" w:hAnsiTheme="minorHAnsi"/>
          <w:noProof/>
          <w:sz w:val="22"/>
          <w:szCs w:val="22"/>
        </w:rPr>
        <w:t>[25]</w:t>
      </w:r>
      <w:r w:rsidR="006E76D9">
        <w:rPr>
          <w:rFonts w:asciiTheme="minorHAnsi" w:eastAsia="Calibri" w:hAnsiTheme="minorHAnsi"/>
          <w:sz w:val="22"/>
          <w:szCs w:val="22"/>
        </w:rPr>
        <w:fldChar w:fldCharType="end"/>
      </w:r>
      <w:r w:rsidRPr="00C44D8C">
        <w:rPr>
          <w:rFonts w:asciiTheme="minorHAnsi" w:eastAsia="Calibri" w:hAnsiTheme="minorHAnsi"/>
          <w:sz w:val="22"/>
          <w:szCs w:val="22"/>
        </w:rPr>
        <w:t xml:space="preserve">, and show great promise in understanding the regulatory processes for archaeal biofilm formation </w:t>
      </w:r>
      <w:r w:rsidR="006E76D9">
        <w:rPr>
          <w:rFonts w:asciiTheme="minorHAnsi" w:eastAsia="Calibri" w:hAnsiTheme="minorHAnsi"/>
          <w:sz w:val="22"/>
          <w:szCs w:val="22"/>
        </w:rPr>
        <w:fldChar w:fldCharType="begin" w:fldLock="1"/>
      </w:r>
      <w:r w:rsidR="006E76D9">
        <w:rPr>
          <w:rFonts w:asciiTheme="minorHAnsi" w:eastAsia="Calibri" w:hAnsiTheme="minorHAnsi"/>
          <w:sz w:val="22"/>
          <w:szCs w:val="22"/>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"mendeley" : { "formattedCitation" : "[20]", "plainTextFormattedCitation" : "[20]", "previouslyFormattedCitation" : "[20]" }, "properties" : { "noteIndex" : 0 }, "schema" : "https://github.com/citation-style-language/schema/raw/master/csl-citation.json" }</w:instrText>
      </w:r>
      <w:r w:rsidR="006E76D9">
        <w:rPr>
          <w:rFonts w:asciiTheme="minorHAnsi" w:eastAsia="Calibri" w:hAnsiTheme="minorHAnsi"/>
          <w:sz w:val="22"/>
          <w:szCs w:val="22"/>
        </w:rPr>
        <w:fldChar w:fldCharType="separate"/>
      </w:r>
      <w:r w:rsidR="006E76D9" w:rsidRPr="006E76D9">
        <w:rPr>
          <w:rFonts w:asciiTheme="minorHAnsi" w:eastAsia="Calibri" w:hAnsiTheme="minorHAnsi"/>
          <w:noProof/>
          <w:sz w:val="22"/>
          <w:szCs w:val="22"/>
        </w:rPr>
        <w:t>[20]</w:t>
      </w:r>
      <w:r w:rsidR="006E76D9">
        <w:rPr>
          <w:rFonts w:asciiTheme="minorHAnsi" w:eastAsia="Calibri" w:hAnsiTheme="minorHAnsi"/>
          <w:sz w:val="22"/>
          <w:szCs w:val="22"/>
        </w:rPr>
        <w:fldChar w:fldCharType="end"/>
      </w:r>
      <w:r w:rsidRPr="00C44D8C">
        <w:rPr>
          <w:rFonts w:asciiTheme="minorHAnsi" w:eastAsia="Calibri" w:hAnsiTheme="minorHAnsi"/>
          <w:sz w:val="22"/>
          <w:szCs w:val="22"/>
        </w:rPr>
        <w:t xml:space="preserve">. Some of these methods have been used in previous studies to reveal details on the mechanisms </w:t>
      </w:r>
      <w:r w:rsidRPr="00C44D8C">
        <w:rPr>
          <w:rFonts w:asciiTheme="minorHAnsi" w:eastAsia="Calibri" w:hAnsiTheme="minorHAnsi"/>
          <w:sz w:val="22"/>
          <w:szCs w:val="22"/>
        </w:rPr>
        <w:lastRenderedPageBreak/>
        <w:t xml:space="preserve">underlying archaeal biofilm formation in </w:t>
      </w:r>
      <w:r w:rsidRPr="00C44D8C">
        <w:rPr>
          <w:rFonts w:asciiTheme="minorHAnsi" w:eastAsia="Calibri" w:hAnsiTheme="minorHAnsi"/>
          <w:i/>
          <w:sz w:val="22"/>
          <w:szCs w:val="22"/>
        </w:rPr>
        <w:t>M. smithii</w:t>
      </w:r>
      <w:r w:rsidRPr="00C44D8C">
        <w:rPr>
          <w:rFonts w:asciiTheme="minorHAnsi" w:eastAsia="Calibri" w:hAnsiTheme="minorHAnsi"/>
          <w:sz w:val="22"/>
          <w:szCs w:val="22"/>
        </w:rPr>
        <w:t xml:space="preserve">, </w:t>
      </w:r>
      <w:r w:rsidRPr="00C44D8C">
        <w:rPr>
          <w:rFonts w:asciiTheme="minorHAnsi" w:eastAsia="Calibri" w:hAnsiTheme="minorHAnsi"/>
          <w:i/>
          <w:sz w:val="22"/>
          <w:szCs w:val="22"/>
        </w:rPr>
        <w:t>M. stadtmanae</w:t>
      </w:r>
      <w:r w:rsidRPr="00C44D8C">
        <w:rPr>
          <w:rFonts w:asciiTheme="minorHAnsi" w:eastAsia="Calibri" w:hAnsiTheme="minorHAnsi"/>
          <w:sz w:val="22"/>
          <w:szCs w:val="22"/>
        </w:rPr>
        <w:t xml:space="preserve"> and </w:t>
      </w:r>
      <w:r w:rsidRPr="00C44D8C">
        <w:rPr>
          <w:rFonts w:asciiTheme="minorHAnsi" w:eastAsia="Calibri" w:hAnsiTheme="minorHAnsi"/>
          <w:i/>
          <w:sz w:val="22"/>
          <w:szCs w:val="22"/>
        </w:rPr>
        <w:t>M. mazei</w:t>
      </w:r>
      <w:r w:rsidRPr="00C44D8C">
        <w:rPr>
          <w:rFonts w:asciiTheme="minorHAnsi" w:eastAsia="Calibri" w:hAnsiTheme="minorHAnsi"/>
          <w:sz w:val="22"/>
          <w:szCs w:val="22"/>
        </w:rPr>
        <w:t xml:space="preserve"> </w:t>
      </w:r>
      <w:r w:rsidR="006E76D9">
        <w:rPr>
          <w:rFonts w:asciiTheme="minorHAnsi" w:eastAsia="Calibri" w:hAnsiTheme="minorHAnsi"/>
          <w:sz w:val="22"/>
          <w:szCs w:val="22"/>
        </w:rPr>
        <w:fldChar w:fldCharType="begin" w:fldLock="1"/>
      </w:r>
      <w:r w:rsidR="00F6573E">
        <w:rPr>
          <w:rFonts w:asciiTheme="minorHAnsi" w:eastAsia="Calibri" w:hAnsiTheme="minorHAnsi"/>
          <w:sz w:val="22"/>
          <w:szCs w:val="22"/>
        </w:rPr>
        <w:instrText>ADDIN CSL_CITATION { "citationItems" : [ { "id" : "ITEM-1", "itemData" : { "DOI" : "10.3389/fmicb.2014.00353", "ISSN" : "1664-302X", "PMID" : "25071757", "abstract" : "Although in nature most microorganisms are known to occur predominantly in consortia or biofilms, data on archaeal biofilm formation are in general scarce. Here, the ability of three methanoarchaeal strains, Methanobrevibacter smithii and Methanosphaera stadtmanae, which form part of the human gut microbiota, and the Methanosarcina mazei strain G\u00f61 to grow on different surfaces and form biofilms was investigated. All three strains adhered to the substrate mica and grew predominantly as bilayers on its surface as demonstrated by confocal laser scanning microscopy analyses, though the formation of multi-layered biofilms of Methanosphaera stadtmanae and Methanobrevibacter smithii was observed as well. Stable biofilm formation was further confirmed by scanning electron microscopy analysis. Methanosarcina mazei and Methanobrevibacter smithii also formed multi-layered biofilms in uncoated plastic \u03bc-dishes(TM), which were very similar in morphology and reached a height of up to 40 \u03bcm. In contrast, biofilms formed by Methanosphaera stadtmanae reached only a height of 2 \u03bcm. Staining with the two lectins ConA and IB4 indicated that all three strains produced relatively low amounts of extracellular polysaccharides most likely containing glucose, mannose, and galactose. Taken together, this study provides the first evidence that methanoarchaea can develop and form biofilms on different substrates and thus, will contribute to our knowledge on the appearance and physiological role of Methanobrevibacter smithii and Methanosphaera stadtmanae in the human intestine.", "author" : [ { "dropping-particle" : "", "family" : "Bang", "given" : "Corinna", "non-dropping-particle" : "", "parse-names" : false, "suffix" : "" }, { "dropping-particle" : "", "family" : "Ehlers", "given" : "Claudia", "non-dropping-particle" : "", "parse-names" : false, "suffix" : "" }, { "dropping-particle" : "", "family" : "Orell", "given" : "Alvaro", "non-dropping-particle" : "", "parse-names" : false, "suffix" : "" }, { "dropping-particle" : "", "family" : "Prasse", "given" : "Daniela", "non-dropping-particle" : "", "parse-names" : false, "suffix" : "" }, { "dropping-particle" : "", "family" : "Spinner", "given" : "Marlene", "non-dropping-particle" : "", "parse-names" : false, "suffix" : "" }, { "dropping-particle" : "", "family" : "Gorb", "given" : "Stanislav N", "non-dropping-particle" : "", "parse-names" : false, "suffix" : "" }, { "dropping-particle" : "", "family" : "Albers", "given" : "Sonja-Verena", "non-dropping-particle" : "", "parse-names" : false, "suffix" : "" }, { "dropping-particle" : "", "family" : "Schmitz", "given" : "Ruth a", "non-dropping-particle" : "", "parse-names" : false, "suffix" : "" } ], "container-title" : "Frontiers in microbiology", "id" : "ITEM-1", "issue" : "July", "issued" : { "date-parts" : [ [ "2014", "1" ] ] }, "page" : "353", "title" : "Biofilm formation of mucosa-associated methanoarchaeal strains.", "type" : "article-journal", "volume" : "5" }, "uris" : [ "http://www.mendeley.com/documents/?uuid=32a7e40a-8f85-4f4b-a0bd-b51d05eda89c" ] } ], "mendeley" : { "formattedCitation" : "[57]", "plainTextFormattedCitation" : "[57]", "previouslyFormattedCitation" : "[57]" }, "properties" : { "noteIndex" : 0 }, "schema" : "https://github.com/citation-style-language/schema/raw/master/csl-citation.json" }</w:instrText>
      </w:r>
      <w:r w:rsidR="006E76D9">
        <w:rPr>
          <w:rFonts w:asciiTheme="minorHAnsi" w:eastAsia="Calibri" w:hAnsiTheme="minorHAnsi"/>
          <w:sz w:val="22"/>
          <w:szCs w:val="22"/>
        </w:rPr>
        <w:fldChar w:fldCharType="separate"/>
      </w:r>
      <w:r w:rsidR="003250CB" w:rsidRPr="003250CB">
        <w:rPr>
          <w:rFonts w:asciiTheme="minorHAnsi" w:eastAsia="Calibri" w:hAnsiTheme="minorHAnsi"/>
          <w:noProof/>
          <w:sz w:val="22"/>
          <w:szCs w:val="22"/>
        </w:rPr>
        <w:t>[57]</w:t>
      </w:r>
      <w:r w:rsidR="006E76D9">
        <w:rPr>
          <w:rFonts w:asciiTheme="minorHAnsi" w:eastAsia="Calibri" w:hAnsiTheme="minorHAnsi"/>
          <w:sz w:val="22"/>
          <w:szCs w:val="22"/>
        </w:rPr>
        <w:fldChar w:fldCharType="end"/>
      </w:r>
      <w:r w:rsidRPr="00C44D8C">
        <w:rPr>
          <w:rFonts w:asciiTheme="minorHAnsi" w:eastAsia="Calibri" w:hAnsiTheme="minorHAnsi"/>
          <w:sz w:val="22"/>
          <w:szCs w:val="22"/>
        </w:rPr>
        <w:t xml:space="preserve">, and </w:t>
      </w:r>
      <w:r w:rsidRPr="00C44D8C">
        <w:rPr>
          <w:rFonts w:asciiTheme="minorHAnsi" w:eastAsia="Calibri" w:hAnsiTheme="minorHAnsi"/>
          <w:i/>
          <w:sz w:val="22"/>
          <w:szCs w:val="22"/>
        </w:rPr>
        <w:t xml:space="preserve">S. acidocaldarius, S. solfataricus, </w:t>
      </w:r>
      <w:r w:rsidRPr="00C44D8C">
        <w:rPr>
          <w:rFonts w:asciiTheme="minorHAnsi" w:eastAsia="Calibri" w:hAnsiTheme="minorHAnsi"/>
          <w:sz w:val="22"/>
          <w:szCs w:val="22"/>
        </w:rPr>
        <w:t>and</w:t>
      </w:r>
      <w:r w:rsidRPr="00C44D8C">
        <w:rPr>
          <w:rFonts w:asciiTheme="minorHAnsi" w:eastAsia="Calibri" w:hAnsiTheme="minorHAnsi"/>
          <w:i/>
          <w:sz w:val="22"/>
          <w:szCs w:val="22"/>
        </w:rPr>
        <w:t xml:space="preserve"> S. tokodaii </w:t>
      </w:r>
      <w:r w:rsidR="006E76D9">
        <w:rPr>
          <w:rFonts w:asciiTheme="minorHAnsi" w:eastAsia="Calibri" w:hAnsiTheme="minorHAnsi"/>
          <w:i/>
          <w:sz w:val="22"/>
          <w:szCs w:val="22"/>
        </w:rPr>
        <w:fldChar w:fldCharType="begin" w:fldLock="1"/>
      </w:r>
      <w:r w:rsidR="00AB0CFE">
        <w:rPr>
          <w:rFonts w:asciiTheme="minorHAnsi" w:eastAsia="Calibri" w:hAnsiTheme="minorHAnsi"/>
          <w:i/>
          <w:sz w:val="22"/>
          <w:szCs w:val="22"/>
        </w:rPr>
        <w:instrText>ADDIN CSL_CITATION { "citationItems" : [ { "id" : "ITEM-1", "itemData" : { "DOI" : "10.1021/pr2003006", "ISSN" : "1535-3907", "PMID" : "21761944", "abstract" : "Microorganisms in nature often live in surface-associated sessile communities, encased in a self-produced matrix, referred to as biofilms. Biofilms have been well studied in bacteria but in a limited way for archaea. We have recently characterized biofilm formation in three closely related hyperthermophilic crenarchaeotes: Sulfolobus acidocaldarius, S. solfataricus, and S. tokodaii. These strains form different communities ranging from simple carpet structures in S. solfataricus to high density tower-like structures in S. acidocaldarius under static condition. Here, we combine spectroscopic, proteomic, and transcriptomic analyses to describe physiological and regulatory features associated with biofilms. Spectroscopic analysis reveals that in comparison to planktonic life-style, biofilm life-style has distinctive influence on the physiology of each Sulfolobus spp. Proteomic and transcriptomic data show that biofilm-forming life-style is strain specific (eg ca. 15% of the S. acidocaldarius genes were differently expressed, S. solfataricus and S. tokodaii had ~3.4 and ~1%, respectively). The -omic data showed that regulated ORFs were widely distributed in basic cellular functions, including surface modifications. Several regulated genes are common to biofilm-forming cells in all three species. One of the most striking common response genes include putative Lrs14-like transcriptional regulators, indicating their possible roles as a key regulatory factor in biofilm development.", "author" : [ { "dropping-particle" : "", "family" : "Koerdt", "given" : "Andrea", "non-dropping-particle" : "", "parse-names" : false, "suffix" : "" }, { "dropping-particle" : "", "family" : "Orell", "given" : "Alvaro", "non-dropping-particle" : "", "parse-names" : false, "suffix" : "" }, { "dropping-particle" : "", "family" : "Pham", "given" : "Trong Khoa", "non-dropping-particle" : "", "parse-names" : false, "suffix" : "" }, { "dropping-particle" : "", "family" : "Mukherjee", "given" : "Joy", "non-dropping-particle" : "", "parse-names" : false, "suffix" : "" }, { "dropping-particle" : "", "family" : "Wlodkowski", "given" : "Alexander", "non-dropping-particle" : "", "parse-names" : false, "suffix" : "" }, { "dropping-particle" : "", "family" : "Karunakaran", "given" : "Esther", "non-dropping-particle" : "", "parse-names" : false, "suffix" : "" }, { "dropping-particle" : "", "family" : "Biggs", "given" : "Catherine a", "non-dropping-particle" : "", "parse-names" : false, "suffix" : "" }, { "dropping-particle" : "", "family" : "Wright", "given" : "Phillip C", "non-dropping-particle" : "", "parse-names" : false, "suffix" : "" }, { "dropping-particle" : "", "family" : "Albers", "given" : "Sonja-Verena", "non-dropping-particle" : "", "parse-names" : false, "suffix" : "" } ], "container-title" : "Journal of proteome research", "id" : "ITEM-1", "issue" : "9", "issued" : { "date-parts" : [ [ "2011", "9", "2" ] ] }, "page" : "4105-19", "title" : "Macromolecular fingerprinting of Sulfolobus species in biofilm: a transcriptomic and proteomic approach combined with spectroscopic analysis.", "type" : "article-journal", "volume" : "10" }, "uris" : [ "http://www.mendeley.com/documents/?uuid=6a815e1b-4f8b-4d5d-8ce3-cd9bc2cb0488" ] } ], "mendeley" : { "formattedCitation" : "[89]", "plainTextFormattedCitation" : "[89]", "previouslyFormattedCitation" : "[89]" }, "properties" : { "noteIndex" : 0 }, "schema" : "https://github.com/citation-style-language/schema/raw/master/csl-citation.json" }</w:instrText>
      </w:r>
      <w:r w:rsidR="006E76D9">
        <w:rPr>
          <w:rFonts w:asciiTheme="minorHAnsi" w:eastAsia="Calibri" w:hAnsiTheme="minorHAnsi"/>
          <w:i/>
          <w:sz w:val="22"/>
          <w:szCs w:val="22"/>
        </w:rPr>
        <w:fldChar w:fldCharType="separate"/>
      </w:r>
      <w:r w:rsidR="00BB3D6F" w:rsidRPr="00BB3D6F">
        <w:rPr>
          <w:rFonts w:asciiTheme="minorHAnsi" w:eastAsia="Calibri" w:hAnsiTheme="minorHAnsi"/>
          <w:noProof/>
          <w:sz w:val="22"/>
          <w:szCs w:val="22"/>
        </w:rPr>
        <w:t>[89]</w:t>
      </w:r>
      <w:r w:rsidR="006E76D9">
        <w:rPr>
          <w:rFonts w:asciiTheme="minorHAnsi" w:eastAsia="Calibri" w:hAnsiTheme="minorHAnsi"/>
          <w:i/>
          <w:sz w:val="22"/>
          <w:szCs w:val="22"/>
        </w:rPr>
        <w:fldChar w:fldCharType="end"/>
      </w:r>
      <w:r w:rsidRPr="00C44D8C">
        <w:rPr>
          <w:rFonts w:asciiTheme="minorHAnsi" w:eastAsia="Calibri" w:hAnsiTheme="minorHAnsi"/>
          <w:sz w:val="22"/>
          <w:szCs w:val="22"/>
        </w:rPr>
        <w:t xml:space="preserve">. However, this suite of methods has not been extensively used to examine the biofilm-forming capabilities of </w:t>
      </w:r>
      <w:r w:rsidRPr="00C44D8C">
        <w:rPr>
          <w:rFonts w:asciiTheme="minorHAnsi" w:eastAsia="Calibri" w:hAnsiTheme="minorHAnsi"/>
          <w:i/>
          <w:sz w:val="22"/>
          <w:szCs w:val="22"/>
        </w:rPr>
        <w:t xml:space="preserve">M. barkeri </w:t>
      </w:r>
      <w:r w:rsidR="00697FE7">
        <w:rPr>
          <w:rFonts w:asciiTheme="minorHAnsi" w:eastAsia="Calibri" w:hAnsiTheme="minorHAnsi"/>
          <w:sz w:val="22"/>
          <w:szCs w:val="22"/>
        </w:rPr>
        <w:t>on different support materials.</w:t>
      </w:r>
    </w:p>
    <w:p w14:paraId="3C5E57EB" w14:textId="7C4558AB" w:rsidR="00F23008" w:rsidRPr="00C44D8C" w:rsidRDefault="00F23008" w:rsidP="00697FE7">
      <w:pPr>
        <w:pStyle w:val="Heading1"/>
        <w:rPr>
          <w:lang w:eastAsia="en-GB"/>
        </w:rPr>
      </w:pPr>
      <w:bookmarkStart w:id="164" w:name="_Toc462575371"/>
      <w:r w:rsidRPr="00C44D8C">
        <w:rPr>
          <w:lang w:eastAsia="en-GB"/>
        </w:rPr>
        <w:t xml:space="preserve">6.2. Understanding biofilm formation in </w:t>
      </w:r>
      <w:r w:rsidRPr="00C44D8C">
        <w:rPr>
          <w:i/>
          <w:lang w:eastAsia="en-GB"/>
        </w:rPr>
        <w:t>M. barkeri</w:t>
      </w:r>
      <w:bookmarkEnd w:id="164"/>
      <w:r w:rsidRPr="00C44D8C">
        <w:rPr>
          <w:i/>
          <w:lang w:eastAsia="en-GB"/>
        </w:rPr>
        <w:t xml:space="preserve"> </w:t>
      </w:r>
    </w:p>
    <w:p w14:paraId="0A5FA53F" w14:textId="6C88AD08" w:rsidR="00F23008" w:rsidRPr="00C44D8C" w:rsidRDefault="00F23008" w:rsidP="00F23008">
      <w:pPr>
        <w:spacing w:line="360" w:lineRule="auto"/>
        <w:rPr>
          <w:rFonts w:asciiTheme="minorHAnsi" w:hAnsiTheme="minorHAnsi"/>
          <w:bCs/>
          <w:color w:val="000000"/>
          <w:sz w:val="22"/>
          <w:szCs w:val="22"/>
          <w:lang w:eastAsia="en-GB"/>
        </w:rPr>
      </w:pPr>
      <w:r w:rsidRPr="00C44D8C">
        <w:rPr>
          <w:rFonts w:asciiTheme="minorHAnsi" w:hAnsiTheme="minorHAnsi"/>
          <w:bCs/>
          <w:color w:val="000000"/>
          <w:sz w:val="22"/>
          <w:szCs w:val="22"/>
          <w:lang w:eastAsia="en-GB"/>
        </w:rPr>
        <w:t xml:space="preserve">This thesis showed that the surface characteristics of the microbial and abiotic surface were influential factors in the level of </w:t>
      </w:r>
      <w:r w:rsidR="00281CDA">
        <w:rPr>
          <w:rFonts w:asciiTheme="minorHAnsi" w:hAnsiTheme="minorHAnsi"/>
          <w:bCs/>
          <w:color w:val="000000"/>
          <w:sz w:val="22"/>
          <w:szCs w:val="22"/>
          <w:lang w:eastAsia="en-GB"/>
        </w:rPr>
        <w:t>adhesion</w:t>
      </w:r>
      <w:r w:rsidRPr="00C44D8C">
        <w:rPr>
          <w:rFonts w:asciiTheme="minorHAnsi" w:hAnsiTheme="minorHAnsi"/>
          <w:bCs/>
          <w:color w:val="000000"/>
          <w:sz w:val="22"/>
          <w:szCs w:val="22"/>
          <w:lang w:eastAsia="en-GB"/>
        </w:rPr>
        <w:t xml:space="preserve"> from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The support materials,</w:t>
      </w:r>
      <w:r w:rsidRPr="00C44D8C">
        <w:rPr>
          <w:rFonts w:asciiTheme="minorHAnsi" w:hAnsiTheme="minorHAnsi"/>
          <w:bCs/>
          <w:i/>
          <w:color w:val="000000"/>
          <w:sz w:val="22"/>
          <w:szCs w:val="22"/>
          <w:lang w:eastAsia="en-GB"/>
        </w:rPr>
        <w:t xml:space="preserve"> </w:t>
      </w:r>
      <w:r w:rsidRPr="00C44D8C">
        <w:rPr>
          <w:rFonts w:asciiTheme="minorHAnsi" w:hAnsiTheme="minorHAnsi"/>
          <w:bCs/>
          <w:color w:val="000000"/>
          <w:sz w:val="22"/>
          <w:szCs w:val="22"/>
          <w:lang w:eastAsia="en-GB"/>
        </w:rPr>
        <w:t xml:space="preserve">PVC, PTFE and PP were proven to have the most attractive surfaces for initial attachment and subsequent biofilm formation from </w:t>
      </w:r>
      <w:r w:rsidRPr="00C44D8C">
        <w:rPr>
          <w:rFonts w:asciiTheme="minorHAnsi" w:hAnsiTheme="minorHAnsi"/>
          <w:bCs/>
          <w:i/>
          <w:color w:val="000000"/>
          <w:sz w:val="22"/>
          <w:szCs w:val="22"/>
          <w:lang w:eastAsia="en-GB"/>
        </w:rPr>
        <w:t xml:space="preserve">M. barkeri, </w:t>
      </w:r>
      <w:r w:rsidRPr="00C44D8C">
        <w:rPr>
          <w:rFonts w:asciiTheme="minorHAnsi" w:hAnsiTheme="minorHAnsi"/>
          <w:bCs/>
          <w:color w:val="000000"/>
          <w:sz w:val="22"/>
          <w:szCs w:val="22"/>
          <w:lang w:eastAsia="en-GB"/>
        </w:rPr>
        <w:t xml:space="preserve">as evidenced by the significantly higher percentage of cell coverage to these surfaces after 2 h (initial adhesion) and 96 h (irreversible adhesion) in chapter 3. The xDLVO model suggested that the preferential attachment of cells to PTFE and PP was a result of attractive Lifshitz-van der Waals and acid-base interaction forces at the microbial-abiotic interface, and suggests a key role of hydrophobicity in the adhesion of </w:t>
      </w:r>
      <w:r w:rsidRPr="00C44D8C">
        <w:rPr>
          <w:rFonts w:asciiTheme="minorHAnsi" w:hAnsiTheme="minorHAnsi"/>
          <w:bCs/>
          <w:i/>
          <w:color w:val="000000"/>
          <w:sz w:val="22"/>
          <w:szCs w:val="22"/>
          <w:lang w:eastAsia="en-GB"/>
        </w:rPr>
        <w:t>M. barkeri</w:t>
      </w:r>
      <w:r w:rsidRPr="00C44D8C">
        <w:rPr>
          <w:rFonts w:asciiTheme="minorHAnsi" w:hAnsiTheme="minorHAnsi"/>
          <w:bCs/>
          <w:color w:val="000000"/>
          <w:sz w:val="22"/>
          <w:szCs w:val="22"/>
          <w:lang w:eastAsia="en-GB"/>
        </w:rPr>
        <w:t xml:space="preserve"> to PTFE and PP.  Hydrophobicity is an important surface parameter in the initial adhesion process, and has been reported in various microbial systems</w:t>
      </w:r>
      <w:r w:rsidR="006E76D9">
        <w:rPr>
          <w:rFonts w:asciiTheme="minorHAnsi" w:hAnsiTheme="minorHAnsi"/>
          <w:bCs/>
          <w:color w:val="000000"/>
          <w:sz w:val="22"/>
          <w:szCs w:val="22"/>
          <w:lang w:eastAsia="en-GB"/>
        </w:rPr>
        <w:t xml:space="preserve"> </w:t>
      </w:r>
      <w:r w:rsidR="006E76D9">
        <w:rPr>
          <w:rFonts w:asciiTheme="minorHAnsi" w:hAnsiTheme="minorHAnsi"/>
          <w:bCs/>
          <w:color w:val="000000"/>
          <w:sz w:val="22"/>
          <w:szCs w:val="22"/>
          <w:lang w:eastAsia="en-GB"/>
        </w:rPr>
        <w:fldChar w:fldCharType="begin" w:fldLock="1"/>
      </w:r>
      <w:r w:rsidR="00AF47D2">
        <w:rPr>
          <w:rFonts w:asciiTheme="minorHAnsi" w:hAnsiTheme="minorHAnsi"/>
          <w:bCs/>
          <w:color w:val="000000"/>
          <w:sz w:val="22"/>
          <w:szCs w:val="22"/>
          <w:lang w:eastAsia="en-GB"/>
        </w:rPr>
        <w:instrText>ADDIN CSL_CITATION { "citationItems" : [ { "id" : "ITEM-1", "itemData" : { "DOI" : "10.1016/S0927-7765(98)00037-X", "ISSN" : "09277765", "author" : [ { "dropping-particle" : "", "family" : "Mei", "given" : "H.C.", "non-dropping-particle" : "van der", "parse-names" : false, "suffix" : "" }, { "dropping-particle" : "", "family" : "Bos", "given" : "R.", "non-dropping-particle" : "", "parse-names" : false, "suffix" : "" }, { "dropping-particle" : "", "family" : "Busscher", "given" : "H.J.", "non-dropping-particle" : "", "parse-names" : false, "suffix" : "" } ], "container-title" : "Colloids and Surfaces B: Biointerfaces", "id" : "ITEM-1", "issue" : "4", "issued" : { "date-parts" : [ [ "1998", "7" ] ] }, "page" : "213-221", "title" : "A reference guide to microbial cell surface hydrophobicity based on contact angles", "type" : "article-journal", "volume" : "11" }, "uris" : [ "http://www.mendeley.com/documents/?uuid=18b05a75-e225-4821-9e2b-e3438429994a" ] } ], "mendeley" : { "formattedCitation" : "[78]", "plainTextFormattedCitation" : "[78]", "previouslyFormattedCitation" : "[78]" }, "properties" : { "noteIndex" : 0 }, "schema" : "https://github.com/citation-style-language/schema/raw/master/csl-citation.json" }</w:instrText>
      </w:r>
      <w:r w:rsidR="006E76D9">
        <w:rPr>
          <w:rFonts w:asciiTheme="minorHAnsi" w:hAnsiTheme="minorHAnsi"/>
          <w:bCs/>
          <w:color w:val="000000"/>
          <w:sz w:val="22"/>
          <w:szCs w:val="22"/>
          <w:lang w:eastAsia="en-GB"/>
        </w:rPr>
        <w:fldChar w:fldCharType="separate"/>
      </w:r>
      <w:r w:rsidR="00AF47D2" w:rsidRPr="00AF47D2">
        <w:rPr>
          <w:rFonts w:asciiTheme="minorHAnsi" w:hAnsiTheme="minorHAnsi"/>
          <w:bCs/>
          <w:noProof/>
          <w:color w:val="000000"/>
          <w:sz w:val="22"/>
          <w:szCs w:val="22"/>
          <w:lang w:eastAsia="en-GB"/>
        </w:rPr>
        <w:t>[78]</w:t>
      </w:r>
      <w:r w:rsidR="006E76D9">
        <w:rPr>
          <w:rFonts w:asciiTheme="minorHAnsi" w:hAnsiTheme="minorHAnsi"/>
          <w:bCs/>
          <w:color w:val="000000"/>
          <w:sz w:val="22"/>
          <w:szCs w:val="22"/>
          <w:lang w:eastAsia="en-GB"/>
        </w:rPr>
        <w:fldChar w:fldCharType="end"/>
      </w:r>
      <w:r w:rsidRPr="00C44D8C">
        <w:rPr>
          <w:rFonts w:asciiTheme="minorHAnsi" w:hAnsiTheme="minorHAnsi"/>
          <w:bCs/>
          <w:color w:val="000000"/>
          <w:sz w:val="22"/>
          <w:szCs w:val="22"/>
          <w:lang w:eastAsia="en-GB"/>
        </w:rPr>
        <w:t xml:space="preserve">. </w:t>
      </w:r>
    </w:p>
    <w:p w14:paraId="12531152" w14:textId="73D14BEE" w:rsidR="00F23008" w:rsidRPr="00C44D8C" w:rsidRDefault="00F23008" w:rsidP="00F23008">
      <w:pPr>
        <w:spacing w:line="360" w:lineRule="auto"/>
        <w:ind w:firstLine="720"/>
        <w:rPr>
          <w:rFonts w:asciiTheme="minorHAnsi" w:eastAsia="Calibri" w:hAnsiTheme="minorHAnsi" w:cs="Calibri"/>
          <w:sz w:val="22"/>
          <w:szCs w:val="22"/>
        </w:rPr>
      </w:pPr>
      <w:r w:rsidRPr="00C44D8C">
        <w:rPr>
          <w:rFonts w:asciiTheme="minorHAnsi" w:hAnsiTheme="minorHAnsi"/>
          <w:bCs/>
          <w:color w:val="000000"/>
          <w:sz w:val="22"/>
          <w:szCs w:val="22"/>
          <w:lang w:eastAsia="en-GB"/>
        </w:rPr>
        <w:t xml:space="preserve">However, out of all the tested support materials, PVC fared best at promoting the selective adhesion of </w:t>
      </w:r>
      <w:r w:rsidRPr="00C44D8C">
        <w:rPr>
          <w:rFonts w:asciiTheme="minorHAnsi" w:hAnsiTheme="minorHAnsi"/>
          <w:bCs/>
          <w:i/>
          <w:color w:val="000000"/>
          <w:sz w:val="22"/>
          <w:szCs w:val="22"/>
          <w:lang w:eastAsia="en-GB"/>
        </w:rPr>
        <w:t xml:space="preserve">M. barkeri. </w:t>
      </w:r>
      <w:r w:rsidRPr="00C44D8C">
        <w:rPr>
          <w:rFonts w:asciiTheme="minorHAnsi" w:eastAsia="Calibri" w:hAnsiTheme="minorHAnsi" w:cs="Calibri"/>
          <w:sz w:val="22"/>
          <w:szCs w:val="22"/>
        </w:rPr>
        <w:t xml:space="preserve">It is feasible that the highly polar surface of PVC could have facilitated an increased number of interfacial acid-base interactions between the cells of </w:t>
      </w:r>
      <w:r w:rsidRPr="00C44D8C">
        <w:rPr>
          <w:rFonts w:asciiTheme="minorHAnsi" w:eastAsia="Calibri" w:hAnsiTheme="minorHAnsi" w:cs="Calibri"/>
          <w:i/>
          <w:sz w:val="22"/>
          <w:szCs w:val="22"/>
        </w:rPr>
        <w:t xml:space="preserve">M. barkeri </w:t>
      </w:r>
      <w:r w:rsidR="006E76D9">
        <w:rPr>
          <w:rFonts w:asciiTheme="minorHAnsi" w:eastAsia="Calibri" w:hAnsiTheme="minorHAnsi" w:cs="Calibri"/>
          <w:sz w:val="22"/>
          <w:szCs w:val="22"/>
        </w:rPr>
        <w:t xml:space="preserve">and the surface of PVC </w:t>
      </w:r>
      <w:r w:rsidR="006E76D9">
        <w:rPr>
          <w:rFonts w:asciiTheme="minorHAnsi" w:eastAsia="Calibri" w:hAnsiTheme="minorHAnsi" w:cs="Calibri"/>
          <w:sz w:val="22"/>
          <w:szCs w:val="22"/>
        </w:rPr>
        <w:fldChar w:fldCharType="begin" w:fldLock="1"/>
      </w:r>
      <w:r w:rsidR="007E3308">
        <w:rPr>
          <w:rFonts w:asciiTheme="minorHAnsi" w:eastAsia="Calibri" w:hAnsiTheme="minorHAnsi" w:cs="Calibri"/>
          <w:sz w:val="22"/>
          <w:szCs w:val="22"/>
        </w:rPr>
        <w:instrText>ADDIN CSL_CITATION { "citationItems" : [ { "id" : "ITEM-1", "itemData" : { "DOI" : "10.1099/mic.0.2008/018622-0", "ISBN" : "13500872 (ISSN)", "ISSN" : "13500872", "PMID" : "18832318", "abstract" : "Using a parallel-plate flow chamber, the hydrodynamic shear forces to prevent bacterial adhesion (F(prev)) and to detach adhering bacteria (F(det)) were evaluated for hydrophilic glass, hydrophobic, dimethyldichlorosilane (DDS)-coated glass and six different bacterial strains, in order to test the following three hypotheses. 1. A strong hydrodynamic shear force to prevent adhesion relates to a strong hydrodynamic shear force to detach an adhering organism. 2. A weak hydrodynamic shear force to detach adhering bacteria implies that more bacteria will be stimulated to detach by passing an air-liquid interface (an air bubble) through the flow chamber. 3. DLVO (Derjaguin, Landau, Verwey, Overbeek) interactions determine the characteristic hydrodynamic shear forces to prevent adhesion and to detach adhering micro-organisms as well as the detachment induced by a passing air-liquid interface. F(prev) varied from 0.03 to 0.70 pN, while F(det) varied from 0.31 to over 19.64 pN, suggesting that after initial contact, strengthening of the bond occurs. Generally, it was more difficult to detach bacteria from DDS-coated glass than from hydrophilic glass, which was confirmed by air bubble detachment studies. Calculated attractive forces based on the DLVO theory (F(DLVO)) towards the secondary interaction minimum were higher on glass than on DDS-coated glass. In general, all three hypotheses had to be rejected, showing that it is important to distinguish between forces acting parallel (hydrodynamic shear) and perpendicular (DLVO, air-liquid interface passages) to the substratum surface.", "author" : [ { "dropping-particle" : "", "family" : "Boks", "given" : "Niels P.", "non-dropping-particle" : "", "parse-names" : false, "suffix" : "" }, { "dropping-particle" : "", "family" : "Norde", "given" : "Willem", "non-dropping-particle" : "", "parse-names" : false, "suffix" : "" }, { "dropping-particle" : "", "family" : "Mei", "given" : "Henny C.", "non-dropping-particle" : "van der", "parse-names" : false, "suffix" : "" }, { "dropping-particle" : "", "family" : "Busscher", "given" : "Henk J.", "non-dropping-particle" : "", "parse-names" : false, "suffix" : "" } ], "container-title" : "Microbiology", "id" : "ITEM-1", "issue" : "10", "issued" : { "date-parts" : [ [ "2008" ] ] }, "page" : "3122-3133", "title" : "Forces involved in bacterial adhesion to hydrophilic and hydrophobic surfaces", "type" : "article-journal", "volume" : "154" }, "uris" : [ "http://www.mendeley.com/documents/?uuid=830c4b36-df5d-4eba-8d65-7d9f279dd9f0" ] } ], "mendeley" : { "formattedCitation" : "[185]", "plainTextFormattedCitation" : "[185]", "previouslyFormattedCitation" : "[185]" }, "properties" : { "noteIndex" : 0 }, "schema" : "https://github.com/citation-style-language/schema/raw/master/csl-citation.json" }</w:instrText>
      </w:r>
      <w:r w:rsidR="006E76D9">
        <w:rPr>
          <w:rFonts w:asciiTheme="minorHAnsi" w:eastAsia="Calibri" w:hAnsiTheme="minorHAnsi" w:cs="Calibri"/>
          <w:sz w:val="22"/>
          <w:szCs w:val="22"/>
        </w:rPr>
        <w:fldChar w:fldCharType="separate"/>
      </w:r>
      <w:r w:rsidR="007E3308" w:rsidRPr="007E3308">
        <w:rPr>
          <w:rFonts w:asciiTheme="minorHAnsi" w:eastAsia="Calibri" w:hAnsiTheme="minorHAnsi" w:cs="Calibri"/>
          <w:noProof/>
          <w:sz w:val="22"/>
          <w:szCs w:val="22"/>
        </w:rPr>
        <w:t>[185]</w:t>
      </w:r>
      <w:r w:rsidR="006E76D9">
        <w:rPr>
          <w:rFonts w:asciiTheme="minorHAnsi" w:eastAsia="Calibri" w:hAnsiTheme="minorHAnsi" w:cs="Calibri"/>
          <w:sz w:val="22"/>
          <w:szCs w:val="22"/>
        </w:rPr>
        <w:fldChar w:fldCharType="end"/>
      </w:r>
      <w:r w:rsidRPr="00C44D8C">
        <w:rPr>
          <w:rFonts w:asciiTheme="minorHAnsi" w:eastAsia="Calibri" w:hAnsiTheme="minorHAnsi" w:cs="Calibri"/>
          <w:sz w:val="22"/>
          <w:szCs w:val="22"/>
        </w:rPr>
        <w:t xml:space="preserve">. PVC’s highly polar surface combined with non-DLVO interactions, such as polymer interactions between the surface structures of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 xml:space="preserve">and the surface of PVC, could have promoted a more irreversible attachment. The other tested support materials proved to be poor biofilm carriers for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as a result of highly negatively charged surfaces, which were predicted by the xDLVO model to produce strong repulsive electrostatic interactions between the microbial and abiotic surface.</w:t>
      </w:r>
    </w:p>
    <w:p w14:paraId="17CC2972" w14:textId="33775B92" w:rsidR="00F23008" w:rsidRPr="00C44D8C" w:rsidRDefault="00F23008" w:rsidP="00F23008">
      <w:pPr>
        <w:spacing w:line="360" w:lineRule="auto"/>
        <w:ind w:firstLine="720"/>
        <w:rPr>
          <w:rFonts w:asciiTheme="minorHAnsi" w:eastAsia="Calibri" w:hAnsiTheme="minorHAnsi" w:cs="Calibri"/>
          <w:sz w:val="22"/>
          <w:szCs w:val="22"/>
        </w:rPr>
      </w:pPr>
      <w:r w:rsidRPr="00C44D8C">
        <w:rPr>
          <w:rFonts w:asciiTheme="minorHAnsi" w:eastAsia="Calibri" w:hAnsiTheme="minorHAnsi" w:cs="Calibri"/>
          <w:sz w:val="22"/>
          <w:szCs w:val="22"/>
        </w:rPr>
        <w:t xml:space="preserve">Chapters 4 and 5 sought to understand the biological factors underlying the patterns of differential adhesion of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 xml:space="preserve">to a good biofilm carrier (PVC) and to a poor biofilm carrier (PETG) during biofilm formation. Biofilm formation on PVC seemed to be associated with increased levels of </w:t>
      </w:r>
      <w:r w:rsidRPr="00C44D8C">
        <w:rPr>
          <w:rFonts w:asciiTheme="minorHAnsi" w:eastAsia="Calibri" w:hAnsiTheme="minorHAnsi"/>
          <w:color w:val="000000"/>
          <w:sz w:val="22"/>
          <w:szCs w:val="22"/>
        </w:rPr>
        <w:t>polysaccharides on the cell surface</w:t>
      </w:r>
      <w:r w:rsidRPr="00C44D8C">
        <w:rPr>
          <w:rFonts w:asciiTheme="minorHAnsi" w:eastAsia="Calibri" w:hAnsiTheme="minorHAnsi" w:cs="Calibri"/>
          <w:sz w:val="22"/>
          <w:szCs w:val="22"/>
        </w:rPr>
        <w:t>. This finding was concomitant across different surface characterisation techniques, such as FTIR, XPS, zeta potential and fluorescence microscopy. These methods highlighted different</w:t>
      </w:r>
      <w:r w:rsidRPr="00C44D8C">
        <w:rPr>
          <w:rFonts w:asciiTheme="minorHAnsi" w:eastAsia="Calibri" w:hAnsiTheme="minorHAnsi"/>
          <w:color w:val="000000"/>
          <w:sz w:val="22"/>
          <w:szCs w:val="22"/>
        </w:rPr>
        <w:t xml:space="preserve"> cell surface chemical profiles between biofilms attached to PVC and PETG, suggesting that biofilm formation on PVC incurred significant modifications to the polysaccharides on the cell </w:t>
      </w:r>
      <w:r w:rsidRPr="00C44D8C">
        <w:rPr>
          <w:rFonts w:asciiTheme="minorHAnsi" w:eastAsia="Calibri" w:hAnsiTheme="minorHAnsi"/>
          <w:color w:val="000000"/>
          <w:sz w:val="22"/>
          <w:szCs w:val="22"/>
        </w:rPr>
        <w:lastRenderedPageBreak/>
        <w:t xml:space="preserve">surface to perhaps facilitate a more irreversible attachment. Indeed, the production of surface polysaccharides during irreversible microbial adhesion is well documented in various microbial systems, and is as an adaptive response to a surface and the transition to a biofilm lifestyle </w:t>
      </w:r>
      <w:r w:rsidR="006E76D9">
        <w:rPr>
          <w:rFonts w:asciiTheme="minorHAnsi" w:eastAsia="Calibri" w:hAnsiTheme="minorHAnsi"/>
          <w:color w:val="000000"/>
          <w:sz w:val="22"/>
          <w:szCs w:val="22"/>
        </w:rPr>
        <w:fldChar w:fldCharType="begin" w:fldLock="1"/>
      </w:r>
      <w:r w:rsidR="00AF47D2">
        <w:rPr>
          <w:rFonts w:asciiTheme="minorHAnsi" w:eastAsia="Calibri" w:hAnsiTheme="minorHAnsi"/>
          <w:color w:val="000000"/>
          <w:sz w:val="22"/>
          <w:szCs w:val="22"/>
        </w:rPr>
        <w:instrText>ADDIN CSL_CITATION { "citationItems" : [ { "id" : "ITEM-1", "itemData" : { "DOI" : "10.1038/nrmicro2415", "ISSN" : "1740-1534", "PMID" : "20676145", "abstract" :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 "author" : [ { "dropping-particle" : "", "family" : "Flemming", "given" : "Hans-Curt", "non-dropping-particle" : "", "parse-names" : false, "suffix" : "" }, { "dropping-particle" : "", "family" : "Wingender", "given" : "Jost", "non-dropping-particle" : "", "parse-names" : false, "suffix" : "" } ], "container-title" : "Nature reviews. Microbiology", "id" : "ITEM-1", "issue" : "9", "issued" : { "date-parts" : [ [ "2010", "9" ] ] }, "page" : "623-33", "publisher" : "Nature Publishing Group", "title" : "The biofilm matrix.", "type" : "article-journal", "volume" : "8" }, "uris" : [ "http://www.mendeley.com/documents/?uuid=fe9f960b-59a2-4bd8-8a0d-3a3ef1a6a342" ] }, { "id" : "ITEM-2", "itemData" : { "DOI" : "10.1128/CMR.15.2.155", "author" : [ { "dropping-particle" : "", "family" : "Dunne", "given" : "W Michael", "non-dropping-particle" : "", "parse-names" : false, "suffix" : "" } ], "container-title" : "Clinical Microbiology Reviews", "id" : "ITEM-2", "issue" : "2", "issued" : { "date-parts" : [ [ "2002" ] ] }, "page" : "155-166", "title" : "Bacterial Adhesion : Seen Any Good Biofilms Lately ?", "type" : "article-journal", "volume" : "15" }, "uris" : [ "http://www.mendeley.com/documents/?uuid=ece23a4d-2182-4690-b9d9-594a4923f661" ] }, { "id" : "ITEM-3",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"ITEM-3", "issue" : "4", "issued" : { "date-parts" : [ [ "2000", "12" ] ] }, "page" : "847-67", "title" : "Microbial biofilms: from ecology to molecular genetics.", "type" : "article-journal", "volume" : "64" }, "uris" : [ "http://www.mendeley.com/documents/?uuid=b3c073e3-3e7c-47d0-bd4d-a0b3baf36aee" ] } ], "mendeley" : { "formattedCitation" : "[22,23,65]", "plainTextFormattedCitation" : "[22,23,65]", "previouslyFormattedCitation" : "[22,23,65]" }, "properties" : { "noteIndex" : 0 }, "schema" : "https://github.com/citation-style-language/schema/raw/master/csl-citation.json" }</w:instrText>
      </w:r>
      <w:r w:rsidR="006E76D9">
        <w:rPr>
          <w:rFonts w:asciiTheme="minorHAnsi" w:eastAsia="Calibri" w:hAnsiTheme="minorHAnsi"/>
          <w:color w:val="000000"/>
          <w:sz w:val="22"/>
          <w:szCs w:val="22"/>
        </w:rPr>
        <w:fldChar w:fldCharType="separate"/>
      </w:r>
      <w:r w:rsidR="00AF47D2" w:rsidRPr="00AF47D2">
        <w:rPr>
          <w:rFonts w:asciiTheme="minorHAnsi" w:eastAsia="Calibri" w:hAnsiTheme="minorHAnsi"/>
          <w:noProof/>
          <w:color w:val="000000"/>
          <w:sz w:val="22"/>
          <w:szCs w:val="22"/>
        </w:rPr>
        <w:t>[22,23,65]</w:t>
      </w:r>
      <w:r w:rsidR="006E76D9">
        <w:rPr>
          <w:rFonts w:asciiTheme="minorHAnsi" w:eastAsia="Calibri" w:hAnsiTheme="minorHAnsi"/>
          <w:color w:val="000000"/>
          <w:sz w:val="22"/>
          <w:szCs w:val="22"/>
        </w:rPr>
        <w:fldChar w:fldCharType="end"/>
      </w:r>
      <w:r w:rsidRPr="00C44D8C">
        <w:rPr>
          <w:rFonts w:asciiTheme="minorHAnsi" w:eastAsia="Calibri" w:hAnsiTheme="minorHAnsi"/>
          <w:color w:val="000000"/>
          <w:sz w:val="22"/>
          <w:szCs w:val="22"/>
        </w:rPr>
        <w:t xml:space="preserve">. </w:t>
      </w:r>
    </w:p>
    <w:p w14:paraId="0E5EA5CD" w14:textId="72DD4F8C" w:rsidR="00F23008" w:rsidRPr="00C44D8C" w:rsidRDefault="00F23008" w:rsidP="00F23008">
      <w:pPr>
        <w:spacing w:line="360" w:lineRule="auto"/>
        <w:ind w:firstLine="720"/>
        <w:rPr>
          <w:rFonts w:asciiTheme="minorHAnsi" w:eastAsia="Calibri" w:hAnsiTheme="minorHAnsi" w:cs="Dutch801BT-Roman"/>
          <w:sz w:val="22"/>
          <w:szCs w:val="22"/>
        </w:rPr>
      </w:pPr>
      <w:r w:rsidRPr="00C44D8C">
        <w:rPr>
          <w:rFonts w:asciiTheme="minorHAnsi" w:eastAsia="Calibri" w:hAnsiTheme="minorHAnsi"/>
          <w:color w:val="000000"/>
          <w:sz w:val="22"/>
          <w:szCs w:val="22"/>
        </w:rPr>
        <w:t xml:space="preserve">Upon examining the protein expression profiles of biofilms attached to PVC, it was interesting to find the </w:t>
      </w:r>
      <w:r w:rsidR="00833BC6">
        <w:rPr>
          <w:rFonts w:asciiTheme="minorHAnsi" w:hAnsiTheme="minorHAnsi"/>
          <w:color w:val="000000"/>
          <w:sz w:val="22"/>
          <w:szCs w:val="22"/>
          <w:lang w:eastAsia="en-GB"/>
        </w:rPr>
        <w:t>higher relative abundance</w:t>
      </w:r>
      <w:r w:rsidRPr="00C44D8C">
        <w:rPr>
          <w:rFonts w:asciiTheme="minorHAnsi" w:eastAsia="Calibri" w:hAnsiTheme="minorHAnsi"/>
          <w:color w:val="000000"/>
          <w:sz w:val="22"/>
          <w:szCs w:val="22"/>
        </w:rPr>
        <w:t xml:space="preserve"> of 730 proteins involved in methanogenesis, metabolism, energy production and cell growth compared to biofilms on PETG. The findings of increased cell surface polysaccharides in PVC biofilms as determined from the surface characterisation techniques used in chapter 4, were confirmed by the identification of numerous proteins </w:t>
      </w:r>
      <w:r w:rsidR="003D18AD">
        <w:rPr>
          <w:rFonts w:asciiTheme="minorHAnsi" w:hAnsiTheme="minorHAnsi"/>
          <w:color w:val="000000"/>
          <w:sz w:val="22"/>
          <w:szCs w:val="22"/>
          <w:lang w:eastAsia="en-GB"/>
        </w:rPr>
        <w:t>in higher relative abundance</w:t>
      </w:r>
      <w:r w:rsidR="003D18AD" w:rsidRPr="00C44D8C">
        <w:rPr>
          <w:rFonts w:asciiTheme="minorHAnsi" w:hAnsiTheme="minorHAnsi"/>
          <w:sz w:val="22"/>
          <w:szCs w:val="22"/>
          <w:lang w:eastAsia="en-GB"/>
        </w:rPr>
        <w:t xml:space="preserve"> </w:t>
      </w:r>
      <w:r w:rsidRPr="00C44D8C">
        <w:rPr>
          <w:rFonts w:asciiTheme="minorHAnsi" w:eastAsia="Calibri" w:hAnsiTheme="minorHAnsi"/>
          <w:color w:val="000000"/>
          <w:sz w:val="22"/>
          <w:szCs w:val="22"/>
        </w:rPr>
        <w:t xml:space="preserve">involved in cell surface biogenesis and EPS production in PVC biofilms compared to PETG biofilms. </w:t>
      </w:r>
    </w:p>
    <w:p w14:paraId="600B6377" w14:textId="2F41AEAA" w:rsidR="00F23008" w:rsidRPr="00C44D8C" w:rsidRDefault="00281CDA" w:rsidP="00F23008">
      <w:pPr>
        <w:autoSpaceDE w:val="0"/>
        <w:autoSpaceDN w:val="0"/>
        <w:adjustRightInd w:val="0"/>
        <w:spacing w:line="360" w:lineRule="auto"/>
        <w:ind w:firstLine="720"/>
        <w:rPr>
          <w:rFonts w:asciiTheme="minorHAnsi" w:eastAsia="Calibri" w:hAnsiTheme="minorHAnsi" w:cs="Minion-Regular"/>
          <w:sz w:val="22"/>
          <w:szCs w:val="22"/>
        </w:rPr>
      </w:pPr>
      <w:r>
        <w:rPr>
          <w:rFonts w:asciiTheme="minorHAnsi" w:eastAsia="Calibri" w:hAnsiTheme="minorHAnsi" w:cs="Calibri"/>
          <w:sz w:val="22"/>
          <w:szCs w:val="22"/>
        </w:rPr>
        <w:t>B</w:t>
      </w:r>
      <w:r w:rsidR="00F23008" w:rsidRPr="00C44D8C">
        <w:rPr>
          <w:rFonts w:asciiTheme="minorHAnsi" w:eastAsia="Calibri" w:hAnsiTheme="minorHAnsi" w:cs="Calibri"/>
          <w:sz w:val="22"/>
          <w:szCs w:val="22"/>
        </w:rPr>
        <w:t xml:space="preserve">iofilm formation in </w:t>
      </w:r>
      <w:r w:rsidR="00F23008" w:rsidRPr="00C44D8C">
        <w:rPr>
          <w:rFonts w:asciiTheme="minorHAnsi" w:eastAsia="Calibri" w:hAnsiTheme="minorHAnsi" w:cs="Calibri"/>
          <w:i/>
          <w:iCs/>
          <w:sz w:val="22"/>
          <w:szCs w:val="22"/>
        </w:rPr>
        <w:t>M. barkeri</w:t>
      </w:r>
      <w:r w:rsidR="00F23008" w:rsidRPr="00C44D8C">
        <w:rPr>
          <w:rFonts w:asciiTheme="minorHAnsi" w:eastAsia="Calibri" w:hAnsiTheme="minorHAnsi" w:cs="Calibri"/>
          <w:sz w:val="22"/>
          <w:szCs w:val="22"/>
        </w:rPr>
        <w:t xml:space="preserve"> </w:t>
      </w:r>
      <w:r>
        <w:rPr>
          <w:rFonts w:asciiTheme="minorHAnsi" w:eastAsia="Calibri" w:hAnsiTheme="minorHAnsi" w:cs="Calibri"/>
          <w:sz w:val="22"/>
          <w:szCs w:val="22"/>
        </w:rPr>
        <w:t xml:space="preserve">could </w:t>
      </w:r>
      <w:r w:rsidR="00F23008" w:rsidRPr="00C44D8C">
        <w:rPr>
          <w:rFonts w:asciiTheme="minorHAnsi" w:eastAsia="Calibri" w:hAnsiTheme="minorHAnsi" w:cs="Calibri"/>
          <w:sz w:val="22"/>
          <w:szCs w:val="22"/>
        </w:rPr>
        <w:t xml:space="preserve">proceed in a similar fashion to bacteria, in which the initial attachment and increasing accumulation of cells to a surface </w:t>
      </w:r>
      <w:r>
        <w:rPr>
          <w:rFonts w:asciiTheme="minorHAnsi" w:eastAsia="Calibri" w:hAnsiTheme="minorHAnsi" w:cs="Calibri"/>
          <w:sz w:val="22"/>
          <w:szCs w:val="22"/>
        </w:rPr>
        <w:t>triggers</w:t>
      </w:r>
      <w:r w:rsidR="00F23008" w:rsidRPr="00C44D8C">
        <w:rPr>
          <w:rFonts w:asciiTheme="minorHAnsi" w:eastAsia="Calibri" w:hAnsiTheme="minorHAnsi" w:cs="Calibri"/>
          <w:sz w:val="22"/>
          <w:szCs w:val="22"/>
        </w:rPr>
        <w:t xml:space="preserve"> key cell surface changes, such as the production of surface-associated polymers and EPS to facilitate irreversible attachment </w:t>
      </w:r>
      <w:r w:rsidR="006E76D9">
        <w:rPr>
          <w:rFonts w:asciiTheme="minorHAnsi" w:eastAsia="Calibri" w:hAnsiTheme="minorHAnsi" w:cs="Calibri"/>
          <w:sz w:val="22"/>
          <w:szCs w:val="22"/>
        </w:rPr>
        <w:fldChar w:fldCharType="begin" w:fldLock="1"/>
      </w:r>
      <w:r w:rsidR="007E3308">
        <w:rPr>
          <w:rFonts w:asciiTheme="minorHAnsi" w:eastAsia="Calibri" w:hAnsiTheme="minorHAnsi" w:cs="Calibri"/>
          <w:sz w:val="22"/>
          <w:szCs w:val="22"/>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"id" : "ITEM-2", "itemData" : { "DOI" : "10.1128/JB.00003-12", "author" : [ { "dropping-particle" : "", "family" : "Petrova", "given" : "Olga E", "non-dropping-particle" : "", "parse-names" : false, "suffix" : "" }, { "dropping-particle" : "", "family" : "Sauer", "given" : "Karin", "non-dropping-particle" : "", "parse-names" : false, "suffix" : "" } ], "container-title" : "Journal of bacteriology", "id" : "ITEM-2", "issued" : { "date-parts" : [ [ "2012" ] ] }, "page" : "2413-2425", "title" : "Sticky Situations : Key Components That Control Bacterial Surface Attachment", "type" : "article-journal", "volume" : "194" }, "uris" : [ "http://www.mendeley.com/documents/?uuid=357dd9db-802f-4459-aad1-d4649fa0d398" ] }, { "id" : "ITEM-3", "itemData" : { "author" : [ { "dropping-particle" : "", "family" : "Sutherland", "given" : "I W", "non-dropping-particle" : "", "parse-names" : false, "suffix" : "" } ], "container-title" : "Trends in Microbiology", "id" : "ITEM-3", "issue" : "5", "issued" : { "date-parts" : [ [ "2001" ] ] }, "page" : "222-227", "title" : "The biofilm matrix- An immobilized but dynamic microbial environments", "type" : "article-journal", "volume" : "9" }, "uris" : [ "http://www.mendeley.com/documents/?uuid=11185ee6-91fd-4a28-9715-40b487e36d12" ] } ], "mendeley" : { "formattedCitation" : "[22,190,193]", "plainTextFormattedCitation" : "[22,190,193]", "previouslyFormattedCitation" : "[22,190,193]" }, "properties" : { "noteIndex" : 0 }, "schema" : "https://github.com/citation-style-language/schema/raw/master/csl-citation.json" }</w:instrText>
      </w:r>
      <w:r w:rsidR="006E76D9">
        <w:rPr>
          <w:rFonts w:asciiTheme="minorHAnsi" w:eastAsia="Calibri" w:hAnsiTheme="minorHAnsi" w:cs="Calibri"/>
          <w:sz w:val="22"/>
          <w:szCs w:val="22"/>
        </w:rPr>
        <w:fldChar w:fldCharType="separate"/>
      </w:r>
      <w:r w:rsidR="007E3308" w:rsidRPr="007E3308">
        <w:rPr>
          <w:rFonts w:asciiTheme="minorHAnsi" w:eastAsia="Calibri" w:hAnsiTheme="minorHAnsi" w:cs="Calibri"/>
          <w:noProof/>
          <w:sz w:val="22"/>
          <w:szCs w:val="22"/>
        </w:rPr>
        <w:t>[22,190,193]</w:t>
      </w:r>
      <w:r w:rsidR="006E76D9">
        <w:rPr>
          <w:rFonts w:asciiTheme="minorHAnsi" w:eastAsia="Calibri" w:hAnsiTheme="minorHAnsi" w:cs="Calibri"/>
          <w:sz w:val="22"/>
          <w:szCs w:val="22"/>
        </w:rPr>
        <w:fldChar w:fldCharType="end"/>
      </w:r>
      <w:r w:rsidR="006E76D9">
        <w:rPr>
          <w:rFonts w:asciiTheme="minorHAnsi" w:eastAsia="Calibri" w:hAnsiTheme="minorHAnsi" w:cs="Calibri"/>
          <w:sz w:val="22"/>
          <w:szCs w:val="22"/>
        </w:rPr>
        <w:t xml:space="preserve">. </w:t>
      </w:r>
      <w:r w:rsidR="00F23008" w:rsidRPr="00C44D8C">
        <w:rPr>
          <w:rFonts w:asciiTheme="minorHAnsi" w:eastAsia="Calibri" w:hAnsiTheme="minorHAnsi" w:cs="Calibri"/>
          <w:sz w:val="22"/>
          <w:szCs w:val="22"/>
        </w:rPr>
        <w:t xml:space="preserve">The increased levels of cells, cell surface polysaccharides and </w:t>
      </w:r>
      <w:r w:rsidR="003D18AD">
        <w:rPr>
          <w:rFonts w:asciiTheme="minorHAnsi" w:hAnsiTheme="minorHAnsi"/>
          <w:color w:val="000000"/>
          <w:sz w:val="22"/>
          <w:szCs w:val="22"/>
          <w:lang w:eastAsia="en-GB"/>
        </w:rPr>
        <w:t>higher relative abundance</w:t>
      </w:r>
      <w:r w:rsidR="00F23008" w:rsidRPr="00C44D8C">
        <w:rPr>
          <w:rFonts w:asciiTheme="minorHAnsi" w:eastAsia="Calibri" w:hAnsiTheme="minorHAnsi" w:cs="Calibri"/>
          <w:sz w:val="22"/>
          <w:szCs w:val="22"/>
        </w:rPr>
        <w:t xml:space="preserve"> proteins involved in central metabolism, EPS production and energy production in biofilms attached to PVC, imply that biofilms were developing faster on this support material compared to PETG. </w:t>
      </w:r>
      <w:r w:rsidR="00F23008" w:rsidRPr="00C44D8C">
        <w:rPr>
          <w:rFonts w:asciiTheme="minorHAnsi" w:eastAsia="Calibri" w:hAnsiTheme="minorHAnsi" w:cs="Dutch801BT-Roman"/>
          <w:sz w:val="22"/>
          <w:szCs w:val="22"/>
        </w:rPr>
        <w:t xml:space="preserve">Therefore, PVC could be said to possess a surface that was </w:t>
      </w:r>
      <w:r w:rsidR="00F23008" w:rsidRPr="00C44D8C">
        <w:rPr>
          <w:rFonts w:asciiTheme="minorHAnsi" w:hAnsiTheme="minorHAnsi"/>
          <w:bCs/>
          <w:color w:val="000000"/>
          <w:sz w:val="22"/>
          <w:szCs w:val="22"/>
          <w:lang w:eastAsia="en-GB"/>
        </w:rPr>
        <w:t xml:space="preserve">physicochemically and biologically compatible to </w:t>
      </w:r>
      <w:r w:rsidR="00F23008" w:rsidRPr="00C44D8C">
        <w:rPr>
          <w:rFonts w:asciiTheme="minorHAnsi" w:hAnsiTheme="minorHAnsi"/>
          <w:bCs/>
          <w:i/>
          <w:color w:val="000000"/>
          <w:sz w:val="22"/>
          <w:szCs w:val="22"/>
          <w:lang w:eastAsia="en-GB"/>
        </w:rPr>
        <w:t xml:space="preserve">M. barkeri </w:t>
      </w:r>
      <w:r w:rsidR="00F23008" w:rsidRPr="00C44D8C">
        <w:rPr>
          <w:rFonts w:asciiTheme="minorHAnsi" w:hAnsiTheme="minorHAnsi"/>
          <w:bCs/>
          <w:color w:val="000000"/>
          <w:sz w:val="22"/>
          <w:szCs w:val="22"/>
          <w:lang w:eastAsia="en-GB"/>
        </w:rPr>
        <w:t xml:space="preserve">biofilm development, incurring </w:t>
      </w:r>
      <w:r w:rsidR="00F23008" w:rsidRPr="00C44D8C">
        <w:rPr>
          <w:rFonts w:asciiTheme="minorHAnsi" w:eastAsia="Calibri" w:hAnsiTheme="minorHAnsi" w:cs="Dutch801BT-Roman"/>
          <w:sz w:val="22"/>
          <w:szCs w:val="22"/>
        </w:rPr>
        <w:t>significant cell surface and proteomic changes to facilitate the transition to a biofilm lifestyle.</w:t>
      </w:r>
    </w:p>
    <w:p w14:paraId="2FF3BCB3" w14:textId="77777777" w:rsidR="00F23008" w:rsidRPr="00C44D8C" w:rsidRDefault="00F23008" w:rsidP="00F23008">
      <w:pPr>
        <w:spacing w:line="360" w:lineRule="auto"/>
        <w:ind w:firstLine="720"/>
        <w:rPr>
          <w:rFonts w:asciiTheme="minorHAnsi" w:eastAsia="Calibri" w:hAnsiTheme="minorHAnsi" w:cs="Calibri"/>
          <w:sz w:val="22"/>
          <w:szCs w:val="22"/>
        </w:rPr>
      </w:pPr>
      <w:r w:rsidRPr="00C44D8C">
        <w:rPr>
          <w:rFonts w:asciiTheme="minorHAnsi" w:eastAsia="Calibri" w:hAnsiTheme="minorHAnsi" w:cs="Calibri"/>
          <w:sz w:val="22"/>
          <w:szCs w:val="22"/>
        </w:rPr>
        <w:t>PETG elicited significantly lower levels of cells, cell surface polysaccharides and proteins involved in central metabolism, which are indicative of a much slower developmental stage of biofilm formation. This is unsurprising given that the repulsive surface characteristics of PETG may be delaying cell accumulation at the surface and therefore, consequent biofilm formation.</w:t>
      </w:r>
    </w:p>
    <w:p w14:paraId="24A067E5" w14:textId="139E0304" w:rsidR="00281CDA" w:rsidRPr="00281CDA" w:rsidRDefault="00F23008" w:rsidP="00281CDA">
      <w:pPr>
        <w:autoSpaceDE w:val="0"/>
        <w:autoSpaceDN w:val="0"/>
        <w:adjustRightInd w:val="0"/>
        <w:spacing w:line="360" w:lineRule="auto"/>
        <w:ind w:firstLine="720"/>
        <w:rPr>
          <w:rFonts w:asciiTheme="minorHAnsi" w:eastAsia="Calibri" w:hAnsiTheme="minorHAnsi" w:cs="Dutch801BT-Roman"/>
          <w:sz w:val="22"/>
          <w:szCs w:val="22"/>
        </w:rPr>
      </w:pPr>
      <w:r w:rsidRPr="00C44D8C">
        <w:rPr>
          <w:rFonts w:asciiTheme="minorHAnsi" w:eastAsia="Calibri" w:hAnsiTheme="minorHAnsi" w:cs="Calibri"/>
          <w:sz w:val="22"/>
          <w:szCs w:val="22"/>
        </w:rPr>
        <w:t>This thesis has shown that abiotic surfaces are important environmental factors for triggering different patterns of adhesion and biofilm formation, and can act as</w:t>
      </w:r>
      <w:r w:rsidRPr="00C44D8C">
        <w:rPr>
          <w:rFonts w:asciiTheme="minorHAnsi" w:eastAsia="Calibri" w:hAnsiTheme="minorHAnsi" w:cs="Minion-Regular"/>
          <w:sz w:val="22"/>
          <w:szCs w:val="22"/>
        </w:rPr>
        <w:t xml:space="preserve"> indicators of favourable conditions for biofilm growth and development</w:t>
      </w:r>
      <w:r w:rsidR="006E76D9">
        <w:rPr>
          <w:rFonts w:asciiTheme="minorHAnsi" w:eastAsia="Calibri" w:hAnsiTheme="minorHAnsi" w:cs="Minion-Regular"/>
          <w:sz w:val="22"/>
          <w:szCs w:val="22"/>
        </w:rPr>
        <w:t xml:space="preserve"> </w:t>
      </w:r>
      <w:r w:rsidR="006E76D9">
        <w:rPr>
          <w:rFonts w:asciiTheme="minorHAnsi" w:eastAsia="Calibri" w:hAnsiTheme="minorHAnsi" w:cs="Minion-Regular"/>
          <w:sz w:val="22"/>
          <w:szCs w:val="22"/>
        </w:rPr>
        <w:fldChar w:fldCharType="begin" w:fldLock="1"/>
      </w:r>
      <w:r w:rsidR="006E76D9">
        <w:rPr>
          <w:rFonts w:asciiTheme="minorHAnsi" w:eastAsia="Calibri" w:hAnsiTheme="minorHAnsi" w:cs="Minion-Regular"/>
          <w:sz w:val="22"/>
          <w:szCs w:val="22"/>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"mendeley" : { "formattedCitation" : "[22]", "plainTextFormattedCitation" : "[22]", "previouslyFormattedCitation" : "[22]" }, "properties" : { "noteIndex" : 0 }, "schema" : "https://github.com/citation-style-language/schema/raw/master/csl-citation.json" }</w:instrText>
      </w:r>
      <w:r w:rsidR="006E76D9">
        <w:rPr>
          <w:rFonts w:asciiTheme="minorHAnsi" w:eastAsia="Calibri" w:hAnsiTheme="minorHAnsi" w:cs="Minion-Regular"/>
          <w:sz w:val="22"/>
          <w:szCs w:val="22"/>
        </w:rPr>
        <w:fldChar w:fldCharType="separate"/>
      </w:r>
      <w:r w:rsidR="006E76D9" w:rsidRPr="006E76D9">
        <w:rPr>
          <w:rFonts w:asciiTheme="minorHAnsi" w:eastAsia="Calibri" w:hAnsiTheme="minorHAnsi" w:cs="Minion-Regular"/>
          <w:noProof/>
          <w:sz w:val="22"/>
          <w:szCs w:val="22"/>
        </w:rPr>
        <w:t>[22]</w:t>
      </w:r>
      <w:r w:rsidR="006E76D9">
        <w:rPr>
          <w:rFonts w:asciiTheme="minorHAnsi" w:eastAsia="Calibri" w:hAnsiTheme="minorHAnsi" w:cs="Minion-Regular"/>
          <w:sz w:val="22"/>
          <w:szCs w:val="22"/>
        </w:rPr>
        <w:fldChar w:fldCharType="end"/>
      </w:r>
      <w:r w:rsidRPr="00C44D8C">
        <w:rPr>
          <w:rFonts w:asciiTheme="minorHAnsi" w:eastAsia="Calibri" w:hAnsiTheme="minorHAnsi" w:cs="Minion-Regular"/>
          <w:sz w:val="22"/>
          <w:szCs w:val="22"/>
        </w:rPr>
        <w:t xml:space="preserve">. The selection of a good biofilm carrier, such as PVC, could promote the growth and biofilm development of </w:t>
      </w:r>
      <w:r w:rsidRPr="00C44D8C">
        <w:rPr>
          <w:rFonts w:asciiTheme="minorHAnsi" w:eastAsia="Calibri" w:hAnsiTheme="minorHAnsi" w:cs="Minion-Regular"/>
          <w:i/>
          <w:sz w:val="22"/>
          <w:szCs w:val="22"/>
        </w:rPr>
        <w:t xml:space="preserve">Methanosarcina </w:t>
      </w:r>
      <w:r w:rsidRPr="00C44D8C">
        <w:rPr>
          <w:rFonts w:asciiTheme="minorHAnsi" w:eastAsia="Calibri" w:hAnsiTheme="minorHAnsi" w:cs="Minion-Regular"/>
          <w:sz w:val="22"/>
          <w:szCs w:val="22"/>
        </w:rPr>
        <w:t>within AD reactors, whereas a poor choice of support material, such as PETG, could decrease the chances of retaining a high active biomass of methanogenic biofilms. The results from this thesis suggest that a</w:t>
      </w:r>
      <w:r w:rsidRPr="00C44D8C">
        <w:rPr>
          <w:rFonts w:asciiTheme="minorHAnsi" w:eastAsia="Calibri" w:hAnsiTheme="minorHAnsi" w:cs="Dutch801BT-Roman"/>
          <w:sz w:val="22"/>
          <w:szCs w:val="22"/>
        </w:rPr>
        <w:t xml:space="preserve">ppropriate support materials can be rationally chosen for the immobilisation of </w:t>
      </w:r>
      <w:r w:rsidRPr="00C44D8C">
        <w:rPr>
          <w:rFonts w:asciiTheme="minorHAnsi" w:eastAsia="Calibri" w:hAnsiTheme="minorHAnsi" w:cs="Dutch801BT-Roman"/>
          <w:i/>
          <w:sz w:val="22"/>
          <w:szCs w:val="22"/>
        </w:rPr>
        <w:t>M. barkeri</w:t>
      </w:r>
      <w:r w:rsidRPr="00C44D8C">
        <w:rPr>
          <w:rFonts w:asciiTheme="minorHAnsi" w:eastAsia="Calibri" w:hAnsiTheme="minorHAnsi" w:cs="Dutch801BT-Roman"/>
          <w:sz w:val="22"/>
          <w:szCs w:val="22"/>
        </w:rPr>
        <w:t xml:space="preserve"> based on an initial assessment of their surface characteristics, as suggested by previous studies</w:t>
      </w:r>
      <w:r w:rsidR="006E76D9">
        <w:rPr>
          <w:rFonts w:asciiTheme="minorHAnsi" w:eastAsia="Calibri" w:hAnsiTheme="minorHAnsi" w:cs="Dutch801BT-Roman"/>
          <w:sz w:val="22"/>
          <w:szCs w:val="22"/>
        </w:rPr>
        <w:t xml:space="preserve"> </w:t>
      </w:r>
      <w:r w:rsidR="006E76D9">
        <w:rPr>
          <w:rFonts w:asciiTheme="minorHAnsi" w:eastAsia="Calibri" w:hAnsiTheme="minorHAnsi" w:cs="Dutch801BT-Roman"/>
          <w:sz w:val="22"/>
          <w:szCs w:val="22"/>
        </w:rPr>
        <w:fldChar w:fldCharType="begin" w:fldLock="1"/>
      </w:r>
      <w:r w:rsidR="00AB0CFE">
        <w:rPr>
          <w:rFonts w:asciiTheme="minorHAnsi" w:eastAsia="Calibri" w:hAnsiTheme="minorHAnsi" w:cs="Dutch801BT-Roman"/>
          <w:sz w:val="22"/>
          <w:szCs w:val="22"/>
        </w:rPr>
        <w:instrText>ADDIN CSL_CITATION { "citationItems" : [ { "id" : "ITEM-1", "itemData" : { "DOI" : "10.1016/j.biortech.2010.12.023", "ISSN" : "1873-2976", "PMID" : "21211965", "abstract" : "In anaerobic wastewater treatment systems, the complex microbial biomass including Archaea and Bacteria can be retained as a biofilm attached to solid supports. The aim of this study was to evaluate the impact of specific properties of support material on early microbial adhesion. Seven different substrata are described in terms of topography and surface energy. Adhesion of a methanogenic consortium to these substrata was tested, the adhesion was quantified as a percentage of the surface area covered and the bacterial and archaeal community structures was assessed by molecular fingerprinting profiles (CE-SSCP). As expected, the overall adhesion on the supports was influenced mainly by total surface energy. Moreover, the adhered communities were different from the parent inocula, including the Archaea/Bacteria ratio. This could have a significant impact on the start-up of anaerobic digesters for which supports favoring Archaea adhesion, responsible for the limiting reaction of the process, should be preferred.", "author" : [ { "dropping-particle" : "", "family" : "Habouzit", "given" : "Fr\u00e9d\u00e9ric", "non-dropping-particle" : "", "parse-names" : false, "suffix" : "" }, { "dropping-particle" : "", "family" : "G\u00e9vaudan", "given" : "Ga\u00eblle", "non-dropping-particle" : "", "parse-names" : false, "suffix" : "" }, { "dropping-particle" : "", "family" : "Hamelin", "given" : "J\u00e9r\u00f4me", "non-dropping-particle" : "", "parse-names" : false, "suffix" : "" }, { "dropping-particle" : "", "family" : "Steyer", "given" : "Jean-Philippe", "non-dropping-particle" : "", "parse-names" : false, "suffix" : "" }, { "dropping-particle" : "", "family" : "Bernet", "given" : "Nicolas", "non-dropping-particle" : "", "parse-names" : false, "suffix" : "" } ], "container-title" : "Bioresource technology", "id" : "ITEM-1", "issue" : "5", "issued" : { "date-parts" : [ [ "2011", "3" ] ] }, "page" : "4054-60", "title" : "Influence of support material properties on the potential selection of Archaea during initial adhesion of a methanogenic consortium.", "type" : "article-journal", "volume" : "102" }, "uris" : [ "http://www.mendeley.com/documents/?uuid=4bf566e3-042c-46b5-9d07-ed10ce554bbb" ] }, { "id" : "ITEM-2", "itemData" : { "DOI" : "10.1111/1751-7915.12115", "ISSN" : "1751-7915", "PMID" : "24612643", "abstract" : "To evaluate the impact of the nature of the support material on its colonization by a methanogenic consortium, four substrata made of different materials: polyvinyl chloride, 2 polyethylene and polypropylene were tested during the start-up of lab-scale fixed-film reactors. The reactor performances were evaluated and compared together with the analysis of the biofilms. Biofilm growth was quantified and the structure of bacterial and archaeal communities were characterized by molecular fingerprinting profiles (capillary electrophoresis-single strand conformation polymorphism). The composition of the inoculum was shown to have a major impact on the bacterial composition of the biofilm, whatever the nature of the support material or the organic loading rate applied to the reactors during the start-up period. In contrast, the biofilm archaeal populations were independent of the inoculum used but highly dependent on the support material. Supports favouring Archaea colonization, the limiting factor in the overall process, should be preferred.", "author" : [ { "dropping-particle" : "", "family" : "Habouzit", "given" : "Fr\u00e9d\u00e9ric", "non-dropping-particle" : "", "parse-names" : false, "suffix" : "" }, { "dropping-particle" : "", "family" : "Hamelin", "given" : "J\u00e9r\u00f4me", "non-dropping-particle" : "", "parse-names" : false, "suffix" : "" }, { "dropping-particle" : "", "family" : "Santa-Catalina", "given" : "Ga\u00eblle", "non-dropping-particle" : "", "parse-names" : false, "suffix" : "" }, { "dropping-particle" : "", "family" : "Steyer", "given" : "Jean-P", "non-dropping-particle" : "", "parse-names" : false, "suffix" : "" }, { "dropping-particle" : "", "family" : "Bernet", "given" : "Nicolas", "non-dropping-particle" : "", "parse-names" : false, "suffix" : "" } ], "container-title" : "Microbial biotechnology", "id" : "ITEM-2", "issue" : "3", "issued" : { "date-parts" : [ [ "2014", "5" ] ] }, "page" : "257-64", "title" : "Biofilm development during the start-up period of anaerobic biofilm reactors: the biofilm Archaea community is highly dependent on the support material.", "type" : "article-journal", "volume" : "7" }, "uris" : [ "http://www.mendeley.com/documents/?uuid=5b3a22a0-d45a-4db7-9716-88119ba1ceb8" ] } ], "mendeley" : { "formattedCitation" : "[45,94]", "plainTextFormattedCitation" : "[45,94]", "previouslyFormattedCitation" : "[45,94]" }, "properties" : { "noteIndex" : 0 }, "schema" : "https://github.com/citation-style-language/schema/raw/master/csl-citation.json" }</w:instrText>
      </w:r>
      <w:r w:rsidR="006E76D9">
        <w:rPr>
          <w:rFonts w:asciiTheme="minorHAnsi" w:eastAsia="Calibri" w:hAnsiTheme="minorHAnsi" w:cs="Dutch801BT-Roman"/>
          <w:sz w:val="22"/>
          <w:szCs w:val="22"/>
        </w:rPr>
        <w:fldChar w:fldCharType="separate"/>
      </w:r>
      <w:r w:rsidR="00BB3D6F" w:rsidRPr="00BB3D6F">
        <w:rPr>
          <w:rFonts w:asciiTheme="minorHAnsi" w:eastAsia="Calibri" w:hAnsiTheme="minorHAnsi" w:cs="Dutch801BT-Roman"/>
          <w:noProof/>
          <w:sz w:val="22"/>
          <w:szCs w:val="22"/>
        </w:rPr>
        <w:t>[45,94]</w:t>
      </w:r>
      <w:r w:rsidR="006E76D9">
        <w:rPr>
          <w:rFonts w:asciiTheme="minorHAnsi" w:eastAsia="Calibri" w:hAnsiTheme="minorHAnsi" w:cs="Dutch801BT-Roman"/>
          <w:sz w:val="22"/>
          <w:szCs w:val="22"/>
        </w:rPr>
        <w:fldChar w:fldCharType="end"/>
      </w:r>
      <w:r w:rsidRPr="00C44D8C">
        <w:rPr>
          <w:rFonts w:asciiTheme="minorHAnsi" w:eastAsia="Calibri" w:hAnsiTheme="minorHAnsi" w:cs="Dutch801BT-Roman"/>
          <w:sz w:val="22"/>
          <w:szCs w:val="22"/>
        </w:rPr>
        <w:t xml:space="preserve">, which could be used </w:t>
      </w:r>
      <w:r w:rsidRPr="00C44D8C">
        <w:rPr>
          <w:rFonts w:asciiTheme="minorHAnsi" w:eastAsia="Calibri" w:hAnsiTheme="minorHAnsi" w:cs="Dutch801BT-Roman"/>
          <w:sz w:val="22"/>
          <w:szCs w:val="22"/>
        </w:rPr>
        <w:lastRenderedPageBreak/>
        <w:t>to guide the design of high rate AD reactors in both the Global North and South</w:t>
      </w:r>
      <w:r w:rsidRPr="00C44D8C">
        <w:rPr>
          <w:rFonts w:asciiTheme="minorHAnsi" w:eastAsia="Calibri" w:hAnsiTheme="minorHAnsi"/>
          <w:color w:val="000000"/>
          <w:sz w:val="22"/>
          <w:szCs w:val="22"/>
        </w:rPr>
        <w:t xml:space="preserve">. The </w:t>
      </w:r>
      <w:r w:rsidRPr="00C44D8C">
        <w:rPr>
          <w:rFonts w:asciiTheme="minorHAnsi" w:eastAsia="Calibri" w:hAnsiTheme="minorHAnsi" w:cs="Dutch801BT-Roman"/>
          <w:sz w:val="22"/>
          <w:szCs w:val="22"/>
        </w:rPr>
        <w:t>experimental workflow used in this thesis could provide a means for assessing the compatibility of support materials for the attachment of key methanogens within AD reactors.</w:t>
      </w:r>
    </w:p>
    <w:p w14:paraId="3C8A2730" w14:textId="79CB67F5" w:rsidR="00F23008" w:rsidRPr="00C44D8C" w:rsidRDefault="00F23008" w:rsidP="00697FE7">
      <w:pPr>
        <w:pStyle w:val="Heading1"/>
        <w:rPr>
          <w:i/>
          <w:lang w:eastAsia="en-GB"/>
        </w:rPr>
      </w:pPr>
      <w:bookmarkStart w:id="165" w:name="_Toc462575372"/>
      <w:r w:rsidRPr="00C44D8C">
        <w:rPr>
          <w:lang w:eastAsia="en-GB"/>
        </w:rPr>
        <w:t>6.3. Future work</w:t>
      </w:r>
      <w:bookmarkEnd w:id="165"/>
    </w:p>
    <w:p w14:paraId="1B0E32D5" w14:textId="77777777" w:rsidR="00F23008" w:rsidRPr="00C44D8C" w:rsidRDefault="00F23008" w:rsidP="00F23008">
      <w:pPr>
        <w:spacing w:line="360" w:lineRule="auto"/>
        <w:rPr>
          <w:rFonts w:asciiTheme="minorHAnsi" w:eastAsia="Calibri" w:hAnsiTheme="minorHAnsi"/>
          <w:i/>
          <w:sz w:val="22"/>
          <w:szCs w:val="22"/>
        </w:rPr>
      </w:pPr>
      <w:r w:rsidRPr="00C44D8C">
        <w:rPr>
          <w:rFonts w:asciiTheme="minorHAnsi" w:eastAsia="Calibri" w:hAnsiTheme="minorHAnsi"/>
          <w:sz w:val="22"/>
          <w:szCs w:val="22"/>
        </w:rPr>
        <w:t xml:space="preserve">The work from this thesis provided a framework in which to better understand biofilm formation in </w:t>
      </w:r>
      <w:r w:rsidRPr="00C44D8C">
        <w:rPr>
          <w:rFonts w:asciiTheme="minorHAnsi" w:eastAsia="Calibri" w:hAnsiTheme="minorHAnsi"/>
          <w:i/>
          <w:sz w:val="22"/>
          <w:szCs w:val="22"/>
        </w:rPr>
        <w:t xml:space="preserve">M. barkeri </w:t>
      </w:r>
      <w:r w:rsidRPr="00C44D8C">
        <w:rPr>
          <w:rFonts w:asciiTheme="minorHAnsi" w:eastAsia="Calibri" w:hAnsiTheme="minorHAnsi"/>
          <w:sz w:val="22"/>
          <w:szCs w:val="22"/>
        </w:rPr>
        <w:t xml:space="preserve">on different polymer support materials in high ionic and neutral pH aqueous environments. However, this has opened up further lines of investigation and opportunities for future work in understanding biofilm formation in </w:t>
      </w:r>
      <w:r w:rsidRPr="00C44D8C">
        <w:rPr>
          <w:rFonts w:asciiTheme="minorHAnsi" w:eastAsia="Calibri" w:hAnsiTheme="minorHAnsi"/>
          <w:i/>
          <w:sz w:val="22"/>
          <w:szCs w:val="22"/>
        </w:rPr>
        <w:t xml:space="preserve">M. barkeri. </w:t>
      </w:r>
    </w:p>
    <w:p w14:paraId="0AC0D96B" w14:textId="4DF5C354" w:rsidR="00F23008" w:rsidRPr="00C44D8C" w:rsidRDefault="00F23008" w:rsidP="00281CDA">
      <w:pPr>
        <w:spacing w:line="360" w:lineRule="auto"/>
        <w:ind w:firstLine="720"/>
        <w:rPr>
          <w:rFonts w:asciiTheme="minorHAnsi" w:eastAsia="Calibri" w:hAnsiTheme="minorHAnsi"/>
          <w:sz w:val="22"/>
          <w:szCs w:val="22"/>
        </w:rPr>
      </w:pPr>
      <w:r w:rsidRPr="00C44D8C">
        <w:rPr>
          <w:rFonts w:asciiTheme="minorHAnsi" w:eastAsia="Calibri" w:hAnsiTheme="minorHAnsi"/>
          <w:sz w:val="22"/>
          <w:szCs w:val="22"/>
        </w:rPr>
        <w:t xml:space="preserve">Future work should focus on the role of EPS in biofilm formation in </w:t>
      </w:r>
      <w:r w:rsidRPr="00C44D8C">
        <w:rPr>
          <w:rFonts w:asciiTheme="minorHAnsi" w:eastAsia="Calibri" w:hAnsiTheme="minorHAnsi"/>
          <w:i/>
          <w:sz w:val="22"/>
          <w:szCs w:val="22"/>
        </w:rPr>
        <w:t>M. barkeri</w:t>
      </w:r>
      <w:r w:rsidRPr="00C44D8C">
        <w:rPr>
          <w:rFonts w:asciiTheme="minorHAnsi" w:eastAsia="Calibri" w:hAnsiTheme="minorHAnsi"/>
          <w:sz w:val="22"/>
          <w:szCs w:val="22"/>
        </w:rPr>
        <w:t xml:space="preserve">, as the secretion of EPS is an important facet of facilitating irreversible adhesion to an abiotic surface </w:t>
      </w:r>
      <w:r w:rsidR="006E76D9">
        <w:rPr>
          <w:rFonts w:asciiTheme="minorHAnsi" w:eastAsia="Calibri" w:hAnsiTheme="minorHAnsi"/>
          <w:sz w:val="22"/>
          <w:szCs w:val="22"/>
        </w:rPr>
        <w:fldChar w:fldCharType="begin" w:fldLock="1"/>
      </w:r>
      <w:r w:rsidR="006E76D9">
        <w:rPr>
          <w:rFonts w:asciiTheme="minorHAnsi" w:eastAsia="Calibri" w:hAnsiTheme="minorHAnsi"/>
          <w:sz w:val="22"/>
          <w:szCs w:val="22"/>
        </w:rPr>
        <w:instrText>ADDIN CSL_CITATION { "citationItems" : [ { "id" : "ITEM-1", "itemData" : { "DOI" : "10.1038/nrmicro2415", "ISSN" : "1740-1534", "PMID" : "20676145", "abstract" :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 "author" : [ { "dropping-particle" : "", "family" : "Flemming", "given" : "Hans-Curt", "non-dropping-particle" : "", "parse-names" : false, "suffix" : "" }, { "dropping-particle" : "", "family" : "Wingender", "given" : "Jost", "non-dropping-particle" : "", "parse-names" : false, "suffix" : "" } ], "container-title" : "Nature reviews. Microbiology", "id" : "ITEM-1", "issue" : "9", "issued" : { "date-parts" : [ [ "2010", "9" ] ] }, "page" : "623-33", "publisher" : "Nature Publishing Group", "title" : "The biofilm matrix.", "type" : "article-journal", "volume" : "8" }, "uris" : [ "http://www.mendeley.com/documents/?uuid=fe9f960b-59a2-4bd8-8a0d-3a3ef1a6a342" ] } ], "mendeley" : { "formattedCitation" : "[23]", "plainTextFormattedCitation" : "[23]", "previouslyFormattedCitation" : "[23]" }, "properties" : { "noteIndex" : 0 }, "schema" : "https://github.com/citation-style-language/schema/raw/master/csl-citation.json" }</w:instrText>
      </w:r>
      <w:r w:rsidR="006E76D9">
        <w:rPr>
          <w:rFonts w:asciiTheme="minorHAnsi" w:eastAsia="Calibri" w:hAnsiTheme="minorHAnsi"/>
          <w:sz w:val="22"/>
          <w:szCs w:val="22"/>
        </w:rPr>
        <w:fldChar w:fldCharType="separate"/>
      </w:r>
      <w:r w:rsidR="006E76D9" w:rsidRPr="006E76D9">
        <w:rPr>
          <w:rFonts w:asciiTheme="minorHAnsi" w:eastAsia="Calibri" w:hAnsiTheme="minorHAnsi"/>
          <w:noProof/>
          <w:sz w:val="22"/>
          <w:szCs w:val="22"/>
        </w:rPr>
        <w:t>[23]</w:t>
      </w:r>
      <w:r w:rsidR="006E76D9">
        <w:rPr>
          <w:rFonts w:asciiTheme="minorHAnsi" w:eastAsia="Calibri" w:hAnsiTheme="minorHAnsi"/>
          <w:sz w:val="22"/>
          <w:szCs w:val="22"/>
        </w:rPr>
        <w:fldChar w:fldCharType="end"/>
      </w:r>
      <w:r w:rsidRPr="00C44D8C">
        <w:rPr>
          <w:rFonts w:asciiTheme="minorHAnsi" w:eastAsia="Calibri" w:hAnsiTheme="minorHAnsi"/>
          <w:sz w:val="22"/>
          <w:szCs w:val="22"/>
        </w:rPr>
        <w:t xml:space="preserve">. This thesis has suggested a key role of cell surface polysaccharides and EPS during biofilm formation in </w:t>
      </w:r>
      <w:r w:rsidRPr="00C44D8C">
        <w:rPr>
          <w:rFonts w:asciiTheme="minorHAnsi" w:eastAsia="Calibri" w:hAnsiTheme="minorHAnsi"/>
          <w:i/>
          <w:sz w:val="22"/>
          <w:szCs w:val="22"/>
        </w:rPr>
        <w:t xml:space="preserve">M. barkeri, </w:t>
      </w:r>
      <w:r w:rsidRPr="00C44D8C">
        <w:rPr>
          <w:rFonts w:asciiTheme="minorHAnsi" w:eastAsia="Calibri" w:hAnsiTheme="minorHAnsi"/>
          <w:sz w:val="22"/>
          <w:szCs w:val="22"/>
        </w:rPr>
        <w:t xml:space="preserve">but it would be interesting to further examine the composition of EPS and how it changes in response to attachment to different support materials. </w:t>
      </w:r>
      <w:r w:rsidR="00281CDA" w:rsidRPr="00C44D8C">
        <w:rPr>
          <w:rFonts w:asciiTheme="minorHAnsi" w:eastAsia="Calibri" w:hAnsiTheme="minorHAnsi"/>
          <w:sz w:val="22"/>
          <w:szCs w:val="22"/>
        </w:rPr>
        <w:t xml:space="preserve">Previous studies have highlighted distinct changes in EPS composition in biofilms as an adaptive response to different environmental conditions </w:t>
      </w:r>
      <w:r w:rsidR="00281CDA">
        <w:rPr>
          <w:rFonts w:asciiTheme="minorHAnsi" w:eastAsia="Calibri" w:hAnsiTheme="minorHAnsi"/>
          <w:sz w:val="22"/>
          <w:szCs w:val="22"/>
        </w:rPr>
        <w:fldChar w:fldCharType="begin" w:fldLock="1"/>
      </w:r>
      <w:r w:rsidR="00281CDA">
        <w:rPr>
          <w:rFonts w:asciiTheme="minorHAnsi" w:eastAsia="Calibri" w:hAnsiTheme="minorHAnsi"/>
          <w:sz w:val="22"/>
          <w:szCs w:val="22"/>
        </w:rPr>
        <w:instrText>ADDIN CSL_CITATION { "citationItems" : [ { "id" : "ITEM-1", "itemData" : { "DOI" : "10.1038/nrmicro821", "ISBN" : "1740-1526 (Print)\\r1740-1526 (Linking)", "ISSN" : "1740-1526", "PMID" : "15040259", "abstract" : "Biofilms--matrix-enclosed microbial accretions that adhere to biological or non-biological surfaces--represent a significant and incompletely understood mode of growth for bacteria. Biofilm formation appears early in the fossil record (approximately 3.25 billion years ago) and is common throughout a diverse range of organisms in both the Archaea and Bacteria lineages, including the 'living fossils' in the most deeply dividing branches of the phylogenetic tree. It is evident that biofilm formation is an ancient and integral component of the prokaryotic life cycle, and is a key factor for survival in diverse environments. Recent advances show that biofilms are structurally complex, dynamic systems with attributes of both primordial multicellular organisms and multifaceted ecosystems. Biofilm formation represents a protected mode of growth that allows cells to survive in hostile environments and also disperse to colonize new niches. The implications of these survival and propagative mechanisms in the context of both the natural environment and infectious diseases are discussed in this review.", "author" : [ { "dropping-particle" : "", "family" : "Hall-Stoodley", "given" : "Luanne", "non-dropping-particle" : "", "parse-names" : false, "suffix" : "" }, { "dropping-particle" : "", "family" : "Costerton", "given" : "J William", "non-dropping-particle" : "", "parse-names" : false, "suffix" : "" }, { "dropping-particle" : "", "family" : "Stoodley", "given" : "Paul", "non-dropping-particle" : "", "parse-names" : false, "suffix" : "" } ], "container-title" : "Nature reviews. Microbiology", "id" : "ITEM-1", "issue" : "2", "issued" : { "date-parts" : [ [ "2004" ] ] }, "page" : "95-108", "title" : "Bacterial biofilms: from the natural environment to infectious diseases.", "type" : "article-journal", "volume" : "2" }, "uris" : [ "http://www.mendeley.com/documents/?uuid=80ad09d6-5320-4093-a20b-c180a35631d4" ] } ], "mendeley" : { "formattedCitation" : "[29]", "plainTextFormattedCitation" : "[29]", "previouslyFormattedCitation" : "[29]" }, "properties" : { "noteIndex" : 0 }, "schema" : "https://github.com/citation-style-language/schema/raw/master/csl-citation.json" }</w:instrText>
      </w:r>
      <w:r w:rsidR="00281CDA">
        <w:rPr>
          <w:rFonts w:asciiTheme="minorHAnsi" w:eastAsia="Calibri" w:hAnsiTheme="minorHAnsi"/>
          <w:sz w:val="22"/>
          <w:szCs w:val="22"/>
        </w:rPr>
        <w:fldChar w:fldCharType="separate"/>
      </w:r>
      <w:r w:rsidR="00281CDA" w:rsidRPr="006E76D9">
        <w:rPr>
          <w:rFonts w:asciiTheme="minorHAnsi" w:eastAsia="Calibri" w:hAnsiTheme="minorHAnsi"/>
          <w:noProof/>
          <w:sz w:val="22"/>
          <w:szCs w:val="22"/>
        </w:rPr>
        <w:t>[29]</w:t>
      </w:r>
      <w:r w:rsidR="00281CDA">
        <w:rPr>
          <w:rFonts w:asciiTheme="minorHAnsi" w:eastAsia="Calibri" w:hAnsiTheme="minorHAnsi"/>
          <w:sz w:val="22"/>
          <w:szCs w:val="22"/>
        </w:rPr>
        <w:fldChar w:fldCharType="end"/>
      </w:r>
      <w:r w:rsidR="00281CDA">
        <w:rPr>
          <w:rFonts w:asciiTheme="minorHAnsi" w:eastAsia="Calibri" w:hAnsiTheme="minorHAnsi"/>
          <w:sz w:val="22"/>
          <w:szCs w:val="22"/>
        </w:rPr>
        <w:t xml:space="preserve">. </w:t>
      </w:r>
      <w:r w:rsidRPr="00C44D8C">
        <w:rPr>
          <w:rFonts w:asciiTheme="minorHAnsi" w:eastAsia="Calibri" w:hAnsiTheme="minorHAnsi"/>
          <w:sz w:val="22"/>
          <w:szCs w:val="22"/>
        </w:rPr>
        <w:t>There is no universal method for extracting EPS from microbial systems for analysis</w:t>
      </w:r>
      <w:r w:rsidR="006E76D9">
        <w:rPr>
          <w:rFonts w:asciiTheme="minorHAnsi" w:eastAsia="Calibri" w:hAnsiTheme="minorHAnsi"/>
          <w:sz w:val="22"/>
          <w:szCs w:val="22"/>
        </w:rPr>
        <w:t xml:space="preserve"> </w:t>
      </w:r>
      <w:r w:rsidR="006E76D9">
        <w:rPr>
          <w:rFonts w:asciiTheme="minorHAnsi" w:eastAsia="Calibri" w:hAnsiTheme="minorHAnsi"/>
          <w:sz w:val="22"/>
          <w:szCs w:val="22"/>
        </w:rPr>
        <w:fldChar w:fldCharType="begin" w:fldLock="1"/>
      </w:r>
      <w:r w:rsidR="006E76D9">
        <w:rPr>
          <w:rFonts w:asciiTheme="minorHAnsi" w:eastAsia="Calibri" w:hAnsiTheme="minorHAnsi"/>
          <w:sz w:val="22"/>
          <w:szCs w:val="22"/>
        </w:rPr>
        <w:instrText>ADDIN CSL_CITATION { "citationItems" : [ { "id" : "ITEM-1", "itemData" : { "DOI" : "10.1038/nrmicro2415", "ISSN" : "1740-1534", "PMID" : "20676145", "abstract" :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 "author" : [ { "dropping-particle" : "", "family" : "Flemming", "given" : "Hans-Curt", "non-dropping-particle" : "", "parse-names" : false, "suffix" : "" }, { "dropping-particle" : "", "family" : "Wingender", "given" : "Jost", "non-dropping-particle" : "", "parse-names" : false, "suffix" : "" } ], "container-title" : "Nature reviews. Microbiology", "id" : "ITEM-1", "issue" : "9", "issued" : { "date-parts" : [ [ "2010", "9" ] ] }, "page" : "623-33", "publisher" : "Nature Publishing Group", "title" : "The biofilm matrix.", "type" : "article-journal", "volume" : "8" }, "uris" : [ "http://www.mendeley.com/documents/?uuid=fe9f960b-59a2-4bd8-8a0d-3a3ef1a6a342" ] } ], "mendeley" : { "formattedCitation" : "[23]", "plainTextFormattedCitation" : "[23]", "previouslyFormattedCitation" : "[23]" }, "properties" : { "noteIndex" : 0 }, "schema" : "https://github.com/citation-style-language/schema/raw/master/csl-citation.json" }</w:instrText>
      </w:r>
      <w:r w:rsidR="006E76D9">
        <w:rPr>
          <w:rFonts w:asciiTheme="minorHAnsi" w:eastAsia="Calibri" w:hAnsiTheme="minorHAnsi"/>
          <w:sz w:val="22"/>
          <w:szCs w:val="22"/>
        </w:rPr>
        <w:fldChar w:fldCharType="separate"/>
      </w:r>
      <w:r w:rsidR="006E76D9" w:rsidRPr="006E76D9">
        <w:rPr>
          <w:rFonts w:asciiTheme="minorHAnsi" w:eastAsia="Calibri" w:hAnsiTheme="minorHAnsi"/>
          <w:noProof/>
          <w:sz w:val="22"/>
          <w:szCs w:val="22"/>
        </w:rPr>
        <w:t>[23]</w:t>
      </w:r>
      <w:r w:rsidR="006E76D9">
        <w:rPr>
          <w:rFonts w:asciiTheme="minorHAnsi" w:eastAsia="Calibri" w:hAnsiTheme="minorHAnsi"/>
          <w:sz w:val="22"/>
          <w:szCs w:val="22"/>
        </w:rPr>
        <w:fldChar w:fldCharType="end"/>
      </w:r>
      <w:r w:rsidRPr="00C44D8C">
        <w:rPr>
          <w:rFonts w:asciiTheme="minorHAnsi" w:eastAsia="Calibri" w:hAnsiTheme="minorHAnsi"/>
          <w:sz w:val="22"/>
          <w:szCs w:val="22"/>
        </w:rPr>
        <w:t xml:space="preserve">, but a combination of different EPS extraction methods and lectin-staining of EPS components could be used to provide </w:t>
      </w:r>
      <w:r w:rsidR="00281CDA">
        <w:rPr>
          <w:rFonts w:asciiTheme="minorHAnsi" w:eastAsia="Calibri" w:hAnsiTheme="minorHAnsi"/>
          <w:sz w:val="22"/>
          <w:szCs w:val="22"/>
        </w:rPr>
        <w:t>further</w:t>
      </w:r>
      <w:r w:rsidRPr="00C44D8C">
        <w:rPr>
          <w:rFonts w:asciiTheme="minorHAnsi" w:eastAsia="Calibri" w:hAnsiTheme="minorHAnsi"/>
          <w:sz w:val="22"/>
          <w:szCs w:val="22"/>
        </w:rPr>
        <w:t xml:space="preserve"> insight in the role of EPS during biofilm formation</w:t>
      </w:r>
      <w:r w:rsidR="00281CDA">
        <w:rPr>
          <w:rFonts w:asciiTheme="minorHAnsi" w:eastAsia="Calibri" w:hAnsiTheme="minorHAnsi"/>
          <w:sz w:val="22"/>
          <w:szCs w:val="22"/>
        </w:rPr>
        <w:t xml:space="preserve"> on different support materials in </w:t>
      </w:r>
      <w:r w:rsidR="00281CDA">
        <w:rPr>
          <w:rFonts w:asciiTheme="minorHAnsi" w:eastAsia="Calibri" w:hAnsiTheme="minorHAnsi"/>
          <w:i/>
          <w:sz w:val="22"/>
          <w:szCs w:val="22"/>
        </w:rPr>
        <w:t>M. barkeri</w:t>
      </w:r>
      <w:r w:rsidRPr="00C44D8C">
        <w:rPr>
          <w:rFonts w:asciiTheme="minorHAnsi" w:eastAsia="Calibri" w:hAnsiTheme="minorHAnsi"/>
          <w:sz w:val="22"/>
          <w:szCs w:val="22"/>
        </w:rPr>
        <w:t xml:space="preserve">. </w:t>
      </w:r>
    </w:p>
    <w:p w14:paraId="23618EA7" w14:textId="03ED2FE7" w:rsidR="00F23008" w:rsidRPr="00C44D8C" w:rsidRDefault="00F23008" w:rsidP="00F23008">
      <w:pPr>
        <w:spacing w:line="360" w:lineRule="auto"/>
        <w:ind w:firstLine="720"/>
        <w:rPr>
          <w:rFonts w:asciiTheme="minorHAnsi" w:eastAsia="Calibri" w:hAnsiTheme="minorHAnsi" w:cs="Calibri"/>
          <w:sz w:val="22"/>
          <w:szCs w:val="22"/>
        </w:rPr>
      </w:pPr>
      <w:r w:rsidRPr="00C44D8C">
        <w:rPr>
          <w:rFonts w:asciiTheme="minorHAnsi" w:eastAsia="Calibri" w:hAnsiTheme="minorHAnsi"/>
          <w:sz w:val="22"/>
          <w:szCs w:val="22"/>
        </w:rPr>
        <w:t xml:space="preserve">Another future research direction is to examine the cell surface composition and functional proteome of planktonic cells of </w:t>
      </w:r>
      <w:r w:rsidRPr="00C44D8C">
        <w:rPr>
          <w:rFonts w:asciiTheme="minorHAnsi" w:eastAsia="Calibri" w:hAnsiTheme="minorHAnsi"/>
          <w:i/>
          <w:sz w:val="22"/>
          <w:szCs w:val="22"/>
        </w:rPr>
        <w:t xml:space="preserve">M. barkeri </w:t>
      </w:r>
      <w:r w:rsidRPr="00C44D8C">
        <w:rPr>
          <w:rFonts w:asciiTheme="minorHAnsi" w:eastAsia="Calibri" w:hAnsiTheme="minorHAnsi"/>
          <w:sz w:val="22"/>
          <w:szCs w:val="22"/>
        </w:rPr>
        <w:t xml:space="preserve">in comparison to the studied biofilms in this thesis. </w:t>
      </w:r>
      <w:r w:rsidRPr="00C44D8C">
        <w:rPr>
          <w:rFonts w:asciiTheme="minorHAnsi" w:eastAsia="Calibri" w:hAnsiTheme="minorHAnsi" w:cs="Calibri"/>
          <w:sz w:val="22"/>
          <w:szCs w:val="22"/>
        </w:rPr>
        <w:t xml:space="preserve">It is widely understood that the transition from a planktonic to a biofilm lifestyle incurs significant changes in the metabolic capacity, cell surface composition and genetic programming of cells, </w:t>
      </w:r>
      <w:r w:rsidRPr="00C44D8C">
        <w:rPr>
          <w:rFonts w:asciiTheme="minorHAnsi" w:eastAsia="Calibri" w:hAnsiTheme="minorHAnsi"/>
          <w:sz w:val="22"/>
          <w:szCs w:val="22"/>
        </w:rPr>
        <w:t xml:space="preserve">and </w:t>
      </w:r>
      <w:r w:rsidRPr="00C44D8C">
        <w:rPr>
          <w:rFonts w:asciiTheme="minorHAnsi" w:eastAsia="Calibri" w:hAnsiTheme="minorHAnsi" w:cs="Calibri"/>
          <w:sz w:val="22"/>
          <w:szCs w:val="22"/>
        </w:rPr>
        <w:t xml:space="preserve">highlights the important intra- and extracellular changes that planktonic cells must undergo in order to adapt to a more sessile, biofilm lifestyle </w:t>
      </w:r>
      <w:r w:rsidR="002C211D">
        <w:rPr>
          <w:rFonts w:asciiTheme="minorHAnsi" w:eastAsia="Calibri" w:hAnsiTheme="minorHAnsi" w:cs="Calibri"/>
          <w:sz w:val="22"/>
          <w:szCs w:val="22"/>
        </w:rPr>
        <w:fldChar w:fldCharType="begin" w:fldLock="1"/>
      </w:r>
      <w:r w:rsidR="002C211D">
        <w:rPr>
          <w:rFonts w:asciiTheme="minorHAnsi" w:eastAsia="Calibri" w:hAnsiTheme="minorHAnsi" w:cs="Calibri"/>
          <w:sz w:val="22"/>
          <w:szCs w:val="22"/>
        </w:rPr>
        <w:instrText>ADDIN CSL_CITATION { "citationItems" : [ { "id" : "ITEM-1", "itemData" : { "ISSN" : "1092-2172", "PMID" : "11104821", "abstract" : "Biofilms are complex communities of microorganisms attached to surfaces or associated with interfaces. Despite the focus of modern microbiology research on pure culture, planktonic (free-swimming) bacteria, it is now widely recognized that most bacteria found in natural, clinical, and industrial settings persist in association with surfaces. Furthermore, these microbial communities are often composed of multiple species that interact with each other and their environment. The determination of biofilm architecture, particularly the spatial arrangement of microcolonies (clusters of cells) relative to one another, has profound implications for the function of these complex communities. Numerous new experimental approaches and methodologies have been developed in order to explore metabolic interactions, phylogenetic groupings, and competition among members of the biofilm. To complement this broad view of biofilm ecology, individual organisms have been studied using molecular genetics in order to identify the genes required for biofilm development and to dissect the regulatory pathways that control the plankton-to-biofilm transition. These molecular genetic studies have led to the emergence of the concept of biofilm formation as a novel system for the study of bacterial development. The recent explosion in the field of biofilm research has led to exciting progress in the development of new technologies for studying these communities, advanced our understanding of the ecological significance of surface-attached bacteria, and provided new insights into the molecular genetic basis of biofilm development.", "author" : [ { "dropping-particle" : "", "family" : "Davey", "given" : "M E", "non-dropping-particle" : "", "parse-names" : false, "suffix" : "" }, { "dropping-particle" : "", "family" : "O'toole", "given" : "G a", "non-dropping-particle" : "", "parse-names" : false, "suffix" : "" } ], "container-title" : "Microbiology and molecular biology reviews : MMBR", "id" : "ITEM-1", "issue" : "4", "issued" : { "date-parts" : [ [ "2000", "12" ] ] }, "page" : "847-67", "title" : "Microbial biofilms: from ecology to molecular genetics.", "type" : "article-journal", "volume" : "64" }, "uris" : [ "http://www.mendeley.com/documents/?uuid=b3c073e3-3e7c-47d0-bd4d-a0b3baf36aee" ] } ], "mendeley" : { "formattedCitation" : "[22]", "plainTextFormattedCitation" : "[22]", "previouslyFormattedCitation" : "[22]" }, "properties" : { "noteIndex" : 0 }, "schema" : "https://github.com/citation-style-language/schema/raw/master/csl-citation.json" }</w:instrText>
      </w:r>
      <w:r w:rsidR="002C211D">
        <w:rPr>
          <w:rFonts w:asciiTheme="minorHAnsi" w:eastAsia="Calibri" w:hAnsiTheme="minorHAnsi" w:cs="Calibri"/>
          <w:sz w:val="22"/>
          <w:szCs w:val="22"/>
        </w:rPr>
        <w:fldChar w:fldCharType="separate"/>
      </w:r>
      <w:r w:rsidR="002C211D" w:rsidRPr="002C211D">
        <w:rPr>
          <w:rFonts w:asciiTheme="minorHAnsi" w:eastAsia="Calibri" w:hAnsiTheme="minorHAnsi" w:cs="Calibri"/>
          <w:noProof/>
          <w:sz w:val="22"/>
          <w:szCs w:val="22"/>
        </w:rPr>
        <w:t>[22]</w:t>
      </w:r>
      <w:r w:rsidR="002C211D">
        <w:rPr>
          <w:rFonts w:asciiTheme="minorHAnsi" w:eastAsia="Calibri" w:hAnsiTheme="minorHAnsi" w:cs="Calibri"/>
          <w:sz w:val="22"/>
          <w:szCs w:val="22"/>
        </w:rPr>
        <w:fldChar w:fldCharType="end"/>
      </w:r>
      <w:r w:rsidR="002C211D">
        <w:rPr>
          <w:rFonts w:asciiTheme="minorHAnsi" w:eastAsia="Calibri" w:hAnsiTheme="minorHAnsi" w:cs="Calibri"/>
          <w:sz w:val="22"/>
          <w:szCs w:val="22"/>
        </w:rPr>
        <w:t xml:space="preserve">. </w:t>
      </w:r>
      <w:r w:rsidRPr="00C44D8C">
        <w:rPr>
          <w:rFonts w:asciiTheme="minorHAnsi" w:eastAsia="Calibri" w:hAnsiTheme="minorHAnsi"/>
          <w:sz w:val="22"/>
          <w:szCs w:val="22"/>
        </w:rPr>
        <w:t>Knowledge</w:t>
      </w:r>
      <w:r w:rsidRPr="00C44D8C">
        <w:rPr>
          <w:rFonts w:asciiTheme="minorHAnsi" w:eastAsia="Calibri" w:hAnsiTheme="minorHAnsi" w:cs="Calibri"/>
          <w:sz w:val="22"/>
          <w:szCs w:val="22"/>
        </w:rPr>
        <w:t xml:space="preserve"> of the underlying regulatory processes governing biofilm formation from the planktonic state in archaea are still not well known</w:t>
      </w:r>
      <w:r w:rsidR="002C211D">
        <w:rPr>
          <w:rFonts w:asciiTheme="minorHAnsi" w:eastAsia="Calibri" w:hAnsiTheme="minorHAnsi" w:cs="Calibri"/>
          <w:sz w:val="22"/>
          <w:szCs w:val="22"/>
        </w:rPr>
        <w:t xml:space="preserve"> </w:t>
      </w:r>
      <w:r w:rsidR="002C211D">
        <w:rPr>
          <w:rFonts w:asciiTheme="minorHAnsi" w:eastAsia="Calibri" w:hAnsiTheme="minorHAnsi" w:cs="Calibri"/>
          <w:sz w:val="22"/>
          <w:szCs w:val="22"/>
        </w:rPr>
        <w:fldChar w:fldCharType="begin" w:fldLock="1"/>
      </w:r>
      <w:r w:rsidR="002C211D">
        <w:rPr>
          <w:rFonts w:asciiTheme="minorHAnsi" w:eastAsia="Calibri" w:hAnsiTheme="minorHAnsi" w:cs="Calibri"/>
          <w:sz w:val="22"/>
          <w:szCs w:val="22"/>
        </w:rPr>
        <w:instrText>ADDIN CSL_CITATION { "citationItems" : [ { "id" : "ITEM-1", "itemData" : { "DOI" : "10.1146/annurev-micro-092412-155616", "ISBN" : "0924121556", "ISSN" : "1545-3251", "PMID" : "23808336", "abstract" : "Biofilms are currently viewed as the most common form in which microorganisms exist in nature. Bacterial biofilms play important roles in disease and industrial applications, and they have been studied in great detail. Although it is well accepted that archaea are not only the extremists they were thought to be as they occupy nearly every habitat where also bacteria are found, it is surprising how little molecular details are known about archaeal biofilm formation. Therefore, we aim to highlight the available information and indicate open questions in this field.", "author" : [ { "dropping-particle" : "", "family" : "Orell", "given" : "Alvaro", "non-dropping-particle" : "", "parse-names" : false, "suffix" : "" }, { "dropping-particle" : "", "family" : "Fr\u00f6ls", "given" : "Sabrina", "non-dropping-particle" : "", "parse-names" : false, "suffix" : "" }, { "dropping-particle" : "", "family" : "Albers", "given" : "Sonja-Verena", "non-dropping-particle" : "", "parse-names" : false, "suffix" : "" } ], "container-title" : "Annual review of microbiology", "id" : "ITEM-1", "issued" : { "date-parts" : [ [ "2013", "1" ] ] }, "page" : "337-54", "title" : "Archaeal biofilms: the great unexplored.", "type" : "article-journal", "volume" : "67" }, "uris" : [ "http://www.mendeley.com/documents/?uuid=dc3cb733-9675-4eba-a2c0-2241013452de" ] } ], "mendeley" : { "formattedCitation" : "[20]", "plainTextFormattedCitation" : "[20]", "previouslyFormattedCitation" : "[20]" }, "properties" : { "noteIndex" : 0 }, "schema" : "https://github.com/citation-style-language/schema/raw/master/csl-citation.json" }</w:instrText>
      </w:r>
      <w:r w:rsidR="002C211D">
        <w:rPr>
          <w:rFonts w:asciiTheme="minorHAnsi" w:eastAsia="Calibri" w:hAnsiTheme="minorHAnsi" w:cs="Calibri"/>
          <w:sz w:val="22"/>
          <w:szCs w:val="22"/>
        </w:rPr>
        <w:fldChar w:fldCharType="separate"/>
      </w:r>
      <w:r w:rsidR="002C211D" w:rsidRPr="002C211D">
        <w:rPr>
          <w:rFonts w:asciiTheme="minorHAnsi" w:eastAsia="Calibri" w:hAnsiTheme="minorHAnsi" w:cs="Calibri"/>
          <w:noProof/>
          <w:sz w:val="22"/>
          <w:szCs w:val="22"/>
        </w:rPr>
        <w:t>[20]</w:t>
      </w:r>
      <w:r w:rsidR="002C211D">
        <w:rPr>
          <w:rFonts w:asciiTheme="minorHAnsi" w:eastAsia="Calibri" w:hAnsiTheme="minorHAnsi" w:cs="Calibri"/>
          <w:sz w:val="22"/>
          <w:szCs w:val="22"/>
        </w:rPr>
        <w:fldChar w:fldCharType="end"/>
      </w:r>
      <w:r w:rsidR="002C211D">
        <w:rPr>
          <w:rFonts w:asciiTheme="minorHAnsi" w:eastAsia="Calibri" w:hAnsiTheme="minorHAnsi" w:cs="Calibri"/>
          <w:sz w:val="22"/>
          <w:szCs w:val="22"/>
        </w:rPr>
        <w:t xml:space="preserve">. </w:t>
      </w:r>
      <w:r w:rsidRPr="00C44D8C">
        <w:rPr>
          <w:rFonts w:asciiTheme="minorHAnsi" w:eastAsia="Calibri" w:hAnsiTheme="minorHAnsi" w:cs="Calibri"/>
          <w:sz w:val="22"/>
          <w:szCs w:val="22"/>
        </w:rPr>
        <w:t xml:space="preserve">Such information would be complementary to the work carried out in this thesis on biofilms of </w:t>
      </w:r>
      <w:r w:rsidRPr="00C44D8C">
        <w:rPr>
          <w:rFonts w:asciiTheme="minorHAnsi" w:eastAsia="Calibri" w:hAnsiTheme="minorHAnsi" w:cs="Calibri"/>
          <w:i/>
          <w:sz w:val="22"/>
          <w:szCs w:val="22"/>
        </w:rPr>
        <w:t>M. barkeri</w:t>
      </w:r>
      <w:r w:rsidRPr="00C44D8C">
        <w:rPr>
          <w:rFonts w:asciiTheme="minorHAnsi" w:eastAsia="Calibri" w:hAnsiTheme="minorHAnsi" w:cs="Calibri"/>
          <w:sz w:val="22"/>
          <w:szCs w:val="22"/>
        </w:rPr>
        <w:t xml:space="preserve">, and could shed light on some of the key processes underlying the transition of cells to a biofilm mode of growth on different support materials. </w:t>
      </w:r>
    </w:p>
    <w:p w14:paraId="70AA59A8" w14:textId="2B0B2B0B" w:rsidR="00F23008" w:rsidRPr="00C44D8C" w:rsidRDefault="00F23008" w:rsidP="00F23008">
      <w:pPr>
        <w:spacing w:line="360" w:lineRule="auto"/>
        <w:ind w:firstLine="720"/>
        <w:rPr>
          <w:rFonts w:asciiTheme="minorHAnsi" w:eastAsia="Calibri" w:hAnsiTheme="minorHAnsi" w:cs="Calibri"/>
          <w:sz w:val="22"/>
          <w:szCs w:val="22"/>
        </w:rPr>
      </w:pPr>
      <w:r w:rsidRPr="00C44D8C">
        <w:rPr>
          <w:rFonts w:asciiTheme="minorHAnsi" w:eastAsia="Calibri" w:hAnsiTheme="minorHAnsi" w:cs="Calibri"/>
          <w:sz w:val="22"/>
          <w:szCs w:val="22"/>
        </w:rPr>
        <w:t xml:space="preserve">In chapter 5, numerous uncharacterised proteins were identified in the proteome of biofilms attached to PVC. This is unsurprising given the large percentage of uncharacterised proteins in the total proteome of </w:t>
      </w:r>
      <w:r w:rsidRPr="00C44D8C">
        <w:rPr>
          <w:rFonts w:asciiTheme="minorHAnsi" w:eastAsia="Calibri" w:hAnsiTheme="minorHAnsi" w:cs="Calibri"/>
          <w:i/>
          <w:sz w:val="22"/>
          <w:szCs w:val="22"/>
        </w:rPr>
        <w:t xml:space="preserve">M. barkeri, </w:t>
      </w:r>
      <w:r w:rsidRPr="00C44D8C">
        <w:rPr>
          <w:rFonts w:asciiTheme="minorHAnsi" w:eastAsia="Calibri" w:hAnsiTheme="minorHAnsi" w:cs="Calibri"/>
          <w:sz w:val="22"/>
          <w:szCs w:val="22"/>
        </w:rPr>
        <w:t xml:space="preserve">yet investigating the </w:t>
      </w:r>
      <w:r w:rsidRPr="00C44D8C">
        <w:rPr>
          <w:rFonts w:asciiTheme="minorHAnsi" w:eastAsia="Calibri" w:hAnsiTheme="minorHAnsi" w:cs="Calibri"/>
          <w:sz w:val="22"/>
          <w:szCs w:val="22"/>
        </w:rPr>
        <w:lastRenderedPageBreak/>
        <w:t xml:space="preserve">correlation between these uncharacterised proteins to biofilm development would be an interesting </w:t>
      </w:r>
      <w:r w:rsidR="00281CDA">
        <w:rPr>
          <w:rFonts w:asciiTheme="minorHAnsi" w:eastAsia="Calibri" w:hAnsiTheme="minorHAnsi" w:cs="Calibri"/>
          <w:sz w:val="22"/>
          <w:szCs w:val="22"/>
        </w:rPr>
        <w:t>field</w:t>
      </w:r>
      <w:r w:rsidRPr="00C44D8C">
        <w:rPr>
          <w:rFonts w:asciiTheme="minorHAnsi" w:eastAsia="Calibri" w:hAnsiTheme="minorHAnsi" w:cs="Calibri"/>
          <w:sz w:val="22"/>
          <w:szCs w:val="22"/>
        </w:rPr>
        <w:t xml:space="preserve"> of research. </w:t>
      </w:r>
    </w:p>
    <w:p w14:paraId="523E7CB0" w14:textId="4DFD2474" w:rsidR="00F23008" w:rsidRPr="00C44D8C" w:rsidRDefault="00F23008" w:rsidP="00F23008">
      <w:pPr>
        <w:spacing w:line="360" w:lineRule="auto"/>
        <w:ind w:firstLine="720"/>
        <w:rPr>
          <w:rFonts w:asciiTheme="minorHAnsi" w:eastAsia="Calibri" w:hAnsiTheme="minorHAnsi"/>
          <w:sz w:val="22"/>
          <w:szCs w:val="22"/>
        </w:rPr>
      </w:pPr>
      <w:r w:rsidRPr="00C44D8C">
        <w:rPr>
          <w:rFonts w:asciiTheme="minorHAnsi" w:eastAsia="Calibri" w:hAnsiTheme="minorHAnsi"/>
          <w:sz w:val="22"/>
          <w:szCs w:val="22"/>
        </w:rPr>
        <w:t xml:space="preserve">This thesis has largely undertaken a biological investigation of biofilm formation in </w:t>
      </w:r>
      <w:r w:rsidRPr="00C44D8C">
        <w:rPr>
          <w:rFonts w:asciiTheme="minorHAnsi" w:eastAsia="Calibri" w:hAnsiTheme="minorHAnsi"/>
          <w:i/>
          <w:sz w:val="22"/>
          <w:szCs w:val="22"/>
        </w:rPr>
        <w:t xml:space="preserve">M. barkeri, </w:t>
      </w:r>
      <w:r w:rsidRPr="00C44D8C">
        <w:rPr>
          <w:rFonts w:asciiTheme="minorHAnsi" w:eastAsia="Calibri" w:hAnsiTheme="minorHAnsi"/>
          <w:sz w:val="22"/>
          <w:szCs w:val="22"/>
        </w:rPr>
        <w:t xml:space="preserve">yet in order to apply this knowledge to AD reactors in wastewater management, future research should examine whether PVC remains to be a good selective biofilm carrier for </w:t>
      </w:r>
      <w:r w:rsidRPr="00C44D8C">
        <w:rPr>
          <w:rFonts w:asciiTheme="minorHAnsi" w:eastAsia="Calibri" w:hAnsiTheme="minorHAnsi"/>
          <w:i/>
          <w:sz w:val="22"/>
          <w:szCs w:val="22"/>
        </w:rPr>
        <w:t xml:space="preserve">M. barkeri </w:t>
      </w:r>
      <w:r w:rsidRPr="00C44D8C">
        <w:rPr>
          <w:rFonts w:asciiTheme="minorHAnsi" w:eastAsia="Calibri" w:hAnsiTheme="minorHAnsi"/>
          <w:sz w:val="22"/>
          <w:szCs w:val="22"/>
        </w:rPr>
        <w:t>when placed</w:t>
      </w:r>
      <w:r w:rsidRPr="00C44D8C">
        <w:rPr>
          <w:rFonts w:asciiTheme="minorHAnsi" w:eastAsia="Calibri" w:hAnsiTheme="minorHAnsi"/>
          <w:i/>
          <w:sz w:val="22"/>
          <w:szCs w:val="22"/>
        </w:rPr>
        <w:t xml:space="preserve"> </w:t>
      </w:r>
      <w:r w:rsidRPr="00C44D8C">
        <w:rPr>
          <w:rFonts w:asciiTheme="minorHAnsi" w:eastAsia="Calibri" w:hAnsiTheme="minorHAnsi"/>
          <w:sz w:val="22"/>
          <w:szCs w:val="22"/>
        </w:rPr>
        <w:t>within a pilot-scale AD reactor treating actual high-strength domestic wastewater.</w:t>
      </w:r>
      <w:r w:rsidR="00DD63F5">
        <w:rPr>
          <w:rFonts w:asciiTheme="minorHAnsi" w:eastAsia="Calibri" w:hAnsiTheme="minorHAnsi"/>
          <w:sz w:val="22"/>
          <w:szCs w:val="22"/>
        </w:rPr>
        <w:t xml:space="preserve"> </w:t>
      </w:r>
      <w:r w:rsidR="00DD63F5" w:rsidRPr="00C44D8C">
        <w:rPr>
          <w:rFonts w:asciiTheme="minorHAnsi" w:eastAsia="Calibri" w:hAnsiTheme="minorHAnsi"/>
          <w:sz w:val="22"/>
          <w:szCs w:val="22"/>
        </w:rPr>
        <w:t xml:space="preserve">Previous studies have found PVC to possess a good capacity for retaining methanogenic archaea from a mixed species inoculum and improving biogas production within lab-scale AD reactors </w:t>
      </w:r>
      <w:r w:rsidR="00DD63F5">
        <w:rPr>
          <w:rFonts w:asciiTheme="minorHAnsi" w:eastAsia="Calibri" w:hAnsiTheme="minorHAnsi"/>
          <w:sz w:val="22"/>
          <w:szCs w:val="22"/>
        </w:rPr>
        <w:fldChar w:fldCharType="begin" w:fldLock="1"/>
      </w:r>
      <w:r w:rsidR="00F6573E">
        <w:rPr>
          <w:rFonts w:asciiTheme="minorHAnsi" w:eastAsia="Calibri" w:hAnsiTheme="minorHAnsi"/>
          <w:sz w:val="22"/>
          <w:szCs w:val="22"/>
        </w:rPr>
        <w:instrText>ADDIN CSL_CITATION { "citationItems" : [ { "id" : "ITEM-1", "itemData" : { "DOI" : "10.1111/1751-7915.12115", "ISSN" : "1751-7915", "PMID" : "24612643", "abstract" : "To evaluate the impact of the nature of the support material on its colonization by a methanogenic consortium, four substrata made of different materials: polyvinyl chloride, 2 polyethylene and polypropylene were tested during the start-up of lab-scale fixed-film reactors. The reactor performances were evaluated and compared together with the analysis of the biofilms. Biofilm growth was quantified and the structure of bacterial and archaeal communities were characterized by molecular fingerprinting profiles (capillary electrophoresis-single strand conformation polymorphism). The composition of the inoculum was shown to have a major impact on the bacterial composition of the biofilm, whatever the nature of the support material or the organic loading rate applied to the reactors during the start-up period. In contrast, the biofilm archaeal populations were independent of the inoculum used but highly dependent on the support material. Supports favouring Archaea colonization, the limiting factor in the overall process, should be preferred.", "author" : [ { "dropping-particle" : "", "family" : "Habouzit", "given" : "Fr\u00e9d\u00e9ric", "non-dropping-particle" : "", "parse-names" : false, "suffix" : "" }, { "dropping-particle" : "", "family" : "Hamelin", "given" : "J\u00e9r\u00f4me", "non-dropping-particle" : "", "parse-names" : false, "suffix" : "" }, { "dropping-particle" : "", "family" : "Santa-Catalina", "given" : "Ga\u00eblle", "non-dropping-particle" : "", "parse-names" : false, "suffix" : "" }, { "dropping-particle" : "", "family" : "Steyer", "given" : "Jean-P", "non-dropping-particle" : "", "parse-names" : false, "suffix" : "" }, { "dropping-particle" : "", "family" : "Bernet", "given" : "Nicolas", "non-dropping-particle" : "", "parse-names" : false, "suffix" : "" } ], "container-title" : "Microbial biotechnology", "id" : "ITEM-1", "issue" : "3", "issued" : { "date-parts" : [ [ "2014", "5" ] ] }, "page" : "257-64", "title" : "Biofilm development during the start-up period of anaerobic biofilm reactors: the biofilm Archaea community is highly dependent on the support material.", "type" : "article-journal", "volume" : "7" }, "uris" : [ "http://www.mendeley.com/documents/?uuid=5b3a22a0-d45a-4db7-9716-88119ba1ceb8" ] } ], "mendeley" : { "formattedCitation" : "[45]", "plainTextFormattedCitation" : "[45]", "previouslyFormattedCitation" : "[45]" }, "properties" : { "noteIndex" : 0 }, "schema" : "https://github.com/citation-style-language/schema/raw/master/csl-citation.json" }</w:instrText>
      </w:r>
      <w:r w:rsidR="00DD63F5">
        <w:rPr>
          <w:rFonts w:asciiTheme="minorHAnsi" w:eastAsia="Calibri" w:hAnsiTheme="minorHAnsi"/>
          <w:sz w:val="22"/>
          <w:szCs w:val="22"/>
        </w:rPr>
        <w:fldChar w:fldCharType="separate"/>
      </w:r>
      <w:r w:rsidR="00DD63F5" w:rsidRPr="003250CB">
        <w:rPr>
          <w:rFonts w:asciiTheme="minorHAnsi" w:eastAsia="Calibri" w:hAnsiTheme="minorHAnsi"/>
          <w:noProof/>
          <w:sz w:val="22"/>
          <w:szCs w:val="22"/>
        </w:rPr>
        <w:t>[45]</w:t>
      </w:r>
      <w:r w:rsidR="00DD63F5">
        <w:rPr>
          <w:rFonts w:asciiTheme="minorHAnsi" w:eastAsia="Calibri" w:hAnsiTheme="minorHAnsi"/>
          <w:sz w:val="22"/>
          <w:szCs w:val="22"/>
        </w:rPr>
        <w:fldChar w:fldCharType="end"/>
      </w:r>
      <w:r w:rsidR="00DD63F5">
        <w:rPr>
          <w:rFonts w:asciiTheme="minorHAnsi" w:eastAsia="Calibri" w:hAnsiTheme="minorHAnsi"/>
          <w:sz w:val="22"/>
          <w:szCs w:val="22"/>
        </w:rPr>
        <w:t xml:space="preserve">. </w:t>
      </w:r>
      <w:r w:rsidR="00DD63F5" w:rsidRPr="00C44D8C">
        <w:rPr>
          <w:rFonts w:asciiTheme="minorHAnsi" w:eastAsia="Calibri" w:hAnsiTheme="minorHAnsi"/>
          <w:sz w:val="22"/>
          <w:szCs w:val="22"/>
        </w:rPr>
        <w:t xml:space="preserve">Yet whether PVC brings about the same selective capacity for </w:t>
      </w:r>
      <w:r w:rsidR="00DD63F5">
        <w:rPr>
          <w:rFonts w:asciiTheme="minorHAnsi" w:eastAsia="Calibri" w:hAnsiTheme="minorHAnsi"/>
          <w:i/>
          <w:sz w:val="22"/>
          <w:szCs w:val="22"/>
        </w:rPr>
        <w:t xml:space="preserve">M. barkeri </w:t>
      </w:r>
      <w:r w:rsidR="00DD63F5" w:rsidRPr="00C44D8C">
        <w:rPr>
          <w:rFonts w:asciiTheme="minorHAnsi" w:eastAsia="Calibri" w:hAnsiTheme="minorHAnsi"/>
          <w:sz w:val="22"/>
          <w:szCs w:val="22"/>
        </w:rPr>
        <w:t xml:space="preserve">biofilms </w:t>
      </w:r>
      <w:r w:rsidR="00DD63F5">
        <w:rPr>
          <w:rFonts w:asciiTheme="minorHAnsi" w:eastAsia="Calibri" w:hAnsiTheme="minorHAnsi"/>
          <w:sz w:val="22"/>
          <w:szCs w:val="22"/>
        </w:rPr>
        <w:t xml:space="preserve">as observed in this thesis </w:t>
      </w:r>
      <w:r w:rsidR="00DD63F5" w:rsidRPr="00C44D8C">
        <w:rPr>
          <w:rFonts w:asciiTheme="minorHAnsi" w:eastAsia="Calibri" w:hAnsiTheme="minorHAnsi"/>
          <w:sz w:val="22"/>
          <w:szCs w:val="22"/>
        </w:rPr>
        <w:t xml:space="preserve">within AD reactors is </w:t>
      </w:r>
      <w:r w:rsidR="00DD63F5">
        <w:rPr>
          <w:rFonts w:asciiTheme="minorHAnsi" w:eastAsia="Calibri" w:hAnsiTheme="minorHAnsi"/>
          <w:sz w:val="22"/>
          <w:szCs w:val="22"/>
        </w:rPr>
        <w:t>an interesting area of research</w:t>
      </w:r>
      <w:r w:rsidR="00DD63F5" w:rsidRPr="00C44D8C">
        <w:rPr>
          <w:rFonts w:asciiTheme="minorHAnsi" w:eastAsia="Calibri" w:hAnsiTheme="minorHAnsi"/>
          <w:sz w:val="22"/>
          <w:szCs w:val="22"/>
        </w:rPr>
        <w:t xml:space="preserve">. </w:t>
      </w:r>
      <w:r w:rsidRPr="00C44D8C">
        <w:rPr>
          <w:rFonts w:asciiTheme="minorHAnsi" w:eastAsia="Calibri" w:hAnsiTheme="minorHAnsi"/>
          <w:sz w:val="22"/>
          <w:szCs w:val="22"/>
        </w:rPr>
        <w:t xml:space="preserve">In a complex substrate such as domestic wastewater, there exists a plethora of different microorganisms involved in the AD process, which could have a differential effect on the dynamics and development of </w:t>
      </w:r>
      <w:r w:rsidRPr="00C44D8C">
        <w:rPr>
          <w:rFonts w:asciiTheme="minorHAnsi" w:eastAsia="Calibri" w:hAnsiTheme="minorHAnsi"/>
          <w:i/>
          <w:sz w:val="22"/>
          <w:szCs w:val="22"/>
        </w:rPr>
        <w:t>M. barkeri</w:t>
      </w:r>
      <w:r w:rsidRPr="00C44D8C">
        <w:rPr>
          <w:rFonts w:asciiTheme="minorHAnsi" w:eastAsia="Calibri" w:hAnsiTheme="minorHAnsi"/>
          <w:sz w:val="22"/>
          <w:szCs w:val="22"/>
        </w:rPr>
        <w:t xml:space="preserve"> biofilms on PVC. Therefore, monitoring changes in the composition of methanogenic biofilms on PVC within AD reactors</w:t>
      </w:r>
      <w:r w:rsidR="00CF6FB3">
        <w:rPr>
          <w:rFonts w:asciiTheme="minorHAnsi" w:eastAsia="Calibri" w:hAnsiTheme="minorHAnsi"/>
          <w:sz w:val="22"/>
          <w:szCs w:val="22"/>
        </w:rPr>
        <w:t xml:space="preserve"> in response to competition from</w:t>
      </w:r>
      <w:r w:rsidRPr="00C44D8C">
        <w:rPr>
          <w:rFonts w:asciiTheme="minorHAnsi" w:eastAsia="Calibri" w:hAnsiTheme="minorHAnsi"/>
          <w:sz w:val="22"/>
          <w:szCs w:val="22"/>
        </w:rPr>
        <w:t xml:space="preserve"> other microorganisms of the AD microbiome would provide a more comprehensive understanding of biofilm formation in </w:t>
      </w:r>
      <w:r w:rsidRPr="00C44D8C">
        <w:rPr>
          <w:rFonts w:asciiTheme="minorHAnsi" w:eastAsia="Calibri" w:hAnsiTheme="minorHAnsi"/>
          <w:i/>
          <w:sz w:val="22"/>
          <w:szCs w:val="22"/>
        </w:rPr>
        <w:t xml:space="preserve">M. barkeri </w:t>
      </w:r>
      <w:r w:rsidRPr="00C44D8C">
        <w:rPr>
          <w:rFonts w:asciiTheme="minorHAnsi" w:eastAsia="Calibri" w:hAnsiTheme="minorHAnsi"/>
          <w:sz w:val="22"/>
          <w:szCs w:val="22"/>
        </w:rPr>
        <w:t xml:space="preserve">to this support material. </w:t>
      </w:r>
    </w:p>
    <w:p w14:paraId="0E11FC77" w14:textId="0E613A57" w:rsidR="00B44746" w:rsidRPr="00DD63F5" w:rsidRDefault="00DD63F5" w:rsidP="00F23008">
      <w:pPr>
        <w:spacing w:line="360" w:lineRule="auto"/>
        <w:ind w:firstLine="720"/>
        <w:rPr>
          <w:rFonts w:asciiTheme="minorHAnsi" w:eastAsia="Calibri" w:hAnsiTheme="minorHAnsi"/>
          <w:sz w:val="22"/>
          <w:szCs w:val="22"/>
        </w:rPr>
        <w:sectPr w:rsidR="00B44746" w:rsidRPr="00DD63F5" w:rsidSect="00DF337D">
          <w:pgSz w:w="11906" w:h="16838"/>
          <w:pgMar w:top="1418" w:right="1418" w:bottom="1418" w:left="2268" w:header="708" w:footer="708" w:gutter="0"/>
          <w:cols w:space="708"/>
          <w:docGrid w:linePitch="360"/>
        </w:sectPr>
      </w:pPr>
      <w:r>
        <w:rPr>
          <w:rFonts w:asciiTheme="minorHAnsi" w:eastAsia="Calibri" w:hAnsiTheme="minorHAnsi"/>
          <w:sz w:val="22"/>
          <w:szCs w:val="22"/>
        </w:rPr>
        <w:t>The process of biofilm formation is complex, and there are further complexities in understanding b</w:t>
      </w:r>
      <w:r w:rsidR="00F23008" w:rsidRPr="00C44D8C">
        <w:rPr>
          <w:rFonts w:asciiTheme="minorHAnsi" w:eastAsia="Calibri" w:hAnsiTheme="minorHAnsi"/>
          <w:sz w:val="22"/>
          <w:szCs w:val="22"/>
        </w:rPr>
        <w:t xml:space="preserve">iofilm formation </w:t>
      </w:r>
      <w:r>
        <w:rPr>
          <w:rFonts w:asciiTheme="minorHAnsi" w:eastAsia="Calibri" w:hAnsiTheme="minorHAnsi"/>
          <w:sz w:val="22"/>
          <w:szCs w:val="22"/>
        </w:rPr>
        <w:t>with</w:t>
      </w:r>
      <w:r w:rsidR="00F23008" w:rsidRPr="00C44D8C">
        <w:rPr>
          <w:rFonts w:asciiTheme="minorHAnsi" w:eastAsia="Calibri" w:hAnsiTheme="minorHAnsi"/>
          <w:sz w:val="22"/>
          <w:szCs w:val="22"/>
        </w:rPr>
        <w:t>in mixed environmental samples</w:t>
      </w:r>
      <w:r>
        <w:rPr>
          <w:rFonts w:asciiTheme="minorHAnsi" w:eastAsia="Calibri" w:hAnsiTheme="minorHAnsi"/>
          <w:sz w:val="22"/>
          <w:szCs w:val="22"/>
        </w:rPr>
        <w:t xml:space="preserve"> where multiple interactive relationships between</w:t>
      </w:r>
      <w:r w:rsidR="00990AE1">
        <w:rPr>
          <w:rFonts w:asciiTheme="minorHAnsi" w:eastAsia="Calibri" w:hAnsiTheme="minorHAnsi"/>
          <w:sz w:val="22"/>
          <w:szCs w:val="22"/>
        </w:rPr>
        <w:t xml:space="preserve"> different</w:t>
      </w:r>
      <w:r>
        <w:rPr>
          <w:rFonts w:asciiTheme="minorHAnsi" w:eastAsia="Calibri" w:hAnsiTheme="minorHAnsi"/>
          <w:sz w:val="22"/>
          <w:szCs w:val="22"/>
        </w:rPr>
        <w:t xml:space="preserve"> microorganisms can influence biofilm development [22]. This highlights the need</w:t>
      </w:r>
      <w:r w:rsidR="00F23008" w:rsidRPr="00C44D8C">
        <w:rPr>
          <w:rFonts w:asciiTheme="minorHAnsi" w:eastAsia="Calibri" w:hAnsiTheme="minorHAnsi"/>
          <w:sz w:val="22"/>
          <w:szCs w:val="22"/>
        </w:rPr>
        <w:t xml:space="preserve"> for a multidisciplinary approach in the study of biofilms.</w:t>
      </w:r>
      <w:r>
        <w:rPr>
          <w:rFonts w:asciiTheme="minorHAnsi" w:eastAsia="Calibri" w:hAnsiTheme="minorHAnsi"/>
          <w:sz w:val="22"/>
          <w:szCs w:val="22"/>
        </w:rPr>
        <w:t xml:space="preserve"> This thesis has</w:t>
      </w:r>
      <w:r w:rsidR="00281CDA">
        <w:rPr>
          <w:rFonts w:asciiTheme="minorHAnsi" w:eastAsia="Calibri" w:hAnsiTheme="minorHAnsi"/>
          <w:sz w:val="22"/>
          <w:szCs w:val="22"/>
        </w:rPr>
        <w:t xml:space="preserve"> scratched the surface of understanding biofilm formation in </w:t>
      </w:r>
      <w:r w:rsidR="00281CDA">
        <w:rPr>
          <w:rFonts w:asciiTheme="minorHAnsi" w:eastAsia="Calibri" w:hAnsiTheme="minorHAnsi"/>
          <w:i/>
          <w:sz w:val="22"/>
          <w:szCs w:val="22"/>
        </w:rPr>
        <w:t xml:space="preserve">M. barkeri </w:t>
      </w:r>
      <w:r w:rsidR="00281CDA">
        <w:rPr>
          <w:rFonts w:asciiTheme="minorHAnsi" w:eastAsia="Calibri" w:hAnsiTheme="minorHAnsi"/>
          <w:sz w:val="22"/>
          <w:szCs w:val="22"/>
        </w:rPr>
        <w:t>to different support materials</w:t>
      </w:r>
      <w:r>
        <w:rPr>
          <w:rFonts w:asciiTheme="minorHAnsi" w:eastAsia="Calibri" w:hAnsiTheme="minorHAnsi"/>
          <w:sz w:val="22"/>
          <w:szCs w:val="22"/>
        </w:rPr>
        <w:t xml:space="preserve"> by using a multifaceted approach</w:t>
      </w:r>
      <w:r w:rsidR="00990AE1">
        <w:rPr>
          <w:rFonts w:asciiTheme="minorHAnsi" w:eastAsia="Calibri" w:hAnsiTheme="minorHAnsi"/>
          <w:sz w:val="22"/>
          <w:szCs w:val="22"/>
        </w:rPr>
        <w:t xml:space="preserve"> </w:t>
      </w:r>
      <w:r>
        <w:rPr>
          <w:rFonts w:asciiTheme="minorHAnsi" w:eastAsia="Calibri" w:hAnsiTheme="minorHAnsi"/>
          <w:sz w:val="22"/>
          <w:szCs w:val="22"/>
        </w:rPr>
        <w:t xml:space="preserve">spanning </w:t>
      </w:r>
      <w:r w:rsidR="00990AE1">
        <w:rPr>
          <w:rFonts w:asciiTheme="minorHAnsi" w:eastAsia="Calibri" w:hAnsiTheme="minorHAnsi"/>
          <w:sz w:val="22"/>
          <w:szCs w:val="22"/>
        </w:rPr>
        <w:t xml:space="preserve">different disciplines. Such an approach is needed for studying complex biofilms in environmental samples, such as in AD reactors, and requires an interdisciplinary </w:t>
      </w:r>
      <w:r w:rsidR="00AE4D71">
        <w:rPr>
          <w:rFonts w:asciiTheme="minorHAnsi" w:eastAsia="Calibri" w:hAnsiTheme="minorHAnsi"/>
          <w:sz w:val="22"/>
          <w:szCs w:val="22"/>
        </w:rPr>
        <w:t>way of thinking</w:t>
      </w:r>
      <w:r w:rsidR="00990AE1">
        <w:rPr>
          <w:rFonts w:asciiTheme="minorHAnsi" w:eastAsia="Calibri" w:hAnsiTheme="minorHAnsi"/>
          <w:sz w:val="22"/>
          <w:szCs w:val="22"/>
        </w:rPr>
        <w:t xml:space="preserve"> to </w:t>
      </w:r>
      <w:r>
        <w:rPr>
          <w:rFonts w:asciiTheme="minorHAnsi" w:eastAsia="Calibri" w:hAnsiTheme="minorHAnsi"/>
          <w:sz w:val="22"/>
          <w:szCs w:val="22"/>
        </w:rPr>
        <w:t>uncover the mechanis</w:t>
      </w:r>
      <w:r w:rsidR="00CF6FB3">
        <w:rPr>
          <w:rFonts w:asciiTheme="minorHAnsi" w:eastAsia="Calibri" w:hAnsiTheme="minorHAnsi"/>
          <w:sz w:val="22"/>
          <w:szCs w:val="22"/>
        </w:rPr>
        <w:t>ms of methanogenic biofilm formation</w:t>
      </w:r>
      <w:r w:rsidR="00990AE1">
        <w:rPr>
          <w:rFonts w:asciiTheme="minorHAnsi" w:eastAsia="Calibri" w:hAnsiTheme="minorHAnsi"/>
          <w:sz w:val="22"/>
          <w:szCs w:val="22"/>
        </w:rPr>
        <w:t xml:space="preserve"> to facilitate </w:t>
      </w:r>
      <w:r>
        <w:rPr>
          <w:rFonts w:asciiTheme="minorHAnsi" w:eastAsia="Calibri" w:hAnsiTheme="minorHAnsi"/>
          <w:sz w:val="22"/>
          <w:szCs w:val="22"/>
        </w:rPr>
        <w:t>heavy duty biomethanation</w:t>
      </w:r>
      <w:r w:rsidR="00990AE1">
        <w:rPr>
          <w:rFonts w:asciiTheme="minorHAnsi" w:eastAsia="Calibri" w:hAnsiTheme="minorHAnsi"/>
          <w:sz w:val="22"/>
          <w:szCs w:val="22"/>
        </w:rPr>
        <w:t xml:space="preserve"> </w:t>
      </w:r>
      <w:r w:rsidR="00CF6FB3">
        <w:rPr>
          <w:rFonts w:asciiTheme="minorHAnsi" w:eastAsia="Calibri" w:hAnsiTheme="minorHAnsi"/>
          <w:sz w:val="22"/>
          <w:szCs w:val="22"/>
        </w:rPr>
        <w:t>from AD</w:t>
      </w:r>
      <w:r>
        <w:rPr>
          <w:rFonts w:asciiTheme="minorHAnsi" w:eastAsia="Calibri" w:hAnsiTheme="minorHAnsi"/>
          <w:sz w:val="22"/>
          <w:szCs w:val="22"/>
        </w:rPr>
        <w:t>.</w:t>
      </w:r>
    </w:p>
    <w:p w14:paraId="5B357B2C" w14:textId="2DC33A9A" w:rsidR="005128E0" w:rsidRPr="002C211D" w:rsidRDefault="005128E0" w:rsidP="002C211D">
      <w:pPr>
        <w:pStyle w:val="Heading1"/>
      </w:pPr>
      <w:bookmarkStart w:id="166" w:name="_Toc462575373"/>
      <w:r w:rsidRPr="002C211D">
        <w:lastRenderedPageBreak/>
        <w:t>References</w:t>
      </w:r>
      <w:bookmarkEnd w:id="166"/>
    </w:p>
    <w:p w14:paraId="1CC56956" w14:textId="33569860" w:rsidR="007E3308" w:rsidRPr="007E3308" w:rsidRDefault="002C211D" w:rsidP="007E3308">
      <w:pPr>
        <w:widowControl w:val="0"/>
        <w:autoSpaceDE w:val="0"/>
        <w:autoSpaceDN w:val="0"/>
        <w:adjustRightInd w:val="0"/>
        <w:spacing w:line="360" w:lineRule="auto"/>
        <w:ind w:left="640" w:hanging="640"/>
        <w:rPr>
          <w:rFonts w:ascii="Calibri" w:hAnsi="Calibri" w:cs="Calibri"/>
          <w:noProof/>
          <w:sz w:val="22"/>
          <w:szCs w:val="24"/>
        </w:rPr>
      </w:pPr>
      <w:r w:rsidRPr="002C211D">
        <w:rPr>
          <w:rFonts w:asciiTheme="minorHAnsi" w:hAnsiTheme="minorHAnsi"/>
          <w:sz w:val="22"/>
          <w:szCs w:val="22"/>
        </w:rPr>
        <w:fldChar w:fldCharType="begin" w:fldLock="1"/>
      </w:r>
      <w:r w:rsidRPr="002C211D">
        <w:rPr>
          <w:rFonts w:asciiTheme="minorHAnsi" w:hAnsiTheme="minorHAnsi"/>
          <w:sz w:val="22"/>
          <w:szCs w:val="22"/>
        </w:rPr>
        <w:instrText xml:space="preserve">ADDIN Mendeley Bibliography CSL_BIBLIOGRAPHY </w:instrText>
      </w:r>
      <w:r w:rsidRPr="002C211D">
        <w:rPr>
          <w:rFonts w:asciiTheme="minorHAnsi" w:hAnsiTheme="minorHAnsi"/>
          <w:sz w:val="22"/>
          <w:szCs w:val="22"/>
        </w:rPr>
        <w:fldChar w:fldCharType="separate"/>
      </w:r>
      <w:r w:rsidR="007E3308" w:rsidRPr="007E3308">
        <w:rPr>
          <w:rFonts w:ascii="Calibri" w:hAnsi="Calibri" w:cs="Calibri"/>
          <w:noProof/>
          <w:sz w:val="22"/>
          <w:szCs w:val="24"/>
        </w:rPr>
        <w:t>[1]</w:t>
      </w:r>
      <w:r w:rsidR="007E3308" w:rsidRPr="007E3308">
        <w:rPr>
          <w:rFonts w:ascii="Calibri" w:hAnsi="Calibri" w:cs="Calibri"/>
          <w:noProof/>
          <w:sz w:val="22"/>
          <w:szCs w:val="24"/>
        </w:rPr>
        <w:tab/>
        <w:t>D. Mara, Domestic wastewater treatment in developing countries, 2004. doi:10.1017/CBO9781107415324.004.</w:t>
      </w:r>
    </w:p>
    <w:p w14:paraId="5C66B78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w:t>
      </w:r>
      <w:r w:rsidRPr="007E3308">
        <w:rPr>
          <w:rFonts w:ascii="Calibri" w:hAnsi="Calibri" w:cs="Calibri"/>
          <w:noProof/>
          <w:sz w:val="22"/>
          <w:szCs w:val="24"/>
        </w:rPr>
        <w:tab/>
        <w:t>S. Aiyuk, I. Forrez, D.K. Lieven, A. van Haandel, W. Verstraete, Anaerobic and complementary treatment of domestic sewage in regions with hot climates-A review, Bioresour. Technol. 97 (2006) 2225–2241. doi:10.1016/j.biortech.2005.05.015.</w:t>
      </w:r>
    </w:p>
    <w:p w14:paraId="6B9B5AC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w:t>
      </w:r>
      <w:r w:rsidRPr="007E3308">
        <w:rPr>
          <w:rFonts w:ascii="Calibri" w:hAnsi="Calibri" w:cs="Calibri"/>
          <w:noProof/>
          <w:sz w:val="22"/>
          <w:szCs w:val="24"/>
        </w:rPr>
        <w:tab/>
        <w:t>H. Corcoran, E., Nellemann, C., Baker, E., Bos, R., Osborn, D., Savelli, SICK WATER ? THE CENTRAL ROLE OF WASTEWATER MANAGEMENT IN SUSTAINABLE DEVELOPMENT, 2010.</w:t>
      </w:r>
    </w:p>
    <w:p w14:paraId="41F59E77" w14:textId="05D66C8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w:t>
      </w:r>
      <w:r w:rsidRPr="007E3308">
        <w:rPr>
          <w:rFonts w:ascii="Calibri" w:hAnsi="Calibri" w:cs="Calibri"/>
          <w:noProof/>
          <w:sz w:val="22"/>
          <w:szCs w:val="24"/>
        </w:rPr>
        <w:tab/>
        <w:t xml:space="preserve"> Y. Katukiza, M. Ronteltap, C.B. Niwagaba, J.W. a Foppen, F. Kansiime, P.N.L. Lens, Sustainable sanitation technology options for urban slums., Biotechnol. Adv. 30 (2012) 964–78. doi:10.1016/j.biotechadv.2012.02.007.</w:t>
      </w:r>
    </w:p>
    <w:p w14:paraId="06CD1AE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w:t>
      </w:r>
      <w:r w:rsidRPr="007E3308">
        <w:rPr>
          <w:rFonts w:ascii="Calibri" w:hAnsi="Calibri" w:cs="Calibri"/>
          <w:noProof/>
          <w:sz w:val="22"/>
          <w:szCs w:val="24"/>
        </w:rPr>
        <w:tab/>
        <w:t>T. Bond, M.R. Templeton, History and future of domestic biogas plants in the developing world, Energy Sustain. Dev. 15 (2011) 347–354. doi:10.1016/j.esd.2011.09.003.</w:t>
      </w:r>
    </w:p>
    <w:p w14:paraId="058E5B2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w:t>
      </w:r>
      <w:r w:rsidRPr="007E3308">
        <w:rPr>
          <w:rFonts w:ascii="Calibri" w:hAnsi="Calibri" w:cs="Calibri"/>
          <w:noProof/>
          <w:sz w:val="22"/>
          <w:szCs w:val="24"/>
        </w:rPr>
        <w:tab/>
        <w:t>S.D. Bridgham, H. Cadillo-Quiroz, J.K. Keller, Q. Zhuang, Methane emissions from wetlands: biogeochemical, microbial, and modeling perspectives from local to global scales., Glob. Chang. Biol. 19 (2013) 1325–46. doi:10.1111/gcb.12131.</w:t>
      </w:r>
    </w:p>
    <w:p w14:paraId="414AA57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w:t>
      </w:r>
      <w:r w:rsidRPr="007E3308">
        <w:rPr>
          <w:rFonts w:ascii="Calibri" w:hAnsi="Calibri" w:cs="Calibri"/>
          <w:noProof/>
          <w:sz w:val="22"/>
          <w:szCs w:val="24"/>
        </w:rPr>
        <w:tab/>
        <w:t>A. Prüss-Üstün, C. Corvalán, How Much Disease Burden can be Prevented by Environmental Interventions?, Epidemiology. 18 (2007) 167–178. doi:10.1097/01.ede.0000239647.26389.80.</w:t>
      </w:r>
    </w:p>
    <w:p w14:paraId="67BB24C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w:t>
      </w:r>
      <w:r w:rsidRPr="007E3308">
        <w:rPr>
          <w:rFonts w:ascii="Calibri" w:hAnsi="Calibri" w:cs="Calibri"/>
          <w:noProof/>
          <w:sz w:val="22"/>
          <w:szCs w:val="24"/>
        </w:rPr>
        <w:tab/>
        <w:t>A. Prüss-Ustün, J. Bartram, T. Clasen, J.M. Colford, O. Cumming, V. Curtis, et al., Burden of disease from inadequate water, sanitation and hygiene in low- and middle-income settings: A retrospective analysis of data from 145 countries, Trop. Med. Int. Heal. 19 (2014) 894–905. doi:10.1111/tmi.12329.</w:t>
      </w:r>
    </w:p>
    <w:p w14:paraId="117E5F2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w:t>
      </w:r>
      <w:r w:rsidRPr="007E3308">
        <w:rPr>
          <w:rFonts w:ascii="Calibri" w:hAnsi="Calibri" w:cs="Calibri"/>
          <w:noProof/>
          <w:sz w:val="22"/>
          <w:szCs w:val="24"/>
        </w:rPr>
        <w:tab/>
        <w:t>S.B. Grant, J.-D. Saphores, D.L. Feldman, A.J. Hamilton, T.D. Fletcher, P.L.M. Cook, et al., Taking the “waste” out of “wastewater” for human water security and ecosystem sustainability., Science. 337 (2012) 681–6. doi:10.1126/science.1216852.</w:t>
      </w:r>
    </w:p>
    <w:p w14:paraId="3816115F" w14:textId="0E0E3670"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w:t>
      </w:r>
      <w:r w:rsidRPr="007E3308">
        <w:rPr>
          <w:rFonts w:ascii="Calibri" w:hAnsi="Calibri" w:cs="Calibri"/>
          <w:noProof/>
          <w:sz w:val="22"/>
          <w:szCs w:val="24"/>
        </w:rPr>
        <w:tab/>
        <w:t>UNICEF, Progress on drinking water and sanitation: 2012 update, 2012.</w:t>
      </w:r>
    </w:p>
    <w:p w14:paraId="41A5430D" w14:textId="524B0D6D"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w:t>
      </w:r>
      <w:r w:rsidRPr="007E3308">
        <w:rPr>
          <w:rFonts w:ascii="Calibri" w:hAnsi="Calibri" w:cs="Calibri"/>
          <w:noProof/>
          <w:sz w:val="22"/>
          <w:szCs w:val="24"/>
        </w:rPr>
        <w:tab/>
        <w:t xml:space="preserve"> M. Ingallinella, G. Sanguinetti, T. Koottatep,  a Montanger, M. Strauss, The challenge of faecal sludge management in urban areas--strategies, regulations and treatment options., Water Sci. Technol. 46 (2002) 285–94. http://www.ncbi.nlm.nih.gov/pubmed/12479483.</w:t>
      </w:r>
    </w:p>
    <w:p w14:paraId="7C0A25E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lastRenderedPageBreak/>
        <w:t>[12]</w:t>
      </w:r>
      <w:r w:rsidRPr="007E3308">
        <w:rPr>
          <w:rFonts w:ascii="Calibri" w:hAnsi="Calibri" w:cs="Calibri"/>
          <w:noProof/>
          <w:sz w:val="22"/>
          <w:szCs w:val="24"/>
        </w:rPr>
        <w:tab/>
        <w:t>L. Appels, J. Baeyens, J. Degrève, R. Dewil, Principles and potential of the anaerobic digestion of waste-activated sludge, Prog. Energy Combust. Sci. 34 (2008) 755–781. doi:10.1016/j.pecs.2008.06.002.</w:t>
      </w:r>
    </w:p>
    <w:p w14:paraId="2C5C38F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w:t>
      </w:r>
      <w:r w:rsidRPr="007E3308">
        <w:rPr>
          <w:rFonts w:ascii="Calibri" w:hAnsi="Calibri" w:cs="Calibri"/>
          <w:noProof/>
          <w:sz w:val="22"/>
          <w:szCs w:val="24"/>
        </w:rPr>
        <w:tab/>
        <w:t>S.P. Singh, P. Prerna, Review of recent advances in anaerobic packed-bed biogas reactors, Renew. Sustain. Energy Rev. 13 (2009) 1569–1575. doi:10.1016/j.rser.2008.08.006.</w:t>
      </w:r>
    </w:p>
    <w:p w14:paraId="69029B9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w:t>
      </w:r>
      <w:r w:rsidRPr="007E3308">
        <w:rPr>
          <w:rFonts w:ascii="Calibri" w:hAnsi="Calibri" w:cs="Calibri"/>
          <w:noProof/>
          <w:sz w:val="22"/>
          <w:szCs w:val="24"/>
        </w:rPr>
        <w:tab/>
        <w:t>POSTNOTE, Anaerobic Digestion, (2011) 1–4.</w:t>
      </w:r>
    </w:p>
    <w:p w14:paraId="2419039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w:t>
      </w:r>
      <w:r w:rsidRPr="007E3308">
        <w:rPr>
          <w:rFonts w:ascii="Calibri" w:hAnsi="Calibri" w:cs="Calibri"/>
          <w:noProof/>
          <w:sz w:val="22"/>
          <w:szCs w:val="24"/>
        </w:rPr>
        <w:tab/>
        <w:t>Y. Chen, J.J. Cheng, K.S. Creamer, Inhibition of anaerobic digestion process: A review, Bioresour. Technol. 99 (2008) 4044–4064. doi:10.1016/j.biortech.2007.01.057.</w:t>
      </w:r>
    </w:p>
    <w:p w14:paraId="6EAAC59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w:t>
      </w:r>
      <w:r w:rsidRPr="007E3308">
        <w:rPr>
          <w:rFonts w:ascii="Calibri" w:hAnsi="Calibri" w:cs="Calibri"/>
          <w:noProof/>
          <w:sz w:val="22"/>
          <w:szCs w:val="24"/>
        </w:rPr>
        <w:tab/>
        <w:t>G. Lettinga, Anaerobic digestion and wastewater treatment systems., Antonie Van Leeuwenhoek. 67 (1995) 3–28. http://www.ncbi.nlm.nih.gov/pubmed/7741528.</w:t>
      </w:r>
    </w:p>
    <w:p w14:paraId="286B0B9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w:t>
      </w:r>
      <w:r w:rsidRPr="007E3308">
        <w:rPr>
          <w:rFonts w:ascii="Calibri" w:hAnsi="Calibri" w:cs="Calibri"/>
          <w:noProof/>
          <w:sz w:val="22"/>
          <w:szCs w:val="24"/>
        </w:rPr>
        <w:tab/>
        <w:t>C. Nicolella, M.C. van Loosdrecht, J.J. Heijnen, Wastewater treatment with particulate biofilm reactors., J. Biotechnol. 80 (2000) 1–33. http://www.ncbi.nlm.nih.gov/pubmed/10862983.</w:t>
      </w:r>
    </w:p>
    <w:p w14:paraId="2DA99D9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w:t>
      </w:r>
      <w:r w:rsidRPr="007E3308">
        <w:rPr>
          <w:rFonts w:ascii="Calibri" w:hAnsi="Calibri" w:cs="Calibri"/>
          <w:noProof/>
          <w:sz w:val="22"/>
          <w:szCs w:val="24"/>
        </w:rPr>
        <w:tab/>
        <w:t>P. V. Welander, W.W. Metcalf, Mutagenesis of the C1 oxidation pathway in Methanosarcina barkeri: New insights into the Mtr/Mer bypass pathway, J. Bacteriol. 190 (2008) 1928–1936. doi:10.1128/JB.01424-07.</w:t>
      </w:r>
    </w:p>
    <w:p w14:paraId="5F107B7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w:t>
      </w:r>
      <w:r w:rsidRPr="007E3308">
        <w:rPr>
          <w:rFonts w:ascii="Calibri" w:hAnsi="Calibri" w:cs="Calibri"/>
          <w:noProof/>
          <w:sz w:val="22"/>
          <w:szCs w:val="24"/>
        </w:rPr>
        <w:tab/>
        <w:t>J. De Vrieze, T. Hennebel, N. Boon, W. Verstraete, Methanosarcina: the rediscovered methanogen for heavy duty biomethanation., Bioresour. Technol. 112 (2012) 1–9. doi:10.1016/j.biortech.2012.02.079.</w:t>
      </w:r>
    </w:p>
    <w:p w14:paraId="165E09A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w:t>
      </w:r>
      <w:r w:rsidRPr="007E3308">
        <w:rPr>
          <w:rFonts w:ascii="Calibri" w:hAnsi="Calibri" w:cs="Calibri"/>
          <w:noProof/>
          <w:sz w:val="22"/>
          <w:szCs w:val="24"/>
        </w:rPr>
        <w:tab/>
        <w:t>A. Orell, S. Fröls, S.-V. Albers, Archaeal biofilms: the great unexplored., Annu. Rev. Microbiol. 67 (2013) 337–54. doi:10.1146/annurev-micro-092412-155616.</w:t>
      </w:r>
    </w:p>
    <w:p w14:paraId="30A5420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w:t>
      </w:r>
      <w:r w:rsidRPr="007E3308">
        <w:rPr>
          <w:rFonts w:ascii="Calibri" w:hAnsi="Calibri" w:cs="Calibri"/>
          <w:noProof/>
          <w:sz w:val="22"/>
          <w:szCs w:val="24"/>
        </w:rPr>
        <w:tab/>
        <w:t>S. Fröls, Archaeal biofilms: widespread and complex., Biochem. Soc. Trans. 41 (2013) 393–8. doi:10.1042/BST20120304.</w:t>
      </w:r>
    </w:p>
    <w:p w14:paraId="4EE3ECA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w:t>
      </w:r>
      <w:r w:rsidRPr="007E3308">
        <w:rPr>
          <w:rFonts w:ascii="Calibri" w:hAnsi="Calibri" w:cs="Calibri"/>
          <w:noProof/>
          <w:sz w:val="22"/>
          <w:szCs w:val="24"/>
        </w:rPr>
        <w:tab/>
        <w:t>M.E. Davey, G. a O’toole, Microbial biofilms: from ecology to molecular genetics., Microbiol. Mol. Biol. Rev. 64 (2000) 847–67. http://www.pubmedcentral.nih.gov/articlerender.fcgi?artid=99016&amp;tool=pmcentrez&amp;rendertype=abstract.</w:t>
      </w:r>
    </w:p>
    <w:p w14:paraId="18F9924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w:t>
      </w:r>
      <w:r w:rsidRPr="007E3308">
        <w:rPr>
          <w:rFonts w:ascii="Calibri" w:hAnsi="Calibri" w:cs="Calibri"/>
          <w:noProof/>
          <w:sz w:val="22"/>
          <w:szCs w:val="24"/>
        </w:rPr>
        <w:tab/>
        <w:t>H.-C. Flemming, J. Wingender, The biofilm matrix., Nat. Rev. Microbiol. 8 (2010) 623–33. doi:10.1038/nrmicro2415.</w:t>
      </w:r>
    </w:p>
    <w:p w14:paraId="396DE46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[24]</w:t>
      </w:r>
      <w:r w:rsidRPr="007E3308">
        <w:rPr>
          <w:rFonts w:ascii="Calibri" w:hAnsi="Calibri" w:cs="Calibri"/>
          <w:noProof/>
          <w:sz w:val="22"/>
          <w:szCs w:val="24"/>
        </w:rPr>
        <w:tab/>
        <w:t>R.M. Donlan, Biofilms: microbial life on surfaces., Emerg. Infect. Dis. 8 (2002) 881–90. doi:10.3201/eid0809.020063.</w:t>
      </w:r>
    </w:p>
    <w:p w14:paraId="47DFC36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[25]</w:t>
      </w:r>
      <w:r w:rsidRPr="007E3308">
        <w:rPr>
          <w:rFonts w:ascii="Calibri" w:hAnsi="Calibri" w:cs="Calibri"/>
          <w:noProof/>
          <w:sz w:val="22"/>
          <w:szCs w:val="24"/>
        </w:rPr>
        <w:tab/>
        <w:t>Y.H. An, R.J. Friedman, Laboratory methods for studies of bacterial adhesion, J. Microbiol. Methods. 30 (1997) 141–152. doi:10.1016/S0167-7012(97)00058-4.</w:t>
      </w:r>
    </w:p>
    <w:p w14:paraId="6E58B9B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[26]</w:t>
      </w:r>
      <w:r w:rsidRPr="007E3308">
        <w:rPr>
          <w:rFonts w:ascii="Calibri" w:hAnsi="Calibri" w:cs="Calibri"/>
          <w:noProof/>
          <w:sz w:val="22"/>
          <w:szCs w:val="24"/>
        </w:rPr>
        <w:tab/>
        <w:t xml:space="preserve">P. Weiland, Biogas production: current state and perspectives., Appl. Microbiol. </w:t>
      </w:r>
      <w:r w:rsidRPr="007E3308">
        <w:rPr>
          <w:rFonts w:ascii="Calibri" w:hAnsi="Calibri" w:cs="Calibri"/>
          <w:noProof/>
          <w:sz w:val="22"/>
          <w:szCs w:val="24"/>
        </w:rPr>
        <w:lastRenderedPageBreak/>
        <w:t>Biotechnol. 85 (2010) 849–60. doi:10.1007/s00253-009-2246-7.</w:t>
      </w:r>
    </w:p>
    <w:p w14:paraId="5CD94CC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[27]</w:t>
      </w:r>
      <w:r w:rsidRPr="007E3308">
        <w:rPr>
          <w:rFonts w:ascii="Calibri" w:hAnsi="Calibri" w:cs="Calibri"/>
          <w:noProof/>
          <w:sz w:val="22"/>
          <w:szCs w:val="24"/>
        </w:rPr>
        <w:tab/>
        <w:t>A.J.M. Stams, D.Z. Sousa, R. Kleerebezem, C.M. Plugge, Role of syntrophic microbial communities in high-rate methanogenic bioreactors, Water Sci. Technol. 66 (2012) 352–362. doi:10.2166/wst.2012.192.</w:t>
      </w:r>
    </w:p>
    <w:p w14:paraId="1763BAED"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[28]</w:t>
      </w:r>
      <w:r w:rsidRPr="007E3308">
        <w:rPr>
          <w:rFonts w:ascii="Calibri" w:hAnsi="Calibri" w:cs="Calibri"/>
          <w:noProof/>
          <w:sz w:val="22"/>
          <w:szCs w:val="24"/>
        </w:rPr>
        <w:tab/>
        <w:t>E. Foresti, M. Zaiat, M. Vallero, Anaerobic processes as the core technology for sustainable domestic wastewater treatment: Consolidated applications, new trends, perspectives, and challenges, Rev. Environ. Sci. Biotechnol. 5 (2006) 3–19. doi:10.1007/s11157-005-4630-9.</w:t>
      </w:r>
    </w:p>
    <w:p w14:paraId="6806CBE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[29]</w:t>
      </w:r>
      <w:r w:rsidRPr="007E3308">
        <w:rPr>
          <w:rFonts w:ascii="Calibri" w:hAnsi="Calibri" w:cs="Calibri"/>
          <w:noProof/>
          <w:sz w:val="22"/>
          <w:szCs w:val="24"/>
        </w:rPr>
        <w:tab/>
        <w:t>L. Hall-Stoodley, J.W. Costerton, P. Stoodley, Bacterial biofilms: from the natural environment to infectious diseases., Nat. Rev. Microbiol. 2 (2004) 95–108. doi:10.1038/nrmicro821.</w:t>
      </w:r>
    </w:p>
    <w:p w14:paraId="67C8FA1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[30]</w:t>
      </w:r>
      <w:r w:rsidRPr="007E3308">
        <w:rPr>
          <w:rFonts w:ascii="Calibri" w:hAnsi="Calibri" w:cs="Calibri"/>
          <w:noProof/>
          <w:sz w:val="22"/>
          <w:szCs w:val="24"/>
        </w:rPr>
        <w:tab/>
        <w:t>J.W. Costerton, Z. Lewandowski, D.E. Caldwell, D.R. Korber, H.M. Lappin-Scott, MICROBIAL BIOFILMS, Annu. Rev. Microbiol. 49 (1995) 711–745.</w:t>
      </w:r>
    </w:p>
    <w:p w14:paraId="242E2AE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[31]</w:t>
      </w:r>
      <w:r w:rsidRPr="007E3308">
        <w:rPr>
          <w:rFonts w:ascii="Calibri" w:hAnsi="Calibri" w:cs="Calibri"/>
          <w:noProof/>
          <w:sz w:val="22"/>
          <w:szCs w:val="24"/>
        </w:rPr>
        <w:tab/>
        <w:t>P.L. McCarty, J. Bae, J. Kim, Domestic Wastewater Treatment as a Net Energy Producer - Can This be Achieved ?, Environ. Sci. Technol. 45 (2011) 7100–7106.</w:t>
      </w:r>
    </w:p>
    <w:p w14:paraId="1A30B9C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[32]</w:t>
      </w:r>
      <w:r w:rsidRPr="007E3308">
        <w:rPr>
          <w:rFonts w:ascii="Calibri" w:hAnsi="Calibri" w:cs="Calibri"/>
          <w:noProof/>
          <w:sz w:val="22"/>
          <w:szCs w:val="24"/>
        </w:rPr>
        <w:tab/>
        <w:t>M.S. de Graaff, H. Temmink, G. Zeeman, C.J.N. Buisman, Anaerobic Treatment of Concentrated Black Water in a UASB Reactor at a Short HRT, Water. 2 (2010) 101–119. doi:10.3390/w2010101.</w:t>
      </w:r>
    </w:p>
    <w:p w14:paraId="5A53192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[33]</w:t>
      </w:r>
      <w:r w:rsidRPr="007E3308">
        <w:rPr>
          <w:rFonts w:ascii="Calibri" w:hAnsi="Calibri" w:cs="Calibri"/>
          <w:noProof/>
          <w:sz w:val="22"/>
          <w:szCs w:val="24"/>
        </w:rPr>
        <w:tab/>
        <w:t>K.N. Edith, G. Théophile, K.K. Félix, B.K. Yves, Improving anaerobic biodigestion of manioc wastewater with human urine as co-substrate, Int. J. Innov. Appl. Stud. 2 (2013) 335–343.</w:t>
      </w:r>
    </w:p>
    <w:p w14:paraId="40F8A03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[34]</w:t>
      </w:r>
      <w:r w:rsidRPr="007E3308">
        <w:rPr>
          <w:rFonts w:ascii="Calibri" w:hAnsi="Calibri" w:cs="Calibri"/>
          <w:noProof/>
          <w:sz w:val="22"/>
          <w:szCs w:val="24"/>
        </w:rPr>
        <w:tab/>
        <w:t>H.N. Chanakya, H.K. Khuntia, Treatment of gray water using anaerobic biofilms created on synthetic and natural fibers, Process Saf. Environ. Prot. (2013) 1–7. doi:10.1016/j.psep.2012.12.004.</w:t>
      </w:r>
    </w:p>
    <w:p w14:paraId="1D266C6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[35]</w:t>
      </w:r>
      <w:r w:rsidRPr="007E3308">
        <w:rPr>
          <w:rFonts w:ascii="Calibri" w:hAnsi="Calibri" w:cs="Calibri"/>
          <w:noProof/>
          <w:sz w:val="22"/>
          <w:szCs w:val="24"/>
        </w:rPr>
        <w:tab/>
        <w:t>X. Dai, N. Duan, B. Dong, L. Dai, High-solids anaerobic co-digestion of sewage sludge and food waste in comparison with mono digestions: stability and performance., Waste Manag. 33 (2013) 308–16. doi:10.1016/j.wasman.2012.10.018.</w:t>
      </w:r>
    </w:p>
    <w:p w14:paraId="6619041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[36]</w:t>
      </w:r>
      <w:r w:rsidRPr="007E3308">
        <w:rPr>
          <w:rFonts w:ascii="Calibri" w:hAnsi="Calibri" w:cs="Calibri"/>
          <w:noProof/>
          <w:sz w:val="22"/>
          <w:szCs w:val="24"/>
        </w:rPr>
        <w:tab/>
        <w:t>G. Gottschalk, R.K. Thauer, The Na+-translocating methyltransferase complex from methanogenic archaea, Biochim. Biophys. Acta - Bioenerg. 1505 (2001) 28–36. doi:10.1016/S0005-2728(00)00274-7.</w:t>
      </w:r>
    </w:p>
    <w:p w14:paraId="68BE659B" w14:textId="244EE4EB"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[37]</w:t>
      </w:r>
      <w:r w:rsidRPr="007E3308">
        <w:rPr>
          <w:rFonts w:ascii="Calibri" w:hAnsi="Calibri" w:cs="Calibri"/>
          <w:noProof/>
          <w:sz w:val="22"/>
          <w:szCs w:val="24"/>
        </w:rPr>
        <w:tab/>
        <w:t>J. Leigh, S.V. Albers, H. Atomi, T. Allers, Model organisms for genetics in the domain Archaea: Methanogens, halophiles, Thermococcales and Sulfolobales, FEMS Microbiol. Rev. 35 (2011) 577–608. doi:10.1111/j.1574-6976.2011.00265.x.</w:t>
      </w:r>
    </w:p>
    <w:p w14:paraId="6B4CCC3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[38]</w:t>
      </w:r>
      <w:r w:rsidRPr="007E3308">
        <w:rPr>
          <w:rFonts w:ascii="Calibri" w:hAnsi="Calibri" w:cs="Calibri"/>
          <w:noProof/>
          <w:sz w:val="22"/>
          <w:szCs w:val="24"/>
        </w:rPr>
        <w:tab/>
        <w:t>A. Stams, Metabolic Interactions Between Anaerobic-Bacteria in Methanogenic Environments, Antonie Van Leeuwenhoek Int. J. Gen. Mol. Microbiol. 66 (1994) 271–</w:t>
      </w:r>
      <w:r w:rsidRPr="007E3308">
        <w:rPr>
          <w:rFonts w:ascii="Calibri" w:hAnsi="Calibri" w:cs="Calibri"/>
          <w:noProof/>
          <w:sz w:val="22"/>
          <w:szCs w:val="24"/>
        </w:rPr>
        <w:lastRenderedPageBreak/>
        <w:t>294. doi:10.1007/BF00871644.</w:t>
      </w:r>
    </w:p>
    <w:p w14:paraId="7C42485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[39]</w:t>
      </w:r>
      <w:r w:rsidRPr="007E3308">
        <w:rPr>
          <w:rFonts w:ascii="Calibri" w:hAnsi="Calibri" w:cs="Calibri"/>
          <w:noProof/>
          <w:sz w:val="22"/>
          <w:szCs w:val="24"/>
        </w:rPr>
        <w:tab/>
        <w:t>A. Conklin, H.D. Stensel, J. Ferguson, Growth Kinetics and Competition Between Methanosarcina and Methanosaeta in Mesophilic Anaerobic Digestion, Water Environ. Res. 78 (2006) 486–496. doi:10.2175/106143006X95393.</w:t>
      </w:r>
    </w:p>
    <w:p w14:paraId="15DD476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[40]</w:t>
      </w:r>
      <w:r w:rsidRPr="007E3308">
        <w:rPr>
          <w:rFonts w:ascii="Calibri" w:hAnsi="Calibri" w:cs="Calibri"/>
          <w:noProof/>
          <w:sz w:val="22"/>
          <w:szCs w:val="24"/>
        </w:rPr>
        <w:tab/>
        <w:t>P. V Welander, W.W. Metcalf, Loss of the mtr operon in Methanosarcina blocks growth on methanol, but not methanogenesis, and reveals an unknown methanogenic pathway, PNAS. 102 (2005) 10664–10669.</w:t>
      </w:r>
    </w:p>
    <w:p w14:paraId="650A387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[41]</w:t>
      </w:r>
      <w:r w:rsidRPr="007E3308">
        <w:rPr>
          <w:rFonts w:ascii="Calibri" w:hAnsi="Calibri" w:cs="Calibri"/>
          <w:noProof/>
          <w:sz w:val="22"/>
          <w:szCs w:val="24"/>
        </w:rPr>
        <w:tab/>
        <w:t>J. van Haandel, A.C., van der Lubbe, Handbook of biological wastewater treatment: Design and optimisation of activated sludge systems. 2nd revised edition., 2012.</w:t>
      </w:r>
    </w:p>
    <w:p w14:paraId="5425814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[42]</w:t>
      </w:r>
      <w:r w:rsidRPr="007E3308">
        <w:rPr>
          <w:rFonts w:ascii="Calibri" w:hAnsi="Calibri" w:cs="Calibri"/>
          <w:noProof/>
          <w:sz w:val="22"/>
          <w:szCs w:val="24"/>
        </w:rPr>
        <w:tab/>
        <w:t>W. Gong, H. Liang, W. Li, Z. Wang, Selection and evaluation of biofilm carrier in anaerobic digestion treatment of cattle manure, Energy. 36 (2011) 3572–3578. doi:10.1016/j.energy.2011.03.068.</w:t>
      </w:r>
    </w:p>
    <w:p w14:paraId="3DDD5C4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[43]</w:t>
      </w:r>
      <w:r w:rsidRPr="007E3308">
        <w:rPr>
          <w:rFonts w:ascii="Calibri" w:hAnsi="Calibri" w:cs="Calibri"/>
          <w:noProof/>
          <w:sz w:val="22"/>
          <w:szCs w:val="24"/>
        </w:rPr>
        <w:tab/>
        <w:t>T.R. Yadvika, S., Sreekrishnan, S. Kohli, V. Rana, Enhancement of biogas production from solid substrates using different techniques--a review., Bioresour. Technol. 95 (2004) 1–10. doi:10.1016/j.biortech.2004.02.010.</w:t>
      </w:r>
    </w:p>
    <w:p w14:paraId="702A07AD"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[44]</w:t>
      </w:r>
      <w:r w:rsidRPr="007E3308">
        <w:rPr>
          <w:rFonts w:ascii="Calibri" w:hAnsi="Calibri" w:cs="Calibri"/>
          <w:noProof/>
          <w:sz w:val="22"/>
          <w:szCs w:val="24"/>
        </w:rPr>
        <w:tab/>
        <w:t>T. Amani, M. Nosrati, T.R. Sreekrishnan, Anaerobic digestion from the viewpoint of microbiological, chemical, and operational aspects — a review, Environ. Rev. 18 (2010) 255–278. doi:10.1139/A10-011.</w:t>
      </w:r>
    </w:p>
    <w:p w14:paraId="177569A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[45]</w:t>
      </w:r>
      <w:r w:rsidRPr="007E3308">
        <w:rPr>
          <w:rFonts w:ascii="Calibri" w:hAnsi="Calibri" w:cs="Calibri"/>
          <w:noProof/>
          <w:sz w:val="22"/>
          <w:szCs w:val="24"/>
        </w:rPr>
        <w:tab/>
        <w:t>F. Habouzit, J. Hamelin, G. Santa-Catalina, J.-P. Steyer, N. Bernet, Biofilm development during the start-up period of anaerobic biofilm reactors: the biofilm Archaea community is highly dependent on the support material., Microb. Biotechnol. 7 (2014) 257–64. doi:10.1111/1751-7915.12115.</w:t>
      </w:r>
    </w:p>
    <w:p w14:paraId="0E63754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[46]</w:t>
      </w:r>
      <w:r w:rsidRPr="007E3308">
        <w:rPr>
          <w:rFonts w:ascii="Calibri" w:hAnsi="Calibri" w:cs="Calibri"/>
          <w:noProof/>
          <w:sz w:val="22"/>
          <w:szCs w:val="24"/>
        </w:rPr>
        <w:tab/>
        <w:t>M. Carballa, L. Regueiro, J.M. Lema, Microbial management of anaerobic digestion: exploiting the microbiome-functionality nexus, Curr. Opin. Biotechnol. 33 (2015) 103–111. doi:10.1016/j.copbio.2015.01.008.</w:t>
      </w:r>
    </w:p>
    <w:p w14:paraId="1897DCF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[47]</w:t>
      </w:r>
      <w:r w:rsidRPr="007E3308">
        <w:rPr>
          <w:rFonts w:ascii="Calibri" w:hAnsi="Calibri" w:cs="Calibri"/>
          <w:noProof/>
          <w:sz w:val="22"/>
          <w:szCs w:val="24"/>
        </w:rPr>
        <w:tab/>
        <w:t>O. Calli, B., Mertoglu, B., Inanc, B., Yenigun, COMMUNITY CHANGES DURING START-UP IN METHANOGENIC BIOREACTORS EXPOSED TO INCREASING LEVELS OF AMMONIA, Environ. Technol. 26 (2005) 85–91.</w:t>
      </w:r>
    </w:p>
    <w:p w14:paraId="1503FED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[48]</w:t>
      </w:r>
      <w:r w:rsidRPr="007E3308">
        <w:rPr>
          <w:rFonts w:ascii="Calibri" w:hAnsi="Calibri" w:cs="Calibri"/>
          <w:noProof/>
          <w:sz w:val="22"/>
          <w:szCs w:val="24"/>
        </w:rPr>
        <w:tab/>
        <w:t>N. Boonapatcharoen, K. Meepian, P. Chaiprasert, S. Techkarnjanaruk, Molecular monitoring of microbial population dynamics during operational periods of anaerobic hybrid reactor treating cassava starch wastewater., Microb. Ecol. 54 (2007) 21–30. doi:10.1007/s00248-006-9161-6.</w:t>
      </w:r>
    </w:p>
    <w:p w14:paraId="555355A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[49]</w:t>
      </w:r>
      <w:r w:rsidRPr="007E3308">
        <w:rPr>
          <w:rFonts w:ascii="Calibri" w:hAnsi="Calibri" w:cs="Calibri"/>
          <w:noProof/>
          <w:sz w:val="22"/>
          <w:szCs w:val="24"/>
        </w:rPr>
        <w:tab/>
        <w:t>B.F. Staley, F.L. de los Reyes, M.A. Barlaz, Effect of spatial differences in microbial activity, pH, and substrate levels on methanogenesis initiation in refuse, Appl. Environ. Microbiol. (2011). doi:10.1128/AEM.02349-10.</w:t>
      </w:r>
    </w:p>
    <w:p w14:paraId="790A4E5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lastRenderedPageBreak/>
        <w:t>[50]</w:t>
      </w:r>
      <w:r w:rsidRPr="007E3308">
        <w:rPr>
          <w:rFonts w:ascii="Calibri" w:hAnsi="Calibri" w:cs="Calibri"/>
          <w:noProof/>
          <w:sz w:val="22"/>
          <w:szCs w:val="24"/>
        </w:rPr>
        <w:tab/>
        <w:t>A. Abbassi-Guendouz, E. Trably, J. Hamelin, C. Dumas, J.P. Steyer, J.-P. Delgenès, et al., Microbial community signature of high-solid content methanogenic ecosystems., Bioresour. Technol. 133 (2013) 256–62. doi:10.1016/j.biortech.2013.01.121.</w:t>
      </w:r>
    </w:p>
    <w:p w14:paraId="1B6D76C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[51]</w:t>
      </w:r>
      <w:r w:rsidRPr="007E3308">
        <w:rPr>
          <w:rFonts w:ascii="Calibri" w:hAnsi="Calibri" w:cs="Calibri"/>
          <w:noProof/>
          <w:sz w:val="22"/>
          <w:szCs w:val="24"/>
        </w:rPr>
        <w:tab/>
        <w:t>J. De Vrieze, W. Verstraete, N. Boon, Repeated pulse feeding induces functional stability in anaerobic digestion, Microb. Biotechnol. 6 (2013) 414–424. doi:10.1111/1751-7915.12025.</w:t>
      </w:r>
    </w:p>
    <w:p w14:paraId="5172188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[52]</w:t>
      </w:r>
      <w:r w:rsidRPr="007E3308">
        <w:rPr>
          <w:rFonts w:ascii="Calibri" w:hAnsi="Calibri" w:cs="Calibri"/>
          <w:noProof/>
          <w:sz w:val="22"/>
          <w:szCs w:val="24"/>
        </w:rPr>
        <w:tab/>
        <w:t>M. Goberna, M. Gadermaier, C. GarcIa, B. Wett, H. Insam, Adaptation of methanogenic communities to the cofermentation of cattle excreta and olive mill wastes at 37C and 55C, Appl. Environ. Microbiol. (2010). doi:10.1128/AEM.00961-10.</w:t>
      </w:r>
    </w:p>
    <w:p w14:paraId="2124501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[53]</w:t>
      </w:r>
      <w:r w:rsidRPr="007E3308">
        <w:rPr>
          <w:rFonts w:ascii="Calibri" w:hAnsi="Calibri" w:cs="Calibri"/>
          <w:noProof/>
          <w:sz w:val="22"/>
          <w:szCs w:val="24"/>
        </w:rPr>
        <w:tab/>
        <w:t>V. Milkevych, B.C. Donose, N. Juste-Poinapen, D.J. Batstone, Mechanical and cell-to-cell adhesive properties of aggregated Methanosarcina, Colloids Surfaces B Biointerfaces. 126 (2015) 303–312. doi:10.1016/j.colsurfb.2014.12.035.</w:t>
      </w:r>
    </w:p>
    <w:p w14:paraId="0921095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[54]</w:t>
      </w:r>
      <w:r w:rsidRPr="007E3308">
        <w:rPr>
          <w:rFonts w:ascii="Calibri" w:hAnsi="Calibri" w:cs="Calibri"/>
          <w:noProof/>
          <w:sz w:val="22"/>
          <w:szCs w:val="24"/>
        </w:rPr>
        <w:tab/>
        <w:t>D.H. Rothman, G.P. Fournier, K.L. French, E.J. Alm, E. a Boyle, C. Cao, et al., Methanogenic burst in the end-Permian carbon cycle., Proc. Natl. Acad. Sci. U. S. A. 111 (2014) 5462–7. doi:10.1073/pnas.1318106111.</w:t>
      </w:r>
    </w:p>
    <w:p w14:paraId="536F8AD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[55]</w:t>
      </w:r>
      <w:r w:rsidRPr="007E3308">
        <w:rPr>
          <w:rFonts w:ascii="Calibri" w:hAnsi="Calibri" w:cs="Calibri"/>
          <w:noProof/>
          <w:sz w:val="22"/>
          <w:szCs w:val="24"/>
        </w:rPr>
        <w:tab/>
        <w:t>J. Pandhal, J. Noirel, Synthetic microbial ecosystems for biotechnology, Biotechnol. Lett. (2014) 1141–1151. doi:10.1007/s10529-014-1480-y.</w:t>
      </w:r>
    </w:p>
    <w:p w14:paraId="792F5F0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[56]</w:t>
      </w:r>
      <w:r w:rsidRPr="007E3308">
        <w:rPr>
          <w:rFonts w:ascii="Calibri" w:hAnsi="Calibri" w:cs="Calibri"/>
          <w:noProof/>
          <w:sz w:val="22"/>
          <w:szCs w:val="24"/>
        </w:rPr>
        <w:tab/>
        <w:t>P.R.A. Kohler, W.W. Metcalf, Genetic manipulation of Methanosarcina spp., Front. Microbiol. 3 (2012) 1–9. doi:10.3389/fmicb.2012.00259.</w:t>
      </w:r>
    </w:p>
    <w:p w14:paraId="295E985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[57]</w:t>
      </w:r>
      <w:r w:rsidRPr="007E3308">
        <w:rPr>
          <w:rFonts w:ascii="Calibri" w:hAnsi="Calibri" w:cs="Calibri"/>
          <w:noProof/>
          <w:sz w:val="22"/>
          <w:szCs w:val="24"/>
        </w:rPr>
        <w:tab/>
        <w:t>C. Bang, C. Ehlers, A. Orell, D. Prasse, M. Spinner, S.N. Gorb, et al., Biofilm formation of mucosa-associated methanoarchaeal strains., Front. Microbiol. 5 (2014) 353. doi:10.3389/fmicb.2014.00353.</w:t>
      </w:r>
    </w:p>
    <w:p w14:paraId="2D063B8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[58]</w:t>
      </w:r>
      <w:r w:rsidRPr="007E3308">
        <w:rPr>
          <w:rFonts w:ascii="Calibri" w:hAnsi="Calibri" w:cs="Calibri"/>
          <w:noProof/>
          <w:sz w:val="22"/>
          <w:szCs w:val="24"/>
        </w:rPr>
        <w:tab/>
        <w:t>J.C. Araujo, G. Brucha, J.R. Campos, R.F. Vazoller, Monitoring the development of anaerobic biofilms using fluorescent in situ hybridization and confocal laser scanning microscopy, Water Sci. Technol. (2000) 69–78.</w:t>
      </w:r>
    </w:p>
    <w:p w14:paraId="6327B88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[59]</w:t>
      </w:r>
      <w:r w:rsidRPr="007E3308">
        <w:rPr>
          <w:rFonts w:ascii="Calibri" w:hAnsi="Calibri" w:cs="Calibri"/>
          <w:noProof/>
          <w:sz w:val="22"/>
          <w:szCs w:val="24"/>
        </w:rPr>
        <w:tab/>
        <w:t>S.-V. Albers, B.H. Meyer, The archaeal cell envelope, Nat. Rev. Microbiol. 9 (2011) 414–426. doi:10.1038/nrmicro2576.</w:t>
      </w:r>
    </w:p>
    <w:p w14:paraId="05DE521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[60]</w:t>
      </w:r>
      <w:r w:rsidRPr="007E3308">
        <w:rPr>
          <w:rFonts w:ascii="Calibri" w:hAnsi="Calibri" w:cs="Calibri"/>
          <w:noProof/>
          <w:sz w:val="22"/>
          <w:szCs w:val="24"/>
        </w:rPr>
        <w:tab/>
        <w:t>E. Desmond, C. Brochier-Armanet, S. Gribaldo, Phylogenomics of the archaeal flagellum: rare horizontal gene transfer in a unique motility structure., BMC Evol. Biol. 7 (2007) 106. doi:10.1186/1471-2148-7-106.</w:t>
      </w:r>
    </w:p>
    <w:p w14:paraId="3CFFB6F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[61]</w:t>
      </w:r>
      <w:r w:rsidRPr="007E3308">
        <w:rPr>
          <w:rFonts w:ascii="Calibri" w:hAnsi="Calibri" w:cs="Calibri"/>
          <w:noProof/>
          <w:sz w:val="22"/>
          <w:szCs w:val="24"/>
        </w:rPr>
        <w:tab/>
        <w:t>K.R. Sowers, J.E. Boone, R.P. Gunsalus, Disaggregation of Methanosarcina spp. and Growth as Single Cells at Elevated Osmolarity., Appl. Environ. Microbiol. 59 (1993) 3832–9. http://www.pubmedcentral.nih.gov/articlerender.fcgi?artid=182538&amp;tool=pmcentr</w:t>
      </w:r>
      <w:r w:rsidRPr="007E3308">
        <w:rPr>
          <w:rFonts w:ascii="Calibri" w:hAnsi="Calibri" w:cs="Calibri"/>
          <w:noProof/>
          <w:sz w:val="22"/>
          <w:szCs w:val="24"/>
        </w:rPr>
        <w:lastRenderedPageBreak/>
        <w:t>ez&amp;rendertype=abstract.</w:t>
      </w:r>
    </w:p>
    <w:p w14:paraId="391AD23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[62]</w:t>
      </w:r>
      <w:r w:rsidRPr="007E3308">
        <w:rPr>
          <w:rFonts w:ascii="Calibri" w:hAnsi="Calibri" w:cs="Calibri"/>
          <w:noProof/>
          <w:sz w:val="22"/>
          <w:szCs w:val="24"/>
        </w:rPr>
        <w:tab/>
        <w:t>L. Hall-Stoodley, P. Stoodley, Developmental regulation of microbial biofilms, Curr. Opin. Biotechnol. 13 (2002) 228–233. doi:10.1016/S0958-1669(02)00318-X.</w:t>
      </w:r>
    </w:p>
    <w:p w14:paraId="54FF291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[63]</w:t>
      </w:r>
      <w:r w:rsidRPr="007E3308">
        <w:rPr>
          <w:rFonts w:ascii="Calibri" w:hAnsi="Calibri" w:cs="Calibri"/>
          <w:noProof/>
          <w:sz w:val="22"/>
          <w:szCs w:val="24"/>
        </w:rPr>
        <w:tab/>
        <w:t>R. Bos, H.C. van der Mei, H.J. Busscher, Physico-chemistry of initial microbial adhesive interactions--its mechanisms and methods for study., FEMS Microbiol. Rev. 23 (1999) 179–230. http://www.ncbi.nlm.nih.gov/pubmed/10234844.</w:t>
      </w:r>
    </w:p>
    <w:p w14:paraId="5BD888DC"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[64]</w:t>
      </w:r>
      <w:r w:rsidRPr="007E3308">
        <w:rPr>
          <w:rFonts w:ascii="Calibri" w:hAnsi="Calibri" w:cs="Calibri"/>
          <w:noProof/>
          <w:sz w:val="22"/>
          <w:szCs w:val="24"/>
        </w:rPr>
        <w:tab/>
        <w:t>A. Koerdt, J. Gödeke, J. Berger, K.M. Thormann, S.-V. Albers, Crenarchaeal biofilm formation under extreme conditions., PLoS One. 5 (2010) e14104. doi:10.1371/journal.pone.0014104.</w:t>
      </w:r>
    </w:p>
    <w:p w14:paraId="1D07458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[65]</w:t>
      </w:r>
      <w:r w:rsidRPr="007E3308">
        <w:rPr>
          <w:rFonts w:ascii="Calibri" w:hAnsi="Calibri" w:cs="Calibri"/>
          <w:noProof/>
          <w:sz w:val="22"/>
          <w:szCs w:val="24"/>
        </w:rPr>
        <w:tab/>
        <w:t>W.M. Dunne, Bacterial Adhesion : Seen Any Good Biofilms Lately ?, Clin. Microbiol. Rev. 15 (2002) 155–166. doi:10.1128/CMR.15.2.155.</w:t>
      </w:r>
    </w:p>
    <w:p w14:paraId="3B030B3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[66]</w:t>
      </w:r>
      <w:r w:rsidRPr="007E3308">
        <w:rPr>
          <w:rFonts w:ascii="Calibri" w:hAnsi="Calibri" w:cs="Calibri"/>
          <w:noProof/>
          <w:sz w:val="22"/>
          <w:szCs w:val="24"/>
        </w:rPr>
        <w:tab/>
        <w:t>M. Katsikogianni, Y.F. Missirlis, Concise review of mechanisms of bacterial adhesion to biomaterials and of techniques used in estimating bacteria-material interactions., Eur. Cell. Mater. 8 (2004) 37–57. http://www.ncbi.nlm.nih.gov/pubmed/15593018.</w:t>
      </w:r>
    </w:p>
    <w:p w14:paraId="7ED1CEC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[67]</w:t>
      </w:r>
      <w:r w:rsidRPr="007E3308">
        <w:rPr>
          <w:rFonts w:ascii="Calibri" w:hAnsi="Calibri" w:cs="Calibri"/>
          <w:noProof/>
          <w:sz w:val="22"/>
          <w:szCs w:val="24"/>
        </w:rPr>
        <w:tab/>
        <w:t>H. Busscher, A.H. Werkamp, Specific and non-specific interactions in bacterial adhesion to solid substrata, FEMS Microbiol. Rev. 46 (1987) 165–173. doi:10.1016/0378-1097(87)90062-0.</w:t>
      </w:r>
    </w:p>
    <w:p w14:paraId="51F7E43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[68]</w:t>
      </w:r>
      <w:r w:rsidRPr="007E3308">
        <w:rPr>
          <w:rFonts w:ascii="Calibri" w:hAnsi="Calibri" w:cs="Calibri"/>
          <w:noProof/>
          <w:sz w:val="22"/>
          <w:szCs w:val="24"/>
        </w:rPr>
        <w:tab/>
        <w:t>C.J. van Oss, Use of the combined Lifshitz–van der Waals and Lewis acid–base approaches in determining the apolar and polar contributions to surface and interfacial tensions and free energies, J. Adhes. Sci. Technol. 16 (2002) 669–677. doi:10.1163/156856102760099870.</w:t>
      </w:r>
    </w:p>
    <w:p w14:paraId="2DFC00E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[69]</w:t>
      </w:r>
      <w:r w:rsidRPr="007E3308">
        <w:rPr>
          <w:rFonts w:ascii="Calibri" w:hAnsi="Calibri" w:cs="Calibri"/>
          <w:noProof/>
          <w:sz w:val="22"/>
          <w:szCs w:val="24"/>
        </w:rPr>
        <w:tab/>
        <w:t>P.K. Sharma, K. Hanumantha Rao, Adhesion of Paenibacillus polymyxa on chalcopyrite and pyrite: surface thermodynamics and extended DLVO theory, Colloids Surfaces B Biointerfaces. 29 (2003) 21–38. doi:10.1016/S0927-7765(02)00180-7.</w:t>
      </w:r>
    </w:p>
    <w:p w14:paraId="37BB8AB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[70]</w:t>
      </w:r>
      <w:r w:rsidRPr="007E3308">
        <w:rPr>
          <w:rFonts w:ascii="Calibri" w:hAnsi="Calibri" w:cs="Calibri"/>
          <w:noProof/>
          <w:sz w:val="22"/>
          <w:szCs w:val="24"/>
        </w:rPr>
        <w:tab/>
        <w:t>H. Busscher, Specific and non-specific interactions in bacterial adhesion to solid substrata, FEMS Microbiol. Lett. 46 (1987) 165–173. doi:10.1016/0378-1097(87)90062-0.</w:t>
      </w:r>
    </w:p>
    <w:p w14:paraId="30C55E6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[71]</w:t>
      </w:r>
      <w:r w:rsidRPr="007E3308">
        <w:rPr>
          <w:rFonts w:ascii="Calibri" w:hAnsi="Calibri" w:cs="Calibri"/>
          <w:noProof/>
          <w:sz w:val="22"/>
          <w:szCs w:val="24"/>
        </w:rPr>
        <w:tab/>
        <w:t>C.J. van Oss, Acid—base interfacial interactions in aqueous media, Colloids Surfaces A Physicochem. Eng. Asp. 78 (1993) 1–49. doi:10.1016/0927-7757(93)80308-2.</w:t>
      </w:r>
    </w:p>
    <w:p w14:paraId="1EC4748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[72]</w:t>
      </w:r>
      <w:r w:rsidRPr="007E3308">
        <w:rPr>
          <w:rFonts w:ascii="Calibri" w:hAnsi="Calibri" w:cs="Calibri"/>
          <w:noProof/>
          <w:sz w:val="22"/>
          <w:szCs w:val="24"/>
        </w:rPr>
        <w:tab/>
        <w:t>A.T. Poortinga, R. Bos, W. Norde, H.J. Busscher, Electric double layer interactions in bacterial adhesion to surfaces, Surf. Sci. Rep. 47 (2002) 1–32. doi:10.1016/S0167-5729(02)00032-8.</w:t>
      </w:r>
    </w:p>
    <w:p w14:paraId="71B765B0" w14:textId="6A9C8C42"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[73]</w:t>
      </w:r>
      <w:r w:rsidRPr="007E3308">
        <w:rPr>
          <w:rFonts w:ascii="Calibri" w:hAnsi="Calibri" w:cs="Calibri"/>
          <w:noProof/>
          <w:sz w:val="22"/>
          <w:szCs w:val="24"/>
        </w:rPr>
        <w:tab/>
        <w:t>C. Van Oss, R.</w:t>
      </w:r>
      <w:r w:rsidR="00C36D45">
        <w:rPr>
          <w:rFonts w:ascii="Calibri" w:hAnsi="Calibri" w:cs="Calibri"/>
          <w:noProof/>
          <w:sz w:val="22"/>
          <w:szCs w:val="24"/>
        </w:rPr>
        <w:t xml:space="preserve"> </w:t>
      </w:r>
      <w:r w:rsidRPr="007E3308">
        <w:rPr>
          <w:rFonts w:ascii="Calibri" w:hAnsi="Calibri" w:cs="Calibri"/>
          <w:noProof/>
          <w:sz w:val="22"/>
          <w:szCs w:val="24"/>
        </w:rPr>
        <w:t xml:space="preserve">Good, M. Chaudhury, The role of van der Waals forces and hydrogen bonds in “hydrophobic interactions” between biopolymers and low energy surfaces, </w:t>
      </w:r>
      <w:r w:rsidRPr="007E3308">
        <w:rPr>
          <w:rFonts w:ascii="Calibri" w:hAnsi="Calibri" w:cs="Calibri"/>
          <w:noProof/>
          <w:sz w:val="22"/>
          <w:szCs w:val="24"/>
        </w:rPr>
        <w:lastRenderedPageBreak/>
        <w:t>J. Colloid Interface Sci. 111 (1985) 378–390. doi:10.1016/0021-9797(86)90041-X.</w:t>
      </w:r>
    </w:p>
    <w:p w14:paraId="23C4FA7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[74]</w:t>
      </w:r>
      <w:r w:rsidRPr="007E3308">
        <w:rPr>
          <w:rFonts w:ascii="Calibri" w:hAnsi="Calibri" w:cs="Calibri"/>
          <w:noProof/>
          <w:sz w:val="22"/>
          <w:szCs w:val="24"/>
        </w:rPr>
        <w:tab/>
        <w:t>C. Della Volpe, S. Siboni, Acid – base surface free energies of solids and the de nition of scales in the Good – van Oss – Chaudhury theory, J. Adhes. Sci. Technol. 14 (2000) 235–272.</w:t>
      </w:r>
    </w:p>
    <w:p w14:paraId="56C86AE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[75]</w:t>
      </w:r>
      <w:r w:rsidRPr="007E3308">
        <w:rPr>
          <w:rFonts w:ascii="Calibri" w:hAnsi="Calibri" w:cs="Calibri"/>
          <w:noProof/>
          <w:sz w:val="22"/>
          <w:szCs w:val="24"/>
        </w:rPr>
        <w:tab/>
        <w:t>G.M. Bruinsma, H.C. Van Der Mei, H.J. Busscher, Bacterial adhesion to surface hydrophilic and hydrophobic contact lenses, Biomaterials. 22 (2001) 3217–3224.</w:t>
      </w:r>
    </w:p>
    <w:p w14:paraId="61BB414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[76]</w:t>
      </w:r>
      <w:r w:rsidRPr="007E3308">
        <w:rPr>
          <w:rFonts w:ascii="Calibri" w:hAnsi="Calibri" w:cs="Calibri"/>
          <w:noProof/>
          <w:sz w:val="22"/>
          <w:szCs w:val="24"/>
        </w:rPr>
        <w:tab/>
        <w:t>C.J. Van Oss, M.K. Chaudhury, R.J. Good, Interfacial Lifshitz-van der Waals and polar interactions in macroscopic systems, Chem. Rev. 88 (1988) 927–941. doi:10.1021/cr00088a006.</w:t>
      </w:r>
    </w:p>
    <w:p w14:paraId="67C3C3DD"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[77]</w:t>
      </w:r>
      <w:r w:rsidRPr="007E3308">
        <w:rPr>
          <w:rFonts w:ascii="Calibri" w:hAnsi="Calibri" w:cs="Calibri"/>
          <w:noProof/>
          <w:sz w:val="22"/>
          <w:szCs w:val="24"/>
        </w:rPr>
        <w:tab/>
        <w:t>D.B. Renner, L.D., Weibel, Physicochemical regulation of biofilm formation, MRS Bull. 36 (2011) 347–355. doi:10.1557/mrs.2011.65.Physicochemical.</w:t>
      </w:r>
    </w:p>
    <w:p w14:paraId="5C3DE04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[78]</w:t>
      </w:r>
      <w:r w:rsidRPr="007E3308">
        <w:rPr>
          <w:rFonts w:ascii="Calibri" w:hAnsi="Calibri" w:cs="Calibri"/>
          <w:noProof/>
          <w:sz w:val="22"/>
          <w:szCs w:val="24"/>
        </w:rPr>
        <w:tab/>
        <w:t>H.C. van der Mei, R. Bos, H.J. Busscher, A reference guide to microbial cell surface hydrophobicity based on contact angles, Colloids Surfaces B Biointerfaces. 11 (1998) 213–221. doi:10.1016/S0927-7765(98)00037-X.</w:t>
      </w:r>
    </w:p>
    <w:p w14:paraId="4CD212A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[79]</w:t>
      </w:r>
      <w:r w:rsidRPr="007E3308">
        <w:rPr>
          <w:rFonts w:ascii="Calibri" w:hAnsi="Calibri" w:cs="Calibri"/>
          <w:noProof/>
          <w:sz w:val="22"/>
          <w:szCs w:val="24"/>
        </w:rPr>
        <w:tab/>
        <w:t>M. Hermansson, The DLVO theory in microbial adhesion, Colloids Surfaces B Biointerfaces. 14 (1999) 105–119. doi:10.1016/S0927-7765(99)00029-6.</w:t>
      </w:r>
    </w:p>
    <w:p w14:paraId="322385F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[80]</w:t>
      </w:r>
      <w:r w:rsidRPr="007E3308">
        <w:rPr>
          <w:rFonts w:ascii="Calibri" w:hAnsi="Calibri" w:cs="Calibri"/>
          <w:noProof/>
          <w:sz w:val="22"/>
          <w:szCs w:val="24"/>
        </w:rPr>
        <w:tab/>
        <w:t>D.B. Renner, L.D., Weibel, Physicochemical regulation of biofilm formation, MRS Bull. 36 (2011) 347–355. doi:10.1557/mrs.2011.65.Physicochemical.</w:t>
      </w:r>
    </w:p>
    <w:p w14:paraId="17D705A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[81]</w:t>
      </w:r>
      <w:r w:rsidRPr="007E3308">
        <w:rPr>
          <w:rFonts w:ascii="Calibri" w:hAnsi="Calibri" w:cs="Calibri"/>
          <w:noProof/>
          <w:sz w:val="22"/>
          <w:szCs w:val="24"/>
        </w:rPr>
        <w:tab/>
        <w:t>B. Li, B.E. Logan, Bacterial adhesion to glass and metal-oxide surfaces., Colloids Surf. B. Biointerfaces. 36 (2004) 81–90. doi:10.1016/j.colsurfb.2004.05.006.</w:t>
      </w:r>
    </w:p>
    <w:p w14:paraId="2F00EF5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[82]</w:t>
      </w:r>
      <w:r w:rsidRPr="007E3308">
        <w:rPr>
          <w:rFonts w:ascii="Calibri" w:hAnsi="Calibri" w:cs="Calibri"/>
          <w:noProof/>
          <w:sz w:val="22"/>
          <w:szCs w:val="24"/>
        </w:rPr>
        <w:tab/>
        <w:t>F.P. Gordesli, N.I. Abu-Lail, Impact of ionic strength of growth on the physiochemical properties, structure, and adhesion of Listeria monocytogenes polyelectrolyte brushes to a silicon nitride surface in water., J. Colloid Interface Sci. 388 (2012) 257–67. doi:10.1016/j.jcis.2012.08.048.</w:t>
      </w:r>
    </w:p>
    <w:p w14:paraId="51EA0F3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[83]</w:t>
      </w:r>
      <w:r w:rsidRPr="007E3308">
        <w:rPr>
          <w:rFonts w:ascii="Calibri" w:hAnsi="Calibri" w:cs="Calibri"/>
          <w:noProof/>
          <w:sz w:val="22"/>
          <w:szCs w:val="24"/>
        </w:rPr>
        <w:tab/>
        <w:t>M. Kubota, T. Nakabayashi, Y. Matsumoto, T. Shiomi, Y. Yamada, K. Ino, et al., Selective adsorption of bacterial cells onto zeolites., Colloids Surf. B. Biointerfaces. 64 (2008) 88–97. doi:10.1016/j.colsurfb.2008.01.012.</w:t>
      </w:r>
    </w:p>
    <w:p w14:paraId="1B5625B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[84]</w:t>
      </w:r>
      <w:r w:rsidRPr="007E3308">
        <w:rPr>
          <w:rFonts w:ascii="Calibri" w:hAnsi="Calibri" w:cs="Calibri"/>
          <w:noProof/>
          <w:sz w:val="22"/>
          <w:szCs w:val="24"/>
        </w:rPr>
        <w:tab/>
        <w:t>X.-W. Liu, G.-P. Sheng, H.-Q. Yu, Physicochemical characteristics of microbial granules., Biotechnol. Adv. 27 (2009) 1061–70. doi:10.1016/j.biotechadv.2009.05.020.</w:t>
      </w:r>
    </w:p>
    <w:p w14:paraId="52F2BA6C"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[85]</w:t>
      </w:r>
      <w:r w:rsidRPr="007E3308">
        <w:rPr>
          <w:rFonts w:ascii="Calibri" w:hAnsi="Calibri" w:cs="Calibri"/>
          <w:noProof/>
          <w:sz w:val="22"/>
          <w:szCs w:val="24"/>
        </w:rPr>
        <w:tab/>
        <w:t>I. Sutherland, Biofilm exopolysaccharides: a strong and sticky framework., Microbiology. 147 (2001) 3–9. http://www.ncbi.nlm.nih.gov/pubmed/11160795.</w:t>
      </w:r>
    </w:p>
    <w:p w14:paraId="44E6974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[86]</w:t>
      </w:r>
      <w:r w:rsidRPr="007E3308">
        <w:rPr>
          <w:rFonts w:ascii="Calibri" w:hAnsi="Calibri" w:cs="Calibri"/>
          <w:noProof/>
          <w:sz w:val="22"/>
          <w:szCs w:val="24"/>
        </w:rPr>
        <w:tab/>
        <w:t>C. Mayer, R. Moritz, C. Kirschner, The role of intermolecular interactions: studies on model systems for bacterial biofilms, Int. J.  …. 26 (1999) 3–16. http://www.sciencedirect.com/science/article/pii/S0141813099000574.</w:t>
      </w:r>
    </w:p>
    <w:p w14:paraId="5D45602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lastRenderedPageBreak/>
        <w:t>[87]</w:t>
      </w:r>
      <w:r w:rsidRPr="007E3308">
        <w:rPr>
          <w:rFonts w:ascii="Calibri" w:hAnsi="Calibri" w:cs="Calibri"/>
          <w:noProof/>
          <w:sz w:val="22"/>
          <w:szCs w:val="24"/>
        </w:rPr>
        <w:tab/>
        <w:t>Y.-P. Chen, P. Zhang, J.-S. Guo, F. Fang, X. Gao, C. Li, Functional groups characteristics of EPS in biofilm growing on different carriers., Chemosphere. 92 (2013) 633–8. doi:10.1016/j.chemosphere.2013.01.059.</w:t>
      </w:r>
    </w:p>
    <w:p w14:paraId="49873D5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[88]</w:t>
      </w:r>
      <w:r w:rsidRPr="007E3308">
        <w:rPr>
          <w:rFonts w:ascii="Calibri" w:hAnsi="Calibri" w:cs="Calibri"/>
          <w:noProof/>
          <w:sz w:val="22"/>
          <w:szCs w:val="24"/>
        </w:rPr>
        <w:tab/>
        <w:t>M.C. Veiga, M.K. Jain, W.M. Wu, R.I. Hollingsworth, J.G. Zeikus, Composition and role of extracellular polymers in methanogenic granules, Appl. Environ. Microbiol. 63 (1997) 403–407.</w:t>
      </w:r>
    </w:p>
    <w:p w14:paraId="644A20A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[89]</w:t>
      </w:r>
      <w:r w:rsidRPr="007E3308">
        <w:rPr>
          <w:rFonts w:ascii="Calibri" w:hAnsi="Calibri" w:cs="Calibri"/>
          <w:noProof/>
          <w:sz w:val="22"/>
          <w:szCs w:val="24"/>
        </w:rPr>
        <w:tab/>
        <w:t>A. Koerdt, A. Orell, T.K. Pham, J. Mukherjee, A. Wlodkowski, E. Karunakaran, et al., Macromolecular fingerprinting of Sulfolobus species in biofilm: a transcriptomic and proteomic approach combined with spectroscopic analysis., J. Proteome Res. 10 (2011) 4105–19. doi:10.1021/pr2003006.</w:t>
      </w:r>
    </w:p>
    <w:p w14:paraId="0AD2A66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[90]</w:t>
      </w:r>
      <w:r w:rsidRPr="007E3308">
        <w:rPr>
          <w:rFonts w:ascii="Calibri" w:hAnsi="Calibri" w:cs="Calibri"/>
          <w:noProof/>
          <w:sz w:val="22"/>
          <w:szCs w:val="24"/>
        </w:rPr>
        <w:tab/>
        <w:t>K. Sauer, A.K. Camper, G.D. Ehrlich, J.W. Costerton, D.G. Davies, Pseudomonas aeruginosa Displays Multiple Phenotypes during Development as a Biofilm, J. Bacteriol. 184 (2002) 1140–1154. doi:10.1128/JB.184.4.1140.</w:t>
      </w:r>
    </w:p>
    <w:p w14:paraId="4E46255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[91]</w:t>
      </w:r>
      <w:r w:rsidRPr="007E3308">
        <w:rPr>
          <w:rFonts w:ascii="Calibri" w:hAnsi="Calibri" w:cs="Calibri"/>
          <w:noProof/>
          <w:sz w:val="22"/>
          <w:szCs w:val="24"/>
        </w:rPr>
        <w:tab/>
        <w:t>K. Otto, T.J. Silhavy, Surface sensing and adhesion of Escherichia coli controlled by the Cpx-signaling pathway., Proc. Natl. Acad. Sci. U. S. A. 99 (2002) 2287–2292. doi:10.1073/pnas.042521699.</w:t>
      </w:r>
    </w:p>
    <w:p w14:paraId="7414553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[92]</w:t>
      </w:r>
      <w:r w:rsidRPr="007E3308">
        <w:rPr>
          <w:rFonts w:ascii="Calibri" w:hAnsi="Calibri" w:cs="Calibri"/>
          <w:noProof/>
          <w:sz w:val="22"/>
          <w:szCs w:val="24"/>
        </w:rPr>
        <w:tab/>
        <w:t>C.A. Mukherjee, J., Karunakaran, E., Biggs, Using a multi-facteted approach to determine the changes in bacterial cell surface properties influenced by a biofilm lifestyle, Biofouling. 28 (2012) 1–14.</w:t>
      </w:r>
    </w:p>
    <w:p w14:paraId="4B164FE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[93]</w:t>
      </w:r>
      <w:r w:rsidRPr="007E3308">
        <w:rPr>
          <w:rFonts w:ascii="Calibri" w:hAnsi="Calibri" w:cs="Calibri"/>
          <w:noProof/>
          <w:sz w:val="22"/>
          <w:szCs w:val="24"/>
        </w:rPr>
        <w:tab/>
        <w:t>A. Silva, . J., J.S. Hirasawa, M.B. Varesche, E. Foresti, M. Zaiat, Evaluation of support materials for the immobilization of sulfate-reducing bacteria and methanogenic archaea, Anaerobe. 12 (2006) 93–98. doi:10.1016/j.anaerobe.2005.12.003.</w:t>
      </w:r>
    </w:p>
    <w:p w14:paraId="32038BC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[94]</w:t>
      </w:r>
      <w:r w:rsidRPr="007E3308">
        <w:rPr>
          <w:rFonts w:ascii="Calibri" w:hAnsi="Calibri" w:cs="Calibri"/>
          <w:noProof/>
          <w:sz w:val="22"/>
          <w:szCs w:val="24"/>
        </w:rPr>
        <w:tab/>
        <w:t>F. Habouzit, G. Gévaudan, J. Hamelin, J.-P. Steyer, N. Bernet, Influence of support material properties on the potential selection of Archaea during initial adhesion of a methanogenic consortium., Bioresour. Technol. 102 (2011) 4054–60. doi:10.1016/j.biortech.2010.12.023.</w:t>
      </w:r>
    </w:p>
    <w:p w14:paraId="4D15789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[95]</w:t>
      </w:r>
      <w:r w:rsidRPr="007E3308">
        <w:rPr>
          <w:rFonts w:ascii="Calibri" w:hAnsi="Calibri" w:cs="Calibri"/>
          <w:noProof/>
          <w:sz w:val="22"/>
          <w:szCs w:val="24"/>
        </w:rPr>
        <w:tab/>
        <w:t>S. Matsumoto, A. Ohtaki, K. Hori, Carbon fiber as an excellent support material for wastewater treatment biofilms., Environ. Sci. Technol. 46 (2012) 10175–81. doi:10.1021/es3020502.</w:t>
      </w:r>
    </w:p>
    <w:p w14:paraId="4BBF9D3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[96]</w:t>
      </w:r>
      <w:r w:rsidRPr="007E3308">
        <w:rPr>
          <w:rFonts w:ascii="Calibri" w:hAnsi="Calibri" w:cs="Calibri"/>
          <w:noProof/>
          <w:sz w:val="22"/>
          <w:szCs w:val="24"/>
        </w:rPr>
        <w:tab/>
        <w:t>D. Verrier, B. MORTIER, G. Albagnac, INITIAL ADHESION OF METHANOGENIC BACTERIA TO POLYMERS, Biotechnol. Lett. 9 (1987) 735–740.</w:t>
      </w:r>
    </w:p>
    <w:p w14:paraId="10FED31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[97]</w:t>
      </w:r>
      <w:r w:rsidRPr="007E3308">
        <w:rPr>
          <w:rFonts w:ascii="Calibri" w:hAnsi="Calibri" w:cs="Calibri"/>
          <w:noProof/>
          <w:sz w:val="22"/>
          <w:szCs w:val="24"/>
        </w:rPr>
        <w:tab/>
        <w:t>M.L. Garcia, K.R. Lapa, E. Foresti, M. Zaiat, Effects of bed materials on the performance of an anaerobic sequencing batch biofilm reactor treating domestic sewage., J. Environ. Manage. 88 (2008) 1471–7. doi:10.1016/j.jenvman.2007.07.015.</w:t>
      </w:r>
    </w:p>
    <w:p w14:paraId="1AF6101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[98]</w:t>
      </w:r>
      <w:r w:rsidRPr="007E3308">
        <w:rPr>
          <w:rFonts w:ascii="Calibri" w:hAnsi="Calibri" w:cs="Calibri"/>
          <w:noProof/>
          <w:sz w:val="22"/>
          <w:szCs w:val="24"/>
        </w:rPr>
        <w:tab/>
        <w:t xml:space="preserve">J.M. Sanchez, S. Arijo, M. a. Munoz, M. a. Morinigo, J.J. Borrego, Microbial </w:t>
      </w:r>
      <w:r w:rsidRPr="007E3308">
        <w:rPr>
          <w:rFonts w:ascii="Calibri" w:hAnsi="Calibri" w:cs="Calibri"/>
          <w:noProof/>
          <w:sz w:val="22"/>
          <w:szCs w:val="24"/>
        </w:rPr>
        <w:lastRenderedPageBreak/>
        <w:t>colonization of different support materials used to enhance the methanogenic process, Appl. Microbiol. Biotechnol. 41 (1994) 480–486. doi:10.1007/s002530050177.</w:t>
      </w:r>
    </w:p>
    <w:p w14:paraId="6CD36B2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[99]</w:t>
      </w:r>
      <w:r w:rsidRPr="007E3308">
        <w:rPr>
          <w:rFonts w:ascii="Calibri" w:hAnsi="Calibri" w:cs="Calibri"/>
          <w:noProof/>
          <w:sz w:val="22"/>
          <w:szCs w:val="24"/>
        </w:rPr>
        <w:tab/>
        <w:t>E. Karunakaran, J. Mukherjee, B. Ramalingam, C. a Biggs, “Biofilmology”: a multidisciplinary review of the study of microbial biofilms., Appl. Microbiol. Biotechnol. 90 (2011) 1869–81. doi:10.1007/s00253-011-3293-4.</w:t>
      </w:r>
    </w:p>
    <w:p w14:paraId="05C20D7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[100]</w:t>
      </w:r>
      <w:r w:rsidRPr="007E3308">
        <w:rPr>
          <w:rFonts w:ascii="Calibri" w:hAnsi="Calibri" w:cs="Calibri"/>
          <w:noProof/>
          <w:sz w:val="22"/>
          <w:szCs w:val="24"/>
        </w:rPr>
        <w:tab/>
        <w:t>A. Haider, D. Potter, T.A. Sulchek, Enhanced stochastic fluctuations to measure steep adhesive energy landscapes., Proc. Natl. Acad. Sci. U. S. A. 113 (2016) 14213–14218. doi:10.1073/pnas.1608792113.</w:t>
      </w:r>
    </w:p>
    <w:p w14:paraId="008A2E9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[101]</w:t>
      </w:r>
      <w:r w:rsidRPr="007E3308">
        <w:rPr>
          <w:rFonts w:ascii="Calibri" w:hAnsi="Calibri" w:cs="Calibri"/>
          <w:noProof/>
          <w:sz w:val="22"/>
          <w:szCs w:val="24"/>
        </w:rPr>
        <w:tab/>
        <w:t>N. Cerca, G.B. Pier, M. Vilanova, R. Oliveira, J. Azeredo, Quantitative analysis of adhesion and biofilm formation on hydrophilic and hydrophobic surfaces of clinical isolates of Staphylococcus epidermidis, Res. Microbiol. 156 (2005) 506–514. doi:10.1016/j.resmic.2005.01.007.</w:t>
      </w:r>
    </w:p>
    <w:p w14:paraId="5029694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[102]</w:t>
      </w:r>
      <w:r w:rsidRPr="007E3308">
        <w:rPr>
          <w:rFonts w:ascii="Calibri" w:hAnsi="Calibri" w:cs="Calibri"/>
          <w:noProof/>
          <w:sz w:val="22"/>
          <w:szCs w:val="24"/>
        </w:rPr>
        <w:tab/>
        <w:t>J.J. Ojeda, M.E. Romero-Gonzalez, R.T. Bachmann, R.G.J. Edyvean, S.A. Banwart, Characterization of the cell surface and cell wall chemistry of drinking water bacteria by combining XPS, FTIR spectroscopy, modeling, and potentiometric titrations, Langmuir. 24 (2008) 4032–4040. doi:10.1021/la702284b.</w:t>
      </w:r>
    </w:p>
    <w:p w14:paraId="5FB9E67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[103]</w:t>
      </w:r>
      <w:r w:rsidRPr="007E3308">
        <w:rPr>
          <w:rFonts w:ascii="Calibri" w:hAnsi="Calibri" w:cs="Calibri"/>
          <w:noProof/>
          <w:sz w:val="22"/>
          <w:szCs w:val="24"/>
        </w:rPr>
        <w:tab/>
        <w:t>D. Naumann, Infrared Spectroscopy in Microbiology, in: Encycl. Anal. Chem., 2006: pp. 102–131.</w:t>
      </w:r>
    </w:p>
    <w:p w14:paraId="79CB8F0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[104]</w:t>
      </w:r>
      <w:r w:rsidRPr="007E3308">
        <w:rPr>
          <w:rFonts w:ascii="Calibri" w:hAnsi="Calibri" w:cs="Calibri"/>
          <w:noProof/>
          <w:sz w:val="22"/>
          <w:szCs w:val="24"/>
        </w:rPr>
        <w:tab/>
        <w:t>J.J. Ojeda, M. Dittrich, Fourier Transform Infrared Spectroscopy for Molecular Analysis of Microbial Cells, 2012. doi:10.1007/978-1-61779-827-6.</w:t>
      </w:r>
    </w:p>
    <w:p w14:paraId="113B5FB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[105]</w:t>
      </w:r>
      <w:r w:rsidRPr="007E3308">
        <w:rPr>
          <w:rFonts w:ascii="Calibri" w:hAnsi="Calibri" w:cs="Calibri"/>
          <w:noProof/>
          <w:sz w:val="22"/>
          <w:szCs w:val="24"/>
        </w:rPr>
        <w:tab/>
        <w:t>K. Eboigbodin, C. Biggs, Characterization of the extracellular polymeric substances produced by Escherichia coli using infrared spectroscopic, proteomic, and aggregation studies, Biomacromolecules. (2008) 686–695. http://pubs.acs.org/doi/abs/10.1021/bm701043c.</w:t>
      </w:r>
    </w:p>
    <w:p w14:paraId="2DD44E6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[106]</w:t>
      </w:r>
      <w:r w:rsidRPr="007E3308">
        <w:rPr>
          <w:rFonts w:ascii="Calibri" w:hAnsi="Calibri" w:cs="Calibri"/>
          <w:noProof/>
          <w:sz w:val="22"/>
          <w:szCs w:val="24"/>
        </w:rPr>
        <w:tab/>
        <w:t>J. Schmitt, H.-C. Flemming, FTIR-spectroscopy in microbial and material analysis, Int. Biodeterior. Biodegradation. 41 (1998) 1–11. doi:10.1016/S0964-8305(98)80002-4.</w:t>
      </w:r>
    </w:p>
    <w:p w14:paraId="44D03AC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[107]</w:t>
      </w:r>
      <w:r w:rsidRPr="007E3308">
        <w:rPr>
          <w:rFonts w:ascii="Calibri" w:hAnsi="Calibri" w:cs="Calibri"/>
          <w:noProof/>
          <w:sz w:val="22"/>
          <w:szCs w:val="24"/>
        </w:rPr>
        <w:tab/>
        <w:t>T. J.Silhavy, D. Kahne, S. Walker, The bacterial cell envelope, Cold Spring Harb. Perspect. Biol. 2 (2010) 1–17.</w:t>
      </w:r>
    </w:p>
    <w:p w14:paraId="036BC61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[108]</w:t>
      </w:r>
      <w:r w:rsidRPr="007E3308">
        <w:rPr>
          <w:rFonts w:ascii="Calibri" w:hAnsi="Calibri" w:cs="Calibri"/>
          <w:noProof/>
          <w:sz w:val="22"/>
          <w:szCs w:val="24"/>
        </w:rPr>
        <w:tab/>
        <w:t>W. Jiang, A. Saxena, B. Song, B.B. Ward, T.J. Beveridge, S.C.B. Myneni, Elucidation of Functional Groups on Gram-Positive and Gram-Negative Bacterial Surfaces Using Infrared Spectroscopy, Langmuir. 20 (2004) 11433–11442.</w:t>
      </w:r>
    </w:p>
    <w:p w14:paraId="589AA25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[109]</w:t>
      </w:r>
      <w:r w:rsidRPr="007E3308">
        <w:rPr>
          <w:rFonts w:ascii="Calibri" w:hAnsi="Calibri" w:cs="Calibri"/>
          <w:noProof/>
          <w:sz w:val="22"/>
          <w:szCs w:val="24"/>
        </w:rPr>
        <w:tab/>
        <w:t>H.C. van der Mei, J. de Vries, H.J. Busscher, X-ray photoelectron spectroscopy for the study of microbial cell surfaces, Surf. Sci. Rep. 39 (2000) 1–24.</w:t>
      </w:r>
    </w:p>
    <w:p w14:paraId="3F51C7F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[110]</w:t>
      </w:r>
      <w:r w:rsidRPr="007E3308">
        <w:rPr>
          <w:rFonts w:ascii="Calibri" w:hAnsi="Calibri" w:cs="Calibri"/>
          <w:noProof/>
          <w:sz w:val="22"/>
          <w:szCs w:val="24"/>
        </w:rPr>
        <w:tab/>
        <w:t xml:space="preserve">R. Zhang, T.R. Neu, Y. Zhang, S. Bellenberg, U. Kuhlicke, Q. Li, et al., Visualization and </w:t>
      </w:r>
      <w:r w:rsidRPr="007E3308">
        <w:rPr>
          <w:rFonts w:ascii="Calibri" w:hAnsi="Calibri" w:cs="Calibri"/>
          <w:noProof/>
          <w:sz w:val="22"/>
          <w:szCs w:val="24"/>
        </w:rPr>
        <w:lastRenderedPageBreak/>
        <w:t>analysis of EPS glycoconjugates of the thermoacidophilic archaeon Sulfolobus metallicus, Appl. Microbiol. Biotechnol. (2015). doi:10.1007/s00253-015-6775-y.</w:t>
      </w:r>
    </w:p>
    <w:p w14:paraId="3F71B7C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[111]</w:t>
      </w:r>
      <w:r w:rsidRPr="007E3308">
        <w:rPr>
          <w:rFonts w:ascii="Calibri" w:hAnsi="Calibri" w:cs="Calibri"/>
          <w:noProof/>
          <w:sz w:val="22"/>
          <w:szCs w:val="24"/>
        </w:rPr>
        <w:tab/>
        <w:t>P.G. Rouxhet, N. Mozes, P.B. Dengis, Y.F. Dufrene, P.A. Gerin, M.J. Genet, Application of X-ray photoelectron spectroscopy to microorganisms, Colloids Surfaces B Biointerfaces. 2 (1994) 347–369.</w:t>
      </w:r>
    </w:p>
    <w:p w14:paraId="08A3639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[112]</w:t>
      </w:r>
      <w:r w:rsidRPr="007E3308">
        <w:rPr>
          <w:rFonts w:ascii="Calibri" w:hAnsi="Calibri" w:cs="Calibri"/>
          <w:noProof/>
          <w:sz w:val="22"/>
          <w:szCs w:val="24"/>
        </w:rPr>
        <w:tab/>
        <w:t>S.L. Mcarthur, G. Mishra, C.D. Easton, Applications of XPS in biology and biointerface analysis, in: 2014: pp. 9–37. doi:10.1007/978-3-319-01360-2.</w:t>
      </w:r>
    </w:p>
    <w:p w14:paraId="7F2FA68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[113]</w:t>
      </w:r>
      <w:r w:rsidRPr="007E3308">
        <w:rPr>
          <w:rFonts w:ascii="Calibri" w:hAnsi="Calibri" w:cs="Calibri"/>
          <w:noProof/>
          <w:sz w:val="22"/>
          <w:szCs w:val="24"/>
        </w:rPr>
        <w:tab/>
        <w:t>Y.F. Dufrene, A. Van Der Wal, W. Norde, P.G. Rouxhet, X-Ray Photoelectron Spectroscopy Analysis of Whole Cells and Isolated Cell Walls of Gram-Positive Bacteria: Comparison with Biochemical Analysis, J. Bacteriol. 179 (1997) 1023–1028.</w:t>
      </w:r>
    </w:p>
    <w:p w14:paraId="6215C9F0" w14:textId="12BDAECC"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[114]</w:t>
      </w:r>
      <w:r w:rsidRPr="007E3308">
        <w:rPr>
          <w:rFonts w:ascii="Calibri" w:hAnsi="Calibri" w:cs="Calibri"/>
          <w:noProof/>
          <w:sz w:val="22"/>
          <w:szCs w:val="24"/>
        </w:rPr>
        <w:tab/>
        <w:t>M.C.</w:t>
      </w:r>
      <w:r w:rsidR="00C36D45">
        <w:rPr>
          <w:rFonts w:ascii="Calibri" w:hAnsi="Calibri" w:cs="Calibri"/>
          <w:noProof/>
          <w:sz w:val="22"/>
          <w:szCs w:val="24"/>
        </w:rPr>
        <w:t xml:space="preserve"> van</w:t>
      </w:r>
      <w:r w:rsidRPr="007E3308">
        <w:rPr>
          <w:rFonts w:ascii="Calibri" w:hAnsi="Calibri" w:cs="Calibri"/>
          <w:noProof/>
          <w:sz w:val="22"/>
          <w:szCs w:val="24"/>
        </w:rPr>
        <w:t xml:space="preserve"> Loosdrecht, J. Lyklema, W. Norde, G. Schraa, A.J.B. Zehnder, M.C. van Loosdrecht, Electrophoretic mobility and hydrophobicity as a measure To predict the initial steps of bacterial adhesion, Appl. Environ. Microbiol. 53 (1987) 1898–1901. doi:10.1007/BF00878244.</w:t>
      </w:r>
    </w:p>
    <w:p w14:paraId="78F0DE1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[115]</w:t>
      </w:r>
      <w:r w:rsidRPr="007E3308">
        <w:rPr>
          <w:rFonts w:ascii="Calibri" w:hAnsi="Calibri" w:cs="Calibri"/>
          <w:noProof/>
          <w:sz w:val="22"/>
          <w:szCs w:val="24"/>
        </w:rPr>
        <w:tab/>
        <w:t>H. Ohshima, Electrokinetic phenomena of soft particles, Curr. Opin. Colloid Interface Sci. 18 (2013) 73–82. doi:10.1016/j.cocis.2013.02.003.</w:t>
      </w:r>
    </w:p>
    <w:p w14:paraId="4B860E3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[116]</w:t>
      </w:r>
      <w:r w:rsidRPr="007E3308">
        <w:rPr>
          <w:rFonts w:ascii="Calibri" w:hAnsi="Calibri" w:cs="Calibri"/>
          <w:noProof/>
          <w:sz w:val="22"/>
          <w:szCs w:val="24"/>
        </w:rPr>
        <w:tab/>
        <w:t>H. Ohshima, Electrophoretic mobility of soft particles, Colloids Surfaces A Physicochem. Eng. Asp. 103 (1995) 249–255. doi:10.1016/0927-7757(95)03293-M.</w:t>
      </w:r>
    </w:p>
    <w:p w14:paraId="70DD6FB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[117]</w:t>
      </w:r>
      <w:r w:rsidRPr="007E3308">
        <w:rPr>
          <w:rFonts w:ascii="Calibri" w:hAnsi="Calibri" w:cs="Calibri"/>
          <w:noProof/>
          <w:sz w:val="22"/>
          <w:szCs w:val="24"/>
        </w:rPr>
        <w:tab/>
        <w:t>M.C. van Loosdrecht, J. Lyklema, W. Norde, G. Schraa,  a J. Zehnder, The role of bacterial cell wall hydrophobicity in adhesion, Appl. Environ. Microbiol. 53 (1987) 1893–1897. http://aem.asm.org/cgi/content/abstract/53/8/1893.</w:t>
      </w:r>
    </w:p>
    <w:p w14:paraId="7A13776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[118]</w:t>
      </w:r>
      <w:r w:rsidRPr="007E3308">
        <w:rPr>
          <w:rFonts w:ascii="Calibri" w:hAnsi="Calibri" w:cs="Calibri"/>
          <w:noProof/>
          <w:sz w:val="22"/>
          <w:szCs w:val="24"/>
        </w:rPr>
        <w:tab/>
        <w:t>H.J. Busscher, A.H. Weerkamp, H.C. van der Mei, W.J. Antoon, A.W. Van Pelt, H.P. de Jong, et al., Measurement of the Surface Free Energy of Bacterial Cell Surfaces and Its Relevance for Adhesion, Appl. Environ. Microbiol. 48 (1984) 980–983.</w:t>
      </w:r>
    </w:p>
    <w:p w14:paraId="57D78B3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[119]</w:t>
      </w:r>
      <w:r w:rsidRPr="007E3308">
        <w:rPr>
          <w:rFonts w:ascii="Calibri" w:hAnsi="Calibri" w:cs="Calibri"/>
          <w:noProof/>
          <w:sz w:val="22"/>
          <w:szCs w:val="24"/>
        </w:rPr>
        <w:tab/>
        <w:t>T.F. Tadros, General Principles of Colloid Stability and the Role of Surface Forces, in Colloid Stability: The Role of Surface Forces - Part I, Volume 1, 2006.</w:t>
      </w:r>
    </w:p>
    <w:p w14:paraId="0303D79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[120]</w:t>
      </w:r>
      <w:r w:rsidRPr="007E3308">
        <w:rPr>
          <w:rFonts w:ascii="Calibri" w:hAnsi="Calibri" w:cs="Calibri"/>
          <w:noProof/>
          <w:sz w:val="22"/>
          <w:szCs w:val="24"/>
        </w:rPr>
        <w:tab/>
        <w:t>A. Roosjen, H.J. Busscher, W. Norde, H.C. van der Mei, Bacterial factors influencing adhesion of Pseudomonas aeruginosa strains to a poly(ethylene oxide) brush., Microbiology. 152 (2006) 2673–82. doi:10.1099/mic.0.29005-0.</w:t>
      </w:r>
    </w:p>
    <w:p w14:paraId="4573120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[121]</w:t>
      </w:r>
      <w:r w:rsidRPr="007E3308">
        <w:rPr>
          <w:rFonts w:ascii="Calibri" w:hAnsi="Calibri" w:cs="Calibri"/>
          <w:noProof/>
          <w:sz w:val="22"/>
          <w:szCs w:val="24"/>
        </w:rPr>
        <w:tab/>
        <w:t>P.M. van Schie, M. Fletcher, Adhesion of biodegradative anaerobic bacteria to solid surfaces., Appl. Environ. Microbiol. 65 (1999) 5082–8. http://www.pubmedcentral.nih.gov/articlerender.fcgi?artid=91684&amp;tool=pmcentrez&amp;rendertype=abstract.</w:t>
      </w:r>
    </w:p>
    <w:p w14:paraId="6A8668C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[122]</w:t>
      </w:r>
      <w:r w:rsidRPr="007E3308">
        <w:rPr>
          <w:rFonts w:ascii="Calibri" w:hAnsi="Calibri" w:cs="Calibri"/>
          <w:noProof/>
          <w:sz w:val="22"/>
          <w:szCs w:val="24"/>
        </w:rPr>
        <w:tab/>
        <w:t xml:space="preserve">M.A. Vigeant, R.M. Ford, M. Wagner, L.K. Tamm, Reversible and Irreversible Adhesion of Motile Escherichia coli Cells Analyzed by Total Internal Reflection </w:t>
      </w:r>
      <w:r w:rsidRPr="007E3308">
        <w:rPr>
          <w:rFonts w:ascii="Calibri" w:hAnsi="Calibri" w:cs="Calibri"/>
          <w:noProof/>
          <w:sz w:val="22"/>
          <w:szCs w:val="24"/>
        </w:rPr>
        <w:lastRenderedPageBreak/>
        <w:t>Aqueous Fluorescence Microscopy, Appl. Environ. Microbiol. 68 (2002) 2794. doi:10.1128/AEM.68.6.2794.</w:t>
      </w:r>
    </w:p>
    <w:p w14:paraId="416ECF3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[123]</w:t>
      </w:r>
      <w:r w:rsidRPr="007E3308">
        <w:rPr>
          <w:rFonts w:ascii="Calibri" w:hAnsi="Calibri" w:cs="Calibri"/>
          <w:noProof/>
          <w:sz w:val="22"/>
          <w:szCs w:val="24"/>
        </w:rPr>
        <w:tab/>
        <w:t>A. Nescerecka, J. Rubulis, M. Vital, T. Juhna, F. Hammes, Biological instability in a chlorinated drinking water distribution network., PLoS One. 9 (2014) e96354. doi:10.1371/journal.pone.0096354.</w:t>
      </w:r>
    </w:p>
    <w:p w14:paraId="531170C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[124]</w:t>
      </w:r>
      <w:r w:rsidRPr="007E3308">
        <w:rPr>
          <w:rFonts w:ascii="Calibri" w:hAnsi="Calibri" w:cs="Calibri"/>
          <w:noProof/>
          <w:sz w:val="22"/>
          <w:szCs w:val="24"/>
        </w:rPr>
        <w:tab/>
        <w:t>Y. Jin, L.P. Samaranayake, Y. Samaranayake, H.K. Yip, Biofilm formation of Candida albicans is variably affected by saliva and dietary sugars., Arch. Oral Biol. 49 (2004) 789–98. doi:10.1016/j.archoralbio.2004.04.011.</w:t>
      </w:r>
    </w:p>
    <w:p w14:paraId="5F1FD09D"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[125]</w:t>
      </w:r>
      <w:r w:rsidRPr="007E3308">
        <w:rPr>
          <w:rFonts w:ascii="Calibri" w:hAnsi="Calibri" w:cs="Calibri"/>
          <w:noProof/>
          <w:sz w:val="22"/>
          <w:szCs w:val="24"/>
        </w:rPr>
        <w:tab/>
        <w:t>P. Sule, T. Wadhawan, N.J. Carr, S.M. Horne, A.J. Wolfe, B.M. Prü, A combination of assays reveals biomass differences in biofilms formed by E. coli mutants, Lett Appl Microbiol. 49 (2009) 299–304. doi:10.1111/j.1472-765X.2009.02659.x.A.</w:t>
      </w:r>
    </w:p>
    <w:p w14:paraId="629306D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[126]</w:t>
      </w:r>
      <w:r w:rsidRPr="007E3308">
        <w:rPr>
          <w:rFonts w:ascii="Calibri" w:hAnsi="Calibri" w:cs="Calibri"/>
          <w:noProof/>
          <w:sz w:val="22"/>
          <w:szCs w:val="24"/>
        </w:rPr>
        <w:tab/>
        <w:t>E. Gracia, A. Fernandez, P. Conchello, J.L. Alabart, M. Perez, B. Amorena, In vitro development of Staphylococcus aureus biofilms using slime-producing variants and ATP- bioluminescence for automated bacterial quantification, Luminescence. 14 (1999) 23–31.</w:t>
      </w:r>
    </w:p>
    <w:p w14:paraId="3D79CD2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[127]</w:t>
      </w:r>
      <w:r w:rsidRPr="007E3308">
        <w:rPr>
          <w:rFonts w:ascii="Calibri" w:hAnsi="Calibri" w:cs="Calibri"/>
          <w:noProof/>
          <w:sz w:val="22"/>
          <w:szCs w:val="24"/>
        </w:rPr>
        <w:tab/>
        <w:t>P. Shanmugam, N.J. Horan, Simple and rapid methods to evaluate methane potential and biomass yield for a range of mixed solid wastes., Bioresour. Technol. 100 (2009) 471–4. doi:10.1016/j.biortech.2008.06.027.</w:t>
      </w:r>
    </w:p>
    <w:p w14:paraId="04C03EB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[128]</w:t>
      </w:r>
      <w:r w:rsidRPr="007E3308">
        <w:rPr>
          <w:rFonts w:ascii="Calibri" w:hAnsi="Calibri" w:cs="Calibri"/>
          <w:noProof/>
          <w:sz w:val="22"/>
          <w:szCs w:val="24"/>
        </w:rPr>
        <w:tab/>
        <w:t>G. Shama, D.J. Malik, The uses and abuses of rapid bioluminescence-based ATP assays, Int. J. Hyg. Environ. Health. 216 (2013) 115–125. doi:10.1016/j.ijheh.2012.03.009.</w:t>
      </w:r>
    </w:p>
    <w:p w14:paraId="5E32BB6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[129]</w:t>
      </w:r>
      <w:r w:rsidRPr="007E3308">
        <w:rPr>
          <w:rFonts w:ascii="Calibri" w:hAnsi="Calibri" w:cs="Calibri"/>
          <w:noProof/>
          <w:sz w:val="22"/>
          <w:szCs w:val="24"/>
        </w:rPr>
        <w:tab/>
        <w:t>J.H. Merritt, D.E. Kadouri, G.A. O’Toole, Growing and Analyzing Static Biofilms, Curr. Protoc. Microbiol. 00:B:1B.1: (2005). doi:10.1002/9780471729259.mc01b01s00.</w:t>
      </w:r>
    </w:p>
    <w:p w14:paraId="5B4B94B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[130]</w:t>
      </w:r>
      <w:r w:rsidRPr="007E3308">
        <w:rPr>
          <w:rFonts w:ascii="Calibri" w:hAnsi="Calibri" w:cs="Calibri"/>
          <w:noProof/>
          <w:sz w:val="22"/>
          <w:szCs w:val="24"/>
        </w:rPr>
        <w:tab/>
        <w:t>G.A.O. Toole, R. Kolter, Initiation of biofilm formation in Pseudomonas fluorescens WCS365 proceeds via multiple , convergent signalling pathways : a genetic analysis, Mol. Microbiol. 28 (1998) 449–461.</w:t>
      </w:r>
    </w:p>
    <w:p w14:paraId="7D9407F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[131]</w:t>
      </w:r>
      <w:r w:rsidRPr="007E3308">
        <w:rPr>
          <w:rFonts w:ascii="Calibri" w:hAnsi="Calibri" w:cs="Calibri"/>
          <w:noProof/>
          <w:sz w:val="22"/>
          <w:szCs w:val="24"/>
        </w:rPr>
        <w:tab/>
        <w:t>S. Vesterlund, J. Paltta, M. Karp, A.C. Ouwehand, Measurement of bacterial adhesion-in vitro evaluation of different methods., J. Microbiol. Methods. 60 (2005) 225–33. doi:10.1016/j.mimet.2004.09.013.</w:t>
      </w:r>
    </w:p>
    <w:p w14:paraId="33027B6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[132]</w:t>
      </w:r>
      <w:r w:rsidRPr="007E3308">
        <w:rPr>
          <w:rFonts w:ascii="Calibri" w:hAnsi="Calibri" w:cs="Calibri"/>
          <w:noProof/>
          <w:sz w:val="22"/>
          <w:szCs w:val="24"/>
        </w:rPr>
        <w:tab/>
        <w:t>D. Djordjevic, M. Wiedmann, L.A. Mclandsborough, Microtiter Plate Assay for Assessment of Listeria monocytogenes Biofilm Formation, Appl. Environ. Microbiol. 68 (2002) 2950–2958. doi:10.1128/AEM.68.6.2950.</w:t>
      </w:r>
    </w:p>
    <w:p w14:paraId="0143FA67" w14:textId="11E79464"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[133]</w:t>
      </w:r>
      <w:r w:rsidRPr="007E3308">
        <w:rPr>
          <w:rFonts w:ascii="Calibri" w:hAnsi="Calibri" w:cs="Calibri"/>
          <w:noProof/>
          <w:sz w:val="22"/>
          <w:szCs w:val="24"/>
        </w:rPr>
        <w:tab/>
        <w:t xml:space="preserve">E. Karunakaran, C. </w:t>
      </w:r>
      <w:r w:rsidR="00C36D45">
        <w:rPr>
          <w:rFonts w:ascii="Calibri" w:hAnsi="Calibri" w:cs="Calibri"/>
          <w:noProof/>
          <w:sz w:val="22"/>
          <w:szCs w:val="24"/>
        </w:rPr>
        <w:t>A.</w:t>
      </w:r>
      <w:r w:rsidRPr="007E3308">
        <w:rPr>
          <w:rFonts w:ascii="Calibri" w:hAnsi="Calibri" w:cs="Calibri"/>
          <w:noProof/>
          <w:sz w:val="22"/>
          <w:szCs w:val="24"/>
        </w:rPr>
        <w:t xml:space="preserve"> Biggs, Mechanisms of Bacillus cereus biofilm formation: an investigation of the physicochemical characteristics of cell surfaces and extracellular proteins., Appl. Microbiol. Biotechnol. 89 (2011) 1161–75. doi:10.1007/s00253-010-</w:t>
      </w:r>
      <w:r w:rsidRPr="007E3308">
        <w:rPr>
          <w:rFonts w:ascii="Calibri" w:hAnsi="Calibri" w:cs="Calibri"/>
          <w:noProof/>
          <w:sz w:val="22"/>
          <w:szCs w:val="24"/>
        </w:rPr>
        <w:lastRenderedPageBreak/>
        <w:t>2919-2.</w:t>
      </w:r>
    </w:p>
    <w:p w14:paraId="27EA03C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[134]</w:t>
      </w:r>
      <w:r w:rsidRPr="007E3308">
        <w:rPr>
          <w:rFonts w:ascii="Calibri" w:hAnsi="Calibri" w:cs="Calibri"/>
          <w:noProof/>
          <w:sz w:val="22"/>
          <w:szCs w:val="24"/>
        </w:rPr>
        <w:tab/>
        <w:t>F. Pantanella, P. Valenti, T. Natalizi, D. Passeri, Analytical techniques to study microbial biofilm on abiotic surfaces : pros and cons of the main techniques currently in use, Ann Ing. 25 (2013) 31–42. doi:10.7416/ai.2013.1904.</w:t>
      </w:r>
    </w:p>
    <w:p w14:paraId="57A0CD2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[135]</w:t>
      </w:r>
      <w:r w:rsidRPr="007E3308">
        <w:rPr>
          <w:rFonts w:ascii="Calibri" w:hAnsi="Calibri" w:cs="Calibri"/>
          <w:noProof/>
          <w:sz w:val="22"/>
          <w:szCs w:val="24"/>
        </w:rPr>
        <w:tab/>
        <w:t>M. Strathmann, J. Wingender, H.-C. Flemming, Application of fluorescently labelled lectins for the visualization and biochemical characterization of polysaccharides in biofilms of Pseudomonas aeruginosa., J. Microbiol. Methods. 50 (2002) 237–48. http://www.ncbi.nlm.nih.gov/pubmed/12031574.</w:t>
      </w:r>
    </w:p>
    <w:p w14:paraId="4EEA416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[136]</w:t>
      </w:r>
      <w:r w:rsidRPr="007E3308">
        <w:rPr>
          <w:rFonts w:ascii="Calibri" w:hAnsi="Calibri" w:cs="Calibri"/>
          <w:noProof/>
          <w:sz w:val="22"/>
          <w:szCs w:val="24"/>
        </w:rPr>
        <w:tab/>
        <w:t>B. Tarnowski, F.G. Spinale, J.H. Nicholson, DAPl as a Useful Stain for Nuclear Quantitation, Biotech. Histochem. (1991) 296–302.</w:t>
      </w:r>
    </w:p>
    <w:p w14:paraId="0BDC808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[137]</w:t>
      </w:r>
      <w:r w:rsidRPr="007E3308">
        <w:rPr>
          <w:rFonts w:ascii="Calibri" w:hAnsi="Calibri" w:cs="Calibri"/>
          <w:noProof/>
          <w:sz w:val="22"/>
          <w:szCs w:val="24"/>
        </w:rPr>
        <w:tab/>
        <w:t>S. Leuko, A. Legat, S. Fendrihan, H. Stan-lotter, Evaluation of the LIVE / DEAD Bac Light Kit for Detection of Extremophilic Archaea and Visualization of Microorganisms in Environmental Hypersaline Samples, Appl. Environ. Microbiol. 70 (2004) 6884–6886. doi:10.1128/AEM.70.11.6884.</w:t>
      </w:r>
    </w:p>
    <w:p w14:paraId="253BD95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[138]</w:t>
      </w:r>
      <w:r w:rsidRPr="007E3308">
        <w:rPr>
          <w:rFonts w:ascii="Calibri" w:hAnsi="Calibri" w:cs="Calibri"/>
          <w:noProof/>
          <w:sz w:val="22"/>
          <w:szCs w:val="24"/>
        </w:rPr>
        <w:tab/>
        <w:t>K.E. Fish, R. Collins, N.H. Green, R.L. Sharpe, I. Douterelo, A.M. Osborn, et al., Characterisation of the Physical Composition and Microbial Community Structure of Biofilms within a Model Full-Scale Drinking Water Distribution System, PLoS One. 10 (2015) 1–22. doi:10.1371/journal.pone.0115824.</w:t>
      </w:r>
    </w:p>
    <w:p w14:paraId="040EBD9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[139]</w:t>
      </w:r>
      <w:r w:rsidRPr="007E3308">
        <w:rPr>
          <w:rFonts w:ascii="Calibri" w:hAnsi="Calibri" w:cs="Calibri"/>
          <w:noProof/>
          <w:sz w:val="22"/>
          <w:szCs w:val="24"/>
        </w:rPr>
        <w:tab/>
        <w:t>M.-Y. Chen, D.-J. Lee, Z. Yang, X.F. Peng, J.Y. Lai, Fluorecent staining for study of extracellular polymeric substances in membrane biofouling layers., Environ. Sci. Technol. 40 (2006) 6642–6. http://www.ncbi.nlm.nih.gov/pubmed/17144290.</w:t>
      </w:r>
    </w:p>
    <w:p w14:paraId="448B5C6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[140]</w:t>
      </w:r>
      <w:r w:rsidRPr="007E3308">
        <w:rPr>
          <w:rFonts w:ascii="Calibri" w:hAnsi="Calibri" w:cs="Calibri"/>
          <w:noProof/>
          <w:sz w:val="22"/>
          <w:szCs w:val="24"/>
        </w:rPr>
        <w:tab/>
        <w:t>B.S. Mcswain, R.L. Irvine, M. Hausner, P.A. Wilderer, Composition and Distribution of Extracellular Polymeric Substances in Aerobic Flocs and Granular Sludge, Appl. Environ. Microbiol. 71 (2005) 1051–1057. doi:10.1128/AEM.71.2.1051.</w:t>
      </w:r>
    </w:p>
    <w:p w14:paraId="31640D5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[141]</w:t>
      </w:r>
      <w:r w:rsidRPr="007E3308">
        <w:rPr>
          <w:rFonts w:ascii="Calibri" w:hAnsi="Calibri" w:cs="Calibri"/>
          <w:noProof/>
          <w:sz w:val="22"/>
          <w:szCs w:val="24"/>
        </w:rPr>
        <w:tab/>
        <w:t>S. Fröls, M. Dyall-Smith, F. Pfeifer, Biofilm formation by haloarchaea., Environ. Microbiol. 14 (2012) 3159–74. doi:10.1111/j.1462-2920.2012.02895.x.</w:t>
      </w:r>
    </w:p>
    <w:p w14:paraId="6660B87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[142]</w:t>
      </w:r>
      <w:r w:rsidRPr="007E3308">
        <w:rPr>
          <w:rFonts w:ascii="Calibri" w:hAnsi="Calibri" w:cs="Calibri"/>
          <w:noProof/>
          <w:sz w:val="22"/>
          <w:szCs w:val="24"/>
        </w:rPr>
        <w:tab/>
        <w:t>P.R. Graves, T.A.J. Haystead, Molecular Biologist’s Guide to Proteomics, Microbiol. Mol. Biol. Rev. 66 (2002) 39–63.</w:t>
      </w:r>
    </w:p>
    <w:p w14:paraId="2791A2B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[143]</w:t>
      </w:r>
      <w:r w:rsidRPr="007E3308">
        <w:rPr>
          <w:rFonts w:ascii="Calibri" w:hAnsi="Calibri" w:cs="Calibri"/>
          <w:noProof/>
          <w:sz w:val="22"/>
          <w:szCs w:val="24"/>
        </w:rPr>
        <w:tab/>
        <w:t>J.C. Kort, D. Esser, T.K. Pham, J. Noirel, P.C. Wright, B. Siebers, A cool tool for hot and sour Archaea: Proteomics of Sulfolobus solfataricus, Proteomics. 13 (2013) 2831–2850. doi:10.1002/pmic.201300088.</w:t>
      </w:r>
    </w:p>
    <w:p w14:paraId="191C3F7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[144]</w:t>
      </w:r>
      <w:r w:rsidRPr="007E3308">
        <w:rPr>
          <w:rFonts w:ascii="Calibri" w:hAnsi="Calibri" w:cs="Calibri"/>
          <w:noProof/>
          <w:sz w:val="22"/>
          <w:szCs w:val="24"/>
        </w:rPr>
        <w:tab/>
        <w:t>H. Steen, M. Mann, The ABC’s (and XYZ’s) of peptide sequencing., Nat. Rev. Mol. Cell Biol. 5 (2004) 699–711. doi:10.1038/nrm1468.</w:t>
      </w:r>
    </w:p>
    <w:p w14:paraId="6BBC85A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[145]</w:t>
      </w:r>
      <w:r w:rsidRPr="007E3308">
        <w:rPr>
          <w:rFonts w:ascii="Calibri" w:hAnsi="Calibri" w:cs="Calibri"/>
          <w:noProof/>
          <w:sz w:val="22"/>
          <w:szCs w:val="24"/>
        </w:rPr>
        <w:tab/>
        <w:t xml:space="preserve">A. Bodzon-Kulakowska, A. Bierczynska-Krzysik, T. Dylag, A. Drabik, P. Suder, M. Noga, et al., Methods for samples preparation in proteomic research, J. Chromatogr. B </w:t>
      </w:r>
      <w:r w:rsidRPr="007E3308">
        <w:rPr>
          <w:rFonts w:ascii="Calibri" w:hAnsi="Calibri" w:cs="Calibri"/>
          <w:noProof/>
          <w:sz w:val="22"/>
          <w:szCs w:val="24"/>
        </w:rPr>
        <w:lastRenderedPageBreak/>
        <w:t>Anal. Technol. Biomed. Life Sci. 849 (2007) 1–31. doi:10.1016/j.jchromb.2006.10.040.</w:t>
      </w:r>
    </w:p>
    <w:p w14:paraId="3A6089C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[146]</w:t>
      </w:r>
      <w:r w:rsidRPr="007E3308">
        <w:rPr>
          <w:rFonts w:ascii="Calibri" w:hAnsi="Calibri" w:cs="Calibri"/>
          <w:noProof/>
          <w:sz w:val="22"/>
          <w:szCs w:val="24"/>
        </w:rPr>
        <w:tab/>
        <w:t>A.I. Nesvizhskii, R. Aebersold, Analysis, statistical validation and dissemination of large-scale proteomics datasets generated by tandem MS, Drug Discov. Today. 9 (2004) 173–181. doi:10.1016/S1359-6446(03)02978-7.</w:t>
      </w:r>
    </w:p>
    <w:p w14:paraId="249241A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[147]</w:t>
      </w:r>
      <w:r w:rsidRPr="007E3308">
        <w:rPr>
          <w:rFonts w:ascii="Calibri" w:hAnsi="Calibri" w:cs="Calibri"/>
          <w:noProof/>
          <w:sz w:val="22"/>
          <w:szCs w:val="24"/>
        </w:rPr>
        <w:tab/>
        <w:t>K. Chandramouli, P.-Y. Qian, Proteomics: challenges, techniques and possibilities to overcome biological sample complexity., Hum. Genomics Proteomics. 2009 (2009). doi:10.4061/2009/239204.</w:t>
      </w:r>
    </w:p>
    <w:p w14:paraId="19EC890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[148]</w:t>
      </w:r>
      <w:r w:rsidRPr="007E3308">
        <w:rPr>
          <w:rFonts w:ascii="Calibri" w:hAnsi="Calibri" w:cs="Calibri"/>
          <w:noProof/>
          <w:sz w:val="22"/>
          <w:szCs w:val="24"/>
        </w:rPr>
        <w:tab/>
        <w:t>H.K. Hustoft, H. Malerod, S.R. Wilson, L. Reubsaet, E. Lundanes, T. Greibrokk, A Critical Review of Trypsin Digestion for LC-MS Based Proteomics, Integr. Proteomics. (2010) 73–92. doi:10.5772/2473.</w:t>
      </w:r>
    </w:p>
    <w:p w14:paraId="22513BE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[149]</w:t>
      </w:r>
      <w:r w:rsidRPr="007E3308">
        <w:rPr>
          <w:rFonts w:ascii="Calibri" w:hAnsi="Calibri" w:cs="Calibri"/>
          <w:noProof/>
          <w:sz w:val="22"/>
          <w:szCs w:val="24"/>
        </w:rPr>
        <w:tab/>
        <w:t>A.M. Seddon, P. Curnow, P.J. Booth, Membrane proteins, lipids and detergents: Not just a soap opera, Biochim. Biophys. Acta - Biomembr. (2004). doi:10.1016/j.bbamem.2004.04.011.</w:t>
      </w:r>
    </w:p>
    <w:p w14:paraId="217360B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[150]</w:t>
      </w:r>
      <w:r w:rsidRPr="007E3308">
        <w:rPr>
          <w:rFonts w:ascii="Calibri" w:hAnsi="Calibri" w:cs="Calibri"/>
          <w:noProof/>
          <w:sz w:val="22"/>
          <w:szCs w:val="24"/>
        </w:rPr>
        <w:tab/>
        <w:t>A.E. Speers, C.C. Wu, Proteomics of integral membrane proteins--theory and application., Chem. Rev. 107 (2007) 3687–3714. doi:10.1021/cr068286z.</w:t>
      </w:r>
    </w:p>
    <w:p w14:paraId="6251F98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[151]</w:t>
      </w:r>
      <w:r w:rsidRPr="007E3308">
        <w:rPr>
          <w:rFonts w:ascii="Calibri" w:hAnsi="Calibri" w:cs="Calibri"/>
          <w:noProof/>
          <w:sz w:val="22"/>
          <w:szCs w:val="24"/>
        </w:rPr>
        <w:tab/>
        <w:t>A. Tanca, G. Biosa, D. Pagnozzi, M.F. Addis, S. Uzzau, Comparison of detergent-based sample preparation workflows for LTQ-Orbitrap analysis of the Escherichia coli proteome, Proteomics. 13 (2013) 2597–2607. doi:10.1002/pmic.201200478.</w:t>
      </w:r>
    </w:p>
    <w:p w14:paraId="7DDDF6C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[152]</w:t>
      </w:r>
      <w:r w:rsidRPr="007E3308">
        <w:rPr>
          <w:rFonts w:ascii="Calibri" w:hAnsi="Calibri" w:cs="Calibri"/>
          <w:noProof/>
          <w:sz w:val="22"/>
          <w:szCs w:val="24"/>
        </w:rPr>
        <w:tab/>
        <w:t>Y. Zhang, B.R. Fonslow, B. Shan, M. Baek, J.R. Yates, Protein Analysis by Shotgun / Bottom-up Proteomics, Chem. Rev. 113 (2013) 2343–2394. doi:10.1021/cr3003533.Protein.</w:t>
      </w:r>
    </w:p>
    <w:p w14:paraId="4751D2A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[153]</w:t>
      </w:r>
      <w:r w:rsidRPr="007E3308">
        <w:rPr>
          <w:rFonts w:ascii="Calibri" w:hAnsi="Calibri" w:cs="Calibri"/>
          <w:noProof/>
          <w:sz w:val="22"/>
          <w:szCs w:val="24"/>
        </w:rPr>
        <w:tab/>
        <w:t>S.C. Tan, B.C. Yiap, DNA, RNA, and protein extraction: The past and the present, J. Biomed. Biotechnol. 2009 (2009) 1–10. doi:10.1155/2009/574398.</w:t>
      </w:r>
    </w:p>
    <w:p w14:paraId="290AB20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[154]</w:t>
      </w:r>
      <w:r w:rsidRPr="007E3308">
        <w:rPr>
          <w:rFonts w:ascii="Calibri" w:hAnsi="Calibri" w:cs="Calibri"/>
          <w:noProof/>
          <w:sz w:val="22"/>
          <w:szCs w:val="24"/>
        </w:rPr>
        <w:tab/>
        <w:t>C.L. Corthals, V.C. Wasinger, D.F. Hochstrasser, J.C. Sanchez, The dynamic range of protein expression: A challenge for proteomic research, Electrophoresis. 21 (2000) 1104–1115. doi:10.1002/(SICI)1522-2683(20000401)21:6&lt;1104::AID-ELPS1104&gt;3.0.CO;2-C.</w:t>
      </w:r>
    </w:p>
    <w:p w14:paraId="1A5C5ED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[155]</w:t>
      </w:r>
      <w:r w:rsidRPr="007E3308">
        <w:rPr>
          <w:rFonts w:ascii="Calibri" w:hAnsi="Calibri" w:cs="Calibri"/>
          <w:noProof/>
          <w:sz w:val="22"/>
          <w:szCs w:val="24"/>
        </w:rPr>
        <w:tab/>
        <w:t>W. Wray, T. Boulikas, V.P. Wray, R. Hancock, Silver staining of proteins in polyacrylamide gels, Anal. Biochem. 118 (1981) 197–203. doi:10.1038/nprot.2006.288.</w:t>
      </w:r>
    </w:p>
    <w:p w14:paraId="64AFC6C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[156]</w:t>
      </w:r>
      <w:r w:rsidRPr="007E3308">
        <w:rPr>
          <w:rFonts w:ascii="Calibri" w:hAnsi="Calibri" w:cs="Calibri"/>
          <w:noProof/>
          <w:sz w:val="22"/>
          <w:szCs w:val="24"/>
        </w:rPr>
        <w:tab/>
        <w:t>D.R. Stoll, L. Xiaoping, X. Wang, P.W. Carr, S.E.G. Porter, S.C. Rutan, Fast, comprehensive two-dimensional liquid chromatography, J. Chromatogr. A. 1168 (2007) 1–92. doi:10.1016/j.chroma.2007.08.054.Fast.</w:t>
      </w:r>
    </w:p>
    <w:p w14:paraId="4668DA1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[157]</w:t>
      </w:r>
      <w:r w:rsidRPr="007E3308">
        <w:rPr>
          <w:rFonts w:ascii="Calibri" w:hAnsi="Calibri" w:cs="Calibri"/>
          <w:noProof/>
          <w:sz w:val="22"/>
          <w:szCs w:val="24"/>
        </w:rPr>
        <w:tab/>
        <w:t xml:space="preserve">R.M. Smith, B efore the injection—modern methods of sample preparation for </w:t>
      </w:r>
      <w:r w:rsidRPr="007E3308">
        <w:rPr>
          <w:rFonts w:ascii="Calibri" w:hAnsi="Calibri" w:cs="Calibri"/>
          <w:noProof/>
          <w:sz w:val="22"/>
          <w:szCs w:val="24"/>
        </w:rPr>
        <w:lastRenderedPageBreak/>
        <w:t>separation techniques, J. Chromatogr. A. 1000 (2003) 3–27. www.elsevier.com.</w:t>
      </w:r>
    </w:p>
    <w:p w14:paraId="3F83877C"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[158]</w:t>
      </w:r>
      <w:r w:rsidRPr="007E3308">
        <w:rPr>
          <w:rFonts w:ascii="Calibri" w:hAnsi="Calibri" w:cs="Calibri"/>
          <w:noProof/>
          <w:sz w:val="22"/>
          <w:szCs w:val="24"/>
        </w:rPr>
        <w:tab/>
        <w:t>B. Manadas, V.M. Mendes, J. English, M.J. Dunn, Peptide fractionation in proteomics approaches, Expert Rev. Proteomics. 7 (2010) 655–663. doi:10.1586/epr.10.46.</w:t>
      </w:r>
    </w:p>
    <w:p w14:paraId="33F185CD"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[159]</w:t>
      </w:r>
      <w:r w:rsidRPr="007E3308">
        <w:rPr>
          <w:rFonts w:ascii="Calibri" w:hAnsi="Calibri" w:cs="Calibri"/>
          <w:noProof/>
          <w:sz w:val="22"/>
          <w:szCs w:val="24"/>
        </w:rPr>
        <w:tab/>
        <w:t>J. Noirel, C. Evans, M. Salim, J. Mukherjee, S. Yen Ow, J. Pandhal, et al., Methods in Quantitative Proteomics: Setting iTRAQ on the Right Track, Curr. Proteomics. 8 (2011) 17–30. doi:10.2174/157016411794697408.</w:t>
      </w:r>
    </w:p>
    <w:p w14:paraId="53A6D69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[160]</w:t>
      </w:r>
      <w:r w:rsidRPr="007E3308">
        <w:rPr>
          <w:rFonts w:ascii="Calibri" w:hAnsi="Calibri" w:cs="Calibri"/>
          <w:noProof/>
          <w:sz w:val="22"/>
          <w:szCs w:val="24"/>
        </w:rPr>
        <w:tab/>
        <w:t>S.Y. Ow, M. Salim, J. Noirel, C. Evans, I. Rehman, P.C. Wright, iTRAQ Underestimation in Simple and Complex Mixtures : “ The Good , the Bad and the Ugly ,” J. Proteome Res. 8 (2009) 5347–5355.</w:t>
      </w:r>
    </w:p>
    <w:p w14:paraId="42829BB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[161]</w:t>
      </w:r>
      <w:r w:rsidRPr="007E3308">
        <w:rPr>
          <w:rFonts w:ascii="Calibri" w:hAnsi="Calibri" w:cs="Calibri"/>
          <w:noProof/>
          <w:sz w:val="22"/>
          <w:szCs w:val="24"/>
        </w:rPr>
        <w:tab/>
        <w:t>E. Gunnigle, P. McCay, M. Fuszard, C.H. Botting, F. Abram, V. O’Flaherty, A functional approach to uncover the low-temperature adaptation strategies of the archaeon Methanosarcina barkeri., Appl. Environ. Microbiol. 79 (2013) 4210–9. doi:10.1128/AEM.03787-12.</w:t>
      </w:r>
    </w:p>
    <w:p w14:paraId="279CC54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[162]</w:t>
      </w:r>
      <w:r w:rsidRPr="007E3308">
        <w:rPr>
          <w:rFonts w:ascii="Calibri" w:hAnsi="Calibri" w:cs="Calibri"/>
          <w:noProof/>
          <w:sz w:val="22"/>
          <w:szCs w:val="24"/>
        </w:rPr>
        <w:tab/>
        <w:t>T.J. Williams, D.W. Burg, H. Ertan, M.J. Raftery, A. Poljak, M. Guilhaus, et al., Global proteomic analysis of the insoluble, soluble, and supernatant fractions of the psychrophilic archaeon Methanococcoides burtonii part II: The effect of different methylated growth substrates, J. Proteome Res. 9 (2010) 653–663. doi:10.1021/pr9005102.</w:t>
      </w:r>
    </w:p>
    <w:p w14:paraId="4448E9B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[163]</w:t>
      </w:r>
      <w:r w:rsidRPr="007E3308">
        <w:rPr>
          <w:rFonts w:ascii="Calibri" w:hAnsi="Calibri" w:cs="Calibri"/>
          <w:noProof/>
          <w:sz w:val="22"/>
          <w:szCs w:val="24"/>
        </w:rPr>
        <w:tab/>
        <w:t>H.R. Fuller, G.E. Morris, Quantitative Proteomics Using iTRAQ Labeling and Mass Spectrometry, Integr. Proteomics. (2012) 442.</w:t>
      </w:r>
    </w:p>
    <w:p w14:paraId="3C3A0E4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[164]</w:t>
      </w:r>
      <w:r w:rsidRPr="007E3308">
        <w:rPr>
          <w:rFonts w:ascii="Calibri" w:hAnsi="Calibri" w:cs="Calibri"/>
          <w:noProof/>
          <w:sz w:val="22"/>
          <w:szCs w:val="24"/>
        </w:rPr>
        <w:tab/>
        <w:t>N. Solis, S.J. Cordwell, Current methodologies for proteomics of bacterial surface-exposed and cell envelope proteins, Proteomics. 11 (2011) 3169–3189. doi:10.1002/pmic.201000808.</w:t>
      </w:r>
    </w:p>
    <w:p w14:paraId="1A42B7F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[165]</w:t>
      </w:r>
      <w:r w:rsidRPr="007E3308">
        <w:rPr>
          <w:rFonts w:ascii="Calibri" w:hAnsi="Calibri" w:cs="Calibri"/>
          <w:noProof/>
          <w:sz w:val="22"/>
          <w:szCs w:val="24"/>
        </w:rPr>
        <w:tab/>
        <w:t>A. Glen, C.A. Evans, C.S. Gan, S.S. Cross, F.C. Hamdy, J. Gibbins, et al., Eight-plex iTRAQ analysis of variant metastatic human prostate cancer cells identifies candidate biomarkers of progression: An exploratory study, Prostate. 70 (2010) 1313–1332. doi:10.1002/pros.21167.</w:t>
      </w:r>
    </w:p>
    <w:p w14:paraId="0C98A0C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[166]</w:t>
      </w:r>
      <w:r w:rsidRPr="007E3308">
        <w:rPr>
          <w:rFonts w:ascii="Calibri" w:hAnsi="Calibri" w:cs="Calibri"/>
          <w:noProof/>
          <w:sz w:val="22"/>
          <w:szCs w:val="24"/>
        </w:rPr>
        <w:tab/>
        <w:t>K. Sauer, The genomics and proteomics of biofilm formation., Genome Biol. 4 (2003) 219. doi:10.1186/gb-2003-4-6-219.</w:t>
      </w:r>
    </w:p>
    <w:p w14:paraId="565DAE0A" w14:textId="02C73D76"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[167]</w:t>
      </w:r>
      <w:r w:rsidRPr="007E3308">
        <w:rPr>
          <w:rFonts w:ascii="Calibri" w:hAnsi="Calibri" w:cs="Calibri"/>
          <w:noProof/>
          <w:sz w:val="22"/>
          <w:szCs w:val="24"/>
        </w:rPr>
        <w:tab/>
        <w:t>J. Maupin-Furlow, M. Humbard, P.A. Kirkland, Extreme challenges and advances in archaeal proteomics, Curr. Opin. Microbiol. 15 (2012) 351–356. doi:10.1016/j.mib.2012.02.002.</w:t>
      </w:r>
    </w:p>
    <w:p w14:paraId="62EAA01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[168]</w:t>
      </w:r>
      <w:r w:rsidRPr="007E3308">
        <w:rPr>
          <w:rFonts w:ascii="Calibri" w:hAnsi="Calibri" w:cs="Calibri"/>
          <w:noProof/>
          <w:sz w:val="22"/>
          <w:szCs w:val="24"/>
        </w:rPr>
        <w:tab/>
        <w:t>Q. Xia, T. Wang, E.L. Hendrickson, T.J. Lie, M. Hackett, J. a Leigh, Quantitative proteomics of nutrient limitation in the hydrogenotrophic methanogen Methanococcus maripaludis., BMC Microbiol. 9 (2009) 149. doi:10.1186/1471-2180-</w:t>
      </w:r>
      <w:r w:rsidRPr="007E3308">
        <w:rPr>
          <w:rFonts w:ascii="Calibri" w:hAnsi="Calibri" w:cs="Calibri"/>
          <w:noProof/>
          <w:sz w:val="22"/>
          <w:szCs w:val="24"/>
        </w:rPr>
        <w:lastRenderedPageBreak/>
        <w:t>9-149.</w:t>
      </w:r>
    </w:p>
    <w:p w14:paraId="5E0D09E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[169]</w:t>
      </w:r>
      <w:r w:rsidRPr="007E3308">
        <w:rPr>
          <w:rFonts w:ascii="Calibri" w:hAnsi="Calibri" w:cs="Calibri"/>
          <w:noProof/>
          <w:sz w:val="22"/>
          <w:szCs w:val="24"/>
        </w:rPr>
        <w:tab/>
        <w:t>K.L. Anderson, E.E. Apolinario, K.R. Sowers, Desiccation as a long-term survival mechanism for the archaeon Methanosarcina barkeri., Appl. Environ. Microbiol. 78 (2012) 1473–9. doi:10.1128/AEM.06964-11.</w:t>
      </w:r>
    </w:p>
    <w:p w14:paraId="35425B9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[170]</w:t>
      </w:r>
      <w:r w:rsidRPr="007E3308">
        <w:rPr>
          <w:rFonts w:ascii="Calibri" w:hAnsi="Calibri" w:cs="Calibri"/>
          <w:noProof/>
          <w:sz w:val="22"/>
          <w:szCs w:val="24"/>
        </w:rPr>
        <w:tab/>
        <w:t>Q. Li, L. Li, T. Rejtar, B.L. Karger, J.G. Ferry, Proteome of Methanosarcina acetivorans part I: An expanded view of the biology of the cell, J. Proteome Res. 4 (2005) 112–128. doi:10.1021/pr049832c.</w:t>
      </w:r>
    </w:p>
    <w:p w14:paraId="4DC11DF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[171]</w:t>
      </w:r>
      <w:r w:rsidRPr="007E3308">
        <w:rPr>
          <w:rFonts w:ascii="Calibri" w:hAnsi="Calibri" w:cs="Calibri"/>
          <w:noProof/>
          <w:sz w:val="22"/>
          <w:szCs w:val="24"/>
        </w:rPr>
        <w:tab/>
        <w:t>Q. Li, L. Li, T. Rejtar, B.L. Karger, J.G. Ferry, Proteome of Methanosarcina acetivorans part II: Comparison of protein levels in acetate- and methanol-grown cells, J. Proteome Res. 4 (2005) 129–135. doi:10.1021/pr049831k.</w:t>
      </w:r>
    </w:p>
    <w:p w14:paraId="04A7E36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[172]</w:t>
      </w:r>
      <w:r w:rsidRPr="007E3308">
        <w:rPr>
          <w:rFonts w:ascii="Calibri" w:hAnsi="Calibri" w:cs="Calibri"/>
          <w:noProof/>
          <w:sz w:val="22"/>
          <w:szCs w:val="24"/>
        </w:rPr>
        <w:tab/>
        <w:t>B. Mshandete, A.M., Bjornsson, L., Kivaisi, A.K., Rubindamayugi, M.S.T., Mattiasson, Performance of biofilm carriers in anaerobic digestion of sisal leaf waste leachate, Electron. J. Biotechnol. 11 (2008) 1–8. doi:10.2225/vol10-issue4-fulltext-7.</w:t>
      </w:r>
    </w:p>
    <w:p w14:paraId="37CBA94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[173]</w:t>
      </w:r>
      <w:r w:rsidRPr="007E3308">
        <w:rPr>
          <w:rFonts w:ascii="Calibri" w:hAnsi="Calibri" w:cs="Calibri"/>
          <w:noProof/>
          <w:sz w:val="22"/>
          <w:szCs w:val="24"/>
        </w:rPr>
        <w:tab/>
        <w:t>S. Andersson, M. Nilsson, G. Dalhammar, G.K. Rajarao, Assessment of carrier materials for biofilm formation and denitrification, Vatten. 64 (2008) 201–207.</w:t>
      </w:r>
    </w:p>
    <w:p w14:paraId="1B28FD5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[174]</w:t>
      </w:r>
      <w:r w:rsidRPr="007E3308">
        <w:rPr>
          <w:rFonts w:ascii="Calibri" w:hAnsi="Calibri" w:cs="Calibri"/>
          <w:noProof/>
          <w:sz w:val="22"/>
          <w:szCs w:val="24"/>
        </w:rPr>
        <w:tab/>
        <w:t>V.V. Rodríguez, H.J. Busscher, H.C. Van Der Mei, V. Vadillo Rodriguez, H.J. Busscher, H.C. van der Mei, Macroscopic and microscopic adhesive properties of microbial cell surfaces, Biofilms Med. Ind. Environ. Biotechnol. (2003) 1–10. y:%5Cpapers_old%5Cv%5CVadilloRodriguez2003.pdf.</w:t>
      </w:r>
    </w:p>
    <w:p w14:paraId="0E8C3E4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[175]</w:t>
      </w:r>
      <w:r w:rsidRPr="007E3308">
        <w:rPr>
          <w:rFonts w:ascii="Calibri" w:hAnsi="Calibri" w:cs="Calibri"/>
          <w:noProof/>
          <w:sz w:val="22"/>
          <w:szCs w:val="24"/>
        </w:rPr>
        <w:tab/>
        <w:t>M. Henze, Y. Comeau, Wastewater Characterization, in: M. Henze, M.C.M. van Loosdrecht, G.A. Ekama, D. Brdjanovic (Eds.), Biol. Wastewater Treat. Princ. Model. Des., IWA Publishing, London, UK, London, 2008: pp. 33–52. http://ocw.unesco-ihe.org/pluginfile.php/462/mod_resource/content/1/Urban_Drainage_and_Sewerage/5_Wet_Weather_and_Dry_Weather_Flow_Characterisation/DWF_characterization/Notes/Wastewater characterization.pdf.</w:t>
      </w:r>
    </w:p>
    <w:p w14:paraId="353D5EA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[176]</w:t>
      </w:r>
      <w:r w:rsidRPr="007E3308">
        <w:rPr>
          <w:rFonts w:ascii="Calibri" w:hAnsi="Calibri" w:cs="Calibri"/>
          <w:noProof/>
          <w:sz w:val="22"/>
          <w:szCs w:val="24"/>
        </w:rPr>
        <w:tab/>
        <w:t>T. Nomura, A. Yoshihara, T. Nagao, H. Tokumoto, Y. Konishi, Effect of the surface characteristics of Methanosarcina barkeri on immobilization to support materials, Adv. Powder Technol. 18 (2007) 489–501. doi:10.1163/156855207782146599.</w:t>
      </w:r>
    </w:p>
    <w:p w14:paraId="0E648C4D"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[177]</w:t>
      </w:r>
      <w:r w:rsidRPr="007E3308">
        <w:rPr>
          <w:rFonts w:ascii="Calibri" w:hAnsi="Calibri" w:cs="Calibri"/>
          <w:noProof/>
          <w:sz w:val="22"/>
          <w:szCs w:val="24"/>
        </w:rPr>
        <w:tab/>
        <w:t>R.S. Wolfe, Techniques for cultivating methanogens., 1st ed., Elsevier Inc., 2011. doi:10.1016/B978-0-12-385112-3.00001-9.</w:t>
      </w:r>
    </w:p>
    <w:p w14:paraId="42672DD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[178]</w:t>
      </w:r>
      <w:r w:rsidRPr="007E3308">
        <w:rPr>
          <w:rFonts w:ascii="Calibri" w:hAnsi="Calibri" w:cs="Calibri"/>
          <w:noProof/>
          <w:sz w:val="22"/>
          <w:szCs w:val="24"/>
        </w:rPr>
        <w:tab/>
        <w:t>W.E. Balch, R.S. Wolfe, New Approach to the Cultivation of Methanogenic Bacteria : Growth of Methanobacterium ruminantium in a Pressurized Atmosphere, Appl. Environ. Microbiol. 32 (1976) 781–791.</w:t>
      </w:r>
    </w:p>
    <w:p w14:paraId="0B55FF4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[179]</w:t>
      </w:r>
      <w:r w:rsidRPr="007E3308">
        <w:rPr>
          <w:rFonts w:ascii="Calibri" w:hAnsi="Calibri" w:cs="Calibri"/>
          <w:noProof/>
          <w:sz w:val="22"/>
          <w:szCs w:val="24"/>
        </w:rPr>
        <w:tab/>
        <w:t xml:space="preserve">G. Hwang, C.-H. Lee, I.-S. Ahn, B.J. Mhin, Determination of reliable Lewis acid–base surface tension components of a solid in LW–AB approach, J. Ind. Eng. Chem. 17 </w:t>
      </w:r>
      <w:r w:rsidRPr="007E3308">
        <w:rPr>
          <w:rFonts w:ascii="Calibri" w:hAnsi="Calibri" w:cs="Calibri"/>
          <w:noProof/>
          <w:sz w:val="22"/>
          <w:szCs w:val="24"/>
        </w:rPr>
        <w:lastRenderedPageBreak/>
        <w:t>(2011) 125–129. doi:10.1016/j.jiec.2010.12.009.</w:t>
      </w:r>
    </w:p>
    <w:p w14:paraId="7D2EF16C"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[180]</w:t>
      </w:r>
      <w:r w:rsidRPr="007E3308">
        <w:rPr>
          <w:rFonts w:ascii="Calibri" w:hAnsi="Calibri" w:cs="Calibri"/>
          <w:noProof/>
          <w:sz w:val="22"/>
          <w:szCs w:val="24"/>
        </w:rPr>
        <w:tab/>
        <w:t>L. Bergstrom, Hamaker constants of inorganic materials, Adv. Colloid Interface Sci. 70 (1997) 125–169.</w:t>
      </w:r>
    </w:p>
    <w:p w14:paraId="0CF0CA0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[181]</w:t>
      </w:r>
      <w:r w:rsidRPr="007E3308">
        <w:rPr>
          <w:rFonts w:ascii="Calibri" w:hAnsi="Calibri" w:cs="Calibri"/>
          <w:noProof/>
          <w:sz w:val="22"/>
          <w:szCs w:val="24"/>
        </w:rPr>
        <w:tab/>
        <w:t>M. Blaut, G. Gottschalk, Coupling of ATP synthesis and methane formation from methanol and molecular hydrogen in, Eur. J. Biochem. 222 (1984) 217–222.</w:t>
      </w:r>
    </w:p>
    <w:p w14:paraId="0C822EF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[182]</w:t>
      </w:r>
      <w:r w:rsidRPr="007E3308">
        <w:rPr>
          <w:rFonts w:ascii="Calibri" w:hAnsi="Calibri" w:cs="Calibri"/>
          <w:noProof/>
          <w:sz w:val="22"/>
          <w:szCs w:val="24"/>
        </w:rPr>
        <w:tab/>
        <w:t>T.J. Beveridge, S. Schultze-Lam, The response of selected members of the archaea to the gram stain., Microbiology. 142 (1996) 2887–95. http://www.ncbi.nlm.nih.gov/pubmed/8885405.</w:t>
      </w:r>
    </w:p>
    <w:p w14:paraId="79500F0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[183]</w:t>
      </w:r>
      <w:r w:rsidRPr="007E3308">
        <w:rPr>
          <w:rFonts w:ascii="Calibri" w:hAnsi="Calibri" w:cs="Calibri"/>
          <w:noProof/>
          <w:sz w:val="22"/>
          <w:szCs w:val="24"/>
        </w:rPr>
        <w:tab/>
        <w:t>H.H.M. Rijnaarts, W. Norde, J. Lyklema, A.J.B. Zehnder, The isoelectric point of bacteria as an indicator for the presence of cell surface polymers that inhibit adhesion, Colloids Surfaces B Biointerfaces. (1995). doi:10.1016/0927-7765(94)01164-Z.</w:t>
      </w:r>
    </w:p>
    <w:p w14:paraId="0F5D1E7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[184]</w:t>
      </w:r>
      <w:r w:rsidRPr="007E3308">
        <w:rPr>
          <w:rFonts w:ascii="Calibri" w:hAnsi="Calibri" w:cs="Calibri"/>
          <w:noProof/>
          <w:sz w:val="22"/>
          <w:szCs w:val="24"/>
        </w:rPr>
        <w:tab/>
        <w:t>D. Calo, L. Kaminski, J. Eichler, Protein glycosylation in Archaea: Sweet and extreme, Glycobiology. 20 (2010) 1065–1076. doi:10.1093/glycob/cwq055.</w:t>
      </w:r>
    </w:p>
    <w:p w14:paraId="02677C0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[185]</w:t>
      </w:r>
      <w:r w:rsidRPr="007E3308">
        <w:rPr>
          <w:rFonts w:ascii="Calibri" w:hAnsi="Calibri" w:cs="Calibri"/>
          <w:noProof/>
          <w:sz w:val="22"/>
          <w:szCs w:val="24"/>
        </w:rPr>
        <w:tab/>
        <w:t>N.P. Boks, W. Norde, H.C. van der Mei, H.J. Busscher, Forces involved in bacterial adhesion to hydrophilic and hydrophobic surfaces, Microbiology. 154 (2008) 3122–3133. doi:10.1099/mic.0.2008/018622-0.</w:t>
      </w:r>
    </w:p>
    <w:p w14:paraId="570CD6A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[186]</w:t>
      </w:r>
      <w:r w:rsidRPr="007E3308">
        <w:rPr>
          <w:rFonts w:ascii="Calibri" w:hAnsi="Calibri" w:cs="Calibri"/>
          <w:noProof/>
          <w:sz w:val="22"/>
          <w:szCs w:val="24"/>
        </w:rPr>
        <w:tab/>
        <w:t>H.H.M. Rijnaarts, W. Norde, J. Lyklema,  a. J.B. Zehnder, DLVO and steric contributions to bacterial deposition in media of different ionic strengths, Colloids Surfaces B Biointerfaces. 14 (1999) 179–195. doi:10.1016/S0927-7765(99)00035-1.</w:t>
      </w:r>
    </w:p>
    <w:p w14:paraId="2292B50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[187]</w:t>
      </w:r>
      <w:r w:rsidRPr="007E3308">
        <w:rPr>
          <w:rFonts w:ascii="Calibri" w:hAnsi="Calibri" w:cs="Calibri"/>
          <w:noProof/>
          <w:sz w:val="22"/>
          <w:szCs w:val="24"/>
        </w:rPr>
        <w:tab/>
        <w:t>N. Fernández, E.E. Díaz, R. Amils, J.L. Sanz, Analysis of microbial community during biofilm development in an anaerobic wastewater treatment reactor., Microb. Ecol. 56 (2008) 121–32. doi:10.1007/s00248-007-9330-2.</w:t>
      </w:r>
    </w:p>
    <w:p w14:paraId="7137DCE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[188]</w:t>
      </w:r>
      <w:r w:rsidRPr="007E3308">
        <w:rPr>
          <w:rFonts w:ascii="Calibri" w:hAnsi="Calibri" w:cs="Calibri"/>
          <w:noProof/>
          <w:sz w:val="22"/>
          <w:szCs w:val="24"/>
        </w:rPr>
        <w:tab/>
        <w:t>S. Langer, D. Schropp, F.R. Bengelsdorf, M. Othman, M. Kazda, Dynamics of biofilm formation during anaerobic digestion of organic waste., Anaerobe. 29 (2014) 44–51. doi:10.1016/j.anaerobe.2013.11.013.</w:t>
      </w:r>
    </w:p>
    <w:p w14:paraId="07218FF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[189]</w:t>
      </w:r>
      <w:r w:rsidRPr="007E3308">
        <w:rPr>
          <w:rFonts w:ascii="Calibri" w:hAnsi="Calibri" w:cs="Calibri"/>
          <w:noProof/>
          <w:sz w:val="22"/>
          <w:szCs w:val="24"/>
        </w:rPr>
        <w:tab/>
        <w:t>Y. Ammar, D. Swailes, B. Bridgens, J. Chen, Influence of surface roughness on the initial formation of biofilm, Surf. Coatings Technol. 284 (2015) 410–416. doi:10.1016/j.surfcoat.2015.07.062.</w:t>
      </w:r>
    </w:p>
    <w:p w14:paraId="2D9BA8C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[190]</w:t>
      </w:r>
      <w:r w:rsidRPr="007E3308">
        <w:rPr>
          <w:rFonts w:ascii="Calibri" w:hAnsi="Calibri" w:cs="Calibri"/>
          <w:noProof/>
          <w:sz w:val="22"/>
          <w:szCs w:val="24"/>
        </w:rPr>
        <w:tab/>
        <w:t>I.W. Sutherland, The biofilm matrix- An immobilized but dynamic microbial environments, Trends Microbiol. 9 (2001) 222–227.</w:t>
      </w:r>
    </w:p>
    <w:p w14:paraId="47A5C14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[191]</w:t>
      </w:r>
      <w:r w:rsidRPr="007E3308">
        <w:rPr>
          <w:rFonts w:ascii="Calibri" w:hAnsi="Calibri" w:cs="Calibri"/>
          <w:noProof/>
          <w:sz w:val="22"/>
          <w:szCs w:val="24"/>
        </w:rPr>
        <w:tab/>
        <w:t>G.-P. Sheng, H.-Q. Yu, X.-Y. Li, Extracellular polymeric substances (EPS) of microbial aggregates in biological wastewater treatment systems: a review., Biotechnol. Adv. 28 (2010) 882–94. doi:10.1016/j.biotechadv.2010.08.001.</w:t>
      </w:r>
    </w:p>
    <w:p w14:paraId="3CF5112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[192]</w:t>
      </w:r>
      <w:r w:rsidRPr="007E3308">
        <w:rPr>
          <w:rFonts w:ascii="Calibri" w:hAnsi="Calibri" w:cs="Calibri"/>
          <w:noProof/>
          <w:sz w:val="22"/>
          <w:szCs w:val="24"/>
        </w:rPr>
        <w:tab/>
        <w:t xml:space="preserve">M. Kostakioti, M. Hadjifrangiskou, S.J. Hultgren, Bacterial biofilms: Development, </w:t>
      </w:r>
      <w:r w:rsidRPr="007E3308">
        <w:rPr>
          <w:rFonts w:ascii="Calibri" w:hAnsi="Calibri" w:cs="Calibri"/>
          <w:noProof/>
          <w:sz w:val="22"/>
          <w:szCs w:val="24"/>
        </w:rPr>
        <w:lastRenderedPageBreak/>
        <w:t>Dispersal, and Therapeutic Strategies in the Dawn of the Postantibiotic Era, Cold Spring Harb. Perspect. Med. 3 (2013) 1–23.</w:t>
      </w:r>
    </w:p>
    <w:p w14:paraId="20A07DE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[193]</w:t>
      </w:r>
      <w:r w:rsidRPr="007E3308">
        <w:rPr>
          <w:rFonts w:ascii="Calibri" w:hAnsi="Calibri" w:cs="Calibri"/>
          <w:noProof/>
          <w:sz w:val="22"/>
          <w:szCs w:val="24"/>
        </w:rPr>
        <w:tab/>
        <w:t>O.E. Petrova, K. Sauer, Sticky Situations : Key Components That Control Bacterial Surface Attachment, J. Bacteriol. 194 (2012) 2413–2425. doi:10.1128/JB.00003-12.</w:t>
      </w:r>
    </w:p>
    <w:p w14:paraId="480BEF1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[194]</w:t>
      </w:r>
      <w:r w:rsidRPr="007E3308">
        <w:rPr>
          <w:rFonts w:ascii="Calibri" w:hAnsi="Calibri" w:cs="Calibri"/>
          <w:noProof/>
          <w:sz w:val="22"/>
          <w:szCs w:val="24"/>
        </w:rPr>
        <w:tab/>
        <w:t>G.G. Geesey, Bacterial behavior at surfaces, Curr. Opin. Microbiol. 4 (2001) 296–300. doi:10.1016/S1369-5274(00)00206-X.</w:t>
      </w:r>
    </w:p>
    <w:p w14:paraId="0CE0718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[195]</w:t>
      </w:r>
      <w:r w:rsidRPr="007E3308">
        <w:rPr>
          <w:rFonts w:ascii="Calibri" w:hAnsi="Calibri" w:cs="Calibri"/>
          <w:noProof/>
          <w:sz w:val="22"/>
          <w:szCs w:val="24"/>
        </w:rPr>
        <w:tab/>
        <w:t>P.L. Ross, Y.N. Huang, J.N. Marchese, B. Williamson, K. Parker, S. Hattan, et al., Multiplexed Protein Quantitation in Saccharomyces cerevisiae Using Amine-reactive Isobaric Tagging Reagents, Mol. Cell. Proteomics. 3 (2004) 1154–1169. doi:10.1074/mcp.M400129-MCP200.</w:t>
      </w:r>
    </w:p>
    <w:p w14:paraId="1970A4B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[196]</w:t>
      </w:r>
      <w:r w:rsidRPr="007E3308">
        <w:rPr>
          <w:rFonts w:ascii="Calibri" w:hAnsi="Calibri" w:cs="Calibri"/>
          <w:noProof/>
          <w:sz w:val="22"/>
          <w:szCs w:val="24"/>
        </w:rPr>
        <w:tab/>
        <w:t>E.F. Hartree, Determination of Protein: A modification of the Lowry method that gives a linear photometric response, Anal. Chem. 48 (1972) 422–427.</w:t>
      </w:r>
    </w:p>
    <w:p w14:paraId="116B8AF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[197]</w:t>
      </w:r>
      <w:r w:rsidRPr="007E3308">
        <w:rPr>
          <w:rFonts w:ascii="Calibri" w:hAnsi="Calibri" w:cs="Calibri"/>
          <w:noProof/>
          <w:sz w:val="22"/>
          <w:szCs w:val="24"/>
        </w:rPr>
        <w:tab/>
        <w:t>Y. Benjamini, Y. Hochberg, Controlling the False Discovery Rate : A Practical and Powerful Approach to Multiple Testing, J. R. Stat. Soc. . Ser. B. 57 (1995) 289–300.</w:t>
      </w:r>
    </w:p>
    <w:p w14:paraId="65BF366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[198]</w:t>
      </w:r>
      <w:r w:rsidRPr="007E3308">
        <w:rPr>
          <w:rFonts w:ascii="Calibri" w:hAnsi="Calibri" w:cs="Calibri"/>
          <w:noProof/>
          <w:sz w:val="22"/>
          <w:szCs w:val="24"/>
        </w:rPr>
        <w:tab/>
        <w:t>W.S. Noble, How does multiple testing correction work?, Nat. Biotechnol. 27 (2009) 1135–1137. doi:10.1038/nbt1209-1135.How.</w:t>
      </w:r>
    </w:p>
    <w:p w14:paraId="7397770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[199]</w:t>
      </w:r>
      <w:r w:rsidRPr="007E3308">
        <w:rPr>
          <w:rFonts w:ascii="Calibri" w:hAnsi="Calibri" w:cs="Calibri"/>
          <w:noProof/>
          <w:sz w:val="22"/>
          <w:szCs w:val="24"/>
        </w:rPr>
        <w:tab/>
        <w:t>J. Allen, H.M. Davey, D. Broadhurst, J.K. Heald, J.J. Rowland, S.G. Oliver, et al., High-throughput classification of yeast mutants for functional genomics using metabolic footprinting., Nat. Biotechnol. 21 (2003) 692–6. doi:10.1038/nbt823.</w:t>
      </w:r>
    </w:p>
    <w:p w14:paraId="14BEC87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[200]</w:t>
      </w:r>
      <w:r w:rsidRPr="007E3308">
        <w:rPr>
          <w:rFonts w:ascii="Calibri" w:hAnsi="Calibri" w:cs="Calibri"/>
          <w:noProof/>
          <w:sz w:val="22"/>
          <w:szCs w:val="24"/>
        </w:rPr>
        <w:tab/>
        <w:t>D.L. Maeder, I. Anderson, T.S. Brettin, D.C. Bruce, P. Gilna, C.S. Han, et al., The Methanosarcina barkeri genome: Comparative analysis with Methanosarcina acetivorans and Methanosarcina mazei reveals extensive rearrangement within methanosarcinal genomes, J. Bacteriol. 188 (2006) 7922–7931. doi:10.1128/JB.00810-06.</w:t>
      </w:r>
    </w:p>
    <w:p w14:paraId="761D9DF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[201]</w:t>
      </w:r>
      <w:r w:rsidRPr="007E3308">
        <w:rPr>
          <w:rFonts w:ascii="Calibri" w:hAnsi="Calibri" w:cs="Calibri"/>
          <w:noProof/>
          <w:sz w:val="22"/>
          <w:szCs w:val="24"/>
        </w:rPr>
        <w:tab/>
        <w:t>Y.H.R. Ding, S.P. Zhang, J.F. Tomb, J.G. Ferry, Genomic and proteomic analyses reveal multiple homologs of genes encoding enzymes of the methanol:coenzyme M methyltransferase system that are differentially expressed in methanol- and acetate-grown Methanosarcina thermophila, FEMS Microbiol. Lett. 215 (2002) 127–132. doi:10.1016/S0378-1097(02)00924-2.</w:t>
      </w:r>
    </w:p>
    <w:p w14:paraId="694164D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[202]</w:t>
      </w:r>
      <w:r w:rsidRPr="007E3308">
        <w:rPr>
          <w:rFonts w:ascii="Calibri" w:hAnsi="Calibri" w:cs="Calibri"/>
          <w:noProof/>
          <w:sz w:val="22"/>
          <w:szCs w:val="24"/>
        </w:rPr>
        <w:tab/>
        <w:t>D.E. Graham, S.M. Taylor, R.Z. Wolf, S.C. Namboori, Convergent evolution of coenzyme M biosynthesis in the Methanosarcinales: cysteate synthase evolved from an ancestral threonine synthase., Biochem. J. 424 (2009) 467–78. doi:10.1042/BJ20090999.</w:t>
      </w:r>
    </w:p>
    <w:p w14:paraId="0CC7809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[203]</w:t>
      </w:r>
      <w:r w:rsidRPr="007E3308">
        <w:rPr>
          <w:rFonts w:ascii="Calibri" w:hAnsi="Calibri" w:cs="Calibri"/>
          <w:noProof/>
          <w:sz w:val="22"/>
          <w:szCs w:val="24"/>
        </w:rPr>
        <w:tab/>
        <w:t xml:space="preserve">M.C. Gonnerman, M.N. Benedict, A.M. Feist, W.W. Metcalf, N.D. Price, Genomically and biochemically accurate metabolic reconstruction of Methanosarcina barkeri </w:t>
      </w:r>
      <w:r w:rsidRPr="007E3308">
        <w:rPr>
          <w:rFonts w:ascii="Calibri" w:hAnsi="Calibri" w:cs="Calibri"/>
          <w:noProof/>
          <w:sz w:val="22"/>
          <w:szCs w:val="24"/>
        </w:rPr>
        <w:lastRenderedPageBreak/>
        <w:t>Fusaro, iMG746., Biotechnol. J. 8 (2013) 1070–9. doi:10.1002/biot.201200266.</w:t>
      </w:r>
    </w:p>
    <w:p w14:paraId="5C9C5EC4"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[204]</w:t>
      </w:r>
      <w:r w:rsidRPr="007E3308">
        <w:rPr>
          <w:rFonts w:ascii="Calibri" w:hAnsi="Calibri" w:cs="Calibri"/>
          <w:noProof/>
          <w:sz w:val="22"/>
          <w:szCs w:val="24"/>
        </w:rPr>
        <w:tab/>
        <w:t>R.K. Thauer, A.-K. Kaster, H. Seedorf, W. Buckel, R. Hedderich, Methanogenic archaea: ecologically relevant differences in energy conservation, Nat. Rev. Microbiol. 6 (2008) 579–591. doi:10.1038/nrmicro1931.</w:t>
      </w:r>
    </w:p>
    <w:p w14:paraId="75EC7D7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[205]</w:t>
      </w:r>
      <w:r w:rsidRPr="007E3308">
        <w:rPr>
          <w:rFonts w:ascii="Calibri" w:hAnsi="Calibri" w:cs="Calibri"/>
          <w:noProof/>
          <w:sz w:val="22"/>
          <w:szCs w:val="24"/>
        </w:rPr>
        <w:tab/>
        <w:t>W. Grabarse, M. Vaupel, J.A. Vorholt, S. Shima, R.K. Thauer, A. Wittershagen, et al., The crystal structure of methenyltetrahydromethanopterin cyclohydrolase from the hyperthermophilic archaeon Methanopyrus kandleri, Structure. 7 (1999) 1257–1268. doi:10.1016/S0969-2126(00)80059-3.</w:t>
      </w:r>
    </w:p>
    <w:p w14:paraId="0C96062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[206]</w:t>
      </w:r>
      <w:r w:rsidRPr="007E3308">
        <w:rPr>
          <w:rFonts w:ascii="Calibri" w:hAnsi="Calibri" w:cs="Calibri"/>
          <w:noProof/>
          <w:sz w:val="22"/>
          <w:szCs w:val="24"/>
        </w:rPr>
        <w:tab/>
        <w:t>D.J. Lessner, L. Li, Q. Li, T. Rejtar, V.P. Andreev, M. Reichlen, et al., An unconventional pathway for reduction of CO2 to methane in CO-grown Methanosarcina acetivorans revealed by proteomics., Proc. Natl. Acad. Sci. U. S. A. 103 (2006) 17921–17926. doi:10.1073/pnas.0608833103.</w:t>
      </w:r>
    </w:p>
    <w:p w14:paraId="72773B1E"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[207]</w:t>
      </w:r>
      <w:r w:rsidRPr="007E3308">
        <w:rPr>
          <w:rFonts w:ascii="Calibri" w:hAnsi="Calibri" w:cs="Calibri"/>
          <w:noProof/>
          <w:sz w:val="22"/>
          <w:szCs w:val="24"/>
        </w:rPr>
        <w:tab/>
        <w:t>R.K. Thauer, A.-K. Kaster, M. Goenrich, M. Schick, T. Hiromoto, S. Shima, Hydrogenases from methanogenic archaea, nickel, a novel cofactor, and H2 storage., Annu. Rev. Biochem. 79 (2010) 507–536. doi:10.1146/annurev.biochem.030508.152103.</w:t>
      </w:r>
    </w:p>
    <w:p w14:paraId="6323E12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[208]</w:t>
      </w:r>
      <w:r w:rsidRPr="007E3308">
        <w:rPr>
          <w:rFonts w:ascii="Calibri" w:hAnsi="Calibri" w:cs="Calibri"/>
          <w:noProof/>
          <w:sz w:val="22"/>
          <w:szCs w:val="24"/>
        </w:rPr>
        <w:tab/>
        <w:t>U. Deppenmeier, T. Lienard, G. Gottschalk, Novel reactions involved in energy conservation by methanogenic archaea, FEBS Lett. 457 (1999) 291.</w:t>
      </w:r>
    </w:p>
    <w:p w14:paraId="7280E3A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[209]</w:t>
      </w:r>
      <w:r w:rsidRPr="007E3308">
        <w:rPr>
          <w:rFonts w:ascii="Calibri" w:hAnsi="Calibri" w:cs="Calibri"/>
          <w:noProof/>
          <w:sz w:val="22"/>
          <w:szCs w:val="24"/>
        </w:rPr>
        <w:tab/>
        <w:t>C. Chagnot, M. a Zorgani, T. Astruc, M. Desvaux, Proteinaceous determinants of surface colonization in bacteria: bacterial adhesion and biofilm formation from a protein secretion perspective., Front. Microbiol. 4 (2013) 303. doi:10.3389/fmicb.2013.00303.</w:t>
      </w:r>
    </w:p>
    <w:p w14:paraId="55A9E1F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[210]</w:t>
      </w:r>
      <w:r w:rsidRPr="007E3308">
        <w:rPr>
          <w:rFonts w:ascii="Calibri" w:hAnsi="Calibri" w:cs="Calibri"/>
          <w:noProof/>
          <w:sz w:val="22"/>
          <w:szCs w:val="24"/>
        </w:rPr>
        <w:tab/>
        <w:t>S. Jain, A. Caforio, A.J. M Driessen, Biosynthesis of archaeal membrane ether lipids, Front. Microbiol. 5 (2014) 1–16. doi:10.3389/fmicb.2014.00641.</w:t>
      </w:r>
    </w:p>
    <w:p w14:paraId="714DD2F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[211]</w:t>
      </w:r>
      <w:r w:rsidRPr="007E3308">
        <w:rPr>
          <w:rFonts w:ascii="Calibri" w:hAnsi="Calibri" w:cs="Calibri"/>
          <w:noProof/>
          <w:sz w:val="22"/>
          <w:szCs w:val="24"/>
        </w:rPr>
        <w:tab/>
        <w:t>R. Matsumi, H. Atomi, A.J.M. Driessen, J. van der Oost, Isoprenoid biosynthesis in Archaea - Biochemical and evolutionary implications, Res. Microbiol. 162 (2011) 39–52. doi:10.1016/j.resmic.2010.10.003.</w:t>
      </w:r>
    </w:p>
    <w:p w14:paraId="51A2FD3C"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[212]</w:t>
      </w:r>
      <w:r w:rsidRPr="007E3308">
        <w:rPr>
          <w:rFonts w:ascii="Calibri" w:hAnsi="Calibri" w:cs="Calibri"/>
          <w:noProof/>
          <w:sz w:val="22"/>
          <w:szCs w:val="24"/>
        </w:rPr>
        <w:tab/>
        <w:t>A. Klingl, S-layer and cytoplasmic membrane - exceptions from the typical archaeal cell wall with a focus on double membranes., Front. Microbiol. 5 (2014) 1–6. doi:10.3389/fmicb.2014.00624.</w:t>
      </w:r>
    </w:p>
    <w:p w14:paraId="74D9C6ED"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[213]</w:t>
      </w:r>
      <w:r w:rsidRPr="007E3308">
        <w:rPr>
          <w:rFonts w:ascii="Calibri" w:hAnsi="Calibri" w:cs="Calibri"/>
          <w:noProof/>
          <w:sz w:val="22"/>
          <w:szCs w:val="24"/>
        </w:rPr>
        <w:tab/>
        <w:t>L. Rohlin, D.R. Leon, U. Kim, J. a. Loo, R.R. Ogorzalek Loo, R.P. Gunsalus, Identification of the major expressed S-layer and cell surface-layer- related proteins in the model methanogenic archaea: Methanosarcina barkeri fusaro and methanosarcina acetivorans C2A, Archaea. 2012 (2012). doi:10.1155/2012/873589.</w:t>
      </w:r>
    </w:p>
    <w:p w14:paraId="61B1740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[214]</w:t>
      </w:r>
      <w:r w:rsidRPr="007E3308">
        <w:rPr>
          <w:rFonts w:ascii="Calibri" w:hAnsi="Calibri" w:cs="Calibri"/>
          <w:noProof/>
          <w:sz w:val="22"/>
          <w:szCs w:val="24"/>
        </w:rPr>
        <w:tab/>
        <w:t xml:space="preserve">D.R. Francoleon, P. Boontheung, Y. Yang, U. Kim,  a. J. Ytterberg, P. a. Denny, et al., </w:t>
      </w:r>
      <w:r w:rsidRPr="007E3308">
        <w:rPr>
          <w:rFonts w:ascii="Calibri" w:hAnsi="Calibri" w:cs="Calibri"/>
          <w:noProof/>
          <w:sz w:val="22"/>
          <w:szCs w:val="24"/>
        </w:rPr>
        <w:lastRenderedPageBreak/>
        <w:t>S-layer, surface-accessible, and concanavalin a binding proteins of Methanosarcina acetivorans and methanosarcina mazei, J. Proteome Res. 8 (2009) 1972–1982. doi:10.1021/pr800923e.</w:t>
      </w:r>
    </w:p>
    <w:p w14:paraId="6FBCE2D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[215]</w:t>
      </w:r>
      <w:r w:rsidRPr="007E3308">
        <w:rPr>
          <w:rFonts w:ascii="Calibri" w:hAnsi="Calibri" w:cs="Calibri"/>
          <w:noProof/>
          <w:sz w:val="22"/>
          <w:szCs w:val="24"/>
        </w:rPr>
        <w:tab/>
        <w:t>K.F. Jarrell, Y. Ding, B.H. Meyer, S.-V. Albers, L. Kaminski, J. Eichler, N-linked glycosylation in Archaea: a structural, functional, and genetic analysis., Microbiol. Mol. Biol. Rev. 78 (2014) 304–41. doi:10.1128/MMBR.00052-13.</w:t>
      </w:r>
    </w:p>
    <w:p w14:paraId="3C56678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[216]</w:t>
      </w:r>
      <w:r w:rsidRPr="007E3308">
        <w:rPr>
          <w:rFonts w:ascii="Calibri" w:hAnsi="Calibri" w:cs="Calibri"/>
          <w:noProof/>
          <w:sz w:val="22"/>
          <w:szCs w:val="24"/>
        </w:rPr>
        <w:tab/>
        <w:t>M. Pohlschröder, M.I. Giménez, K.F. Jarrell, Protein transport in Archaea: Sec and twin arginine translocation pathways, Curr. Opin. Microbiol. 8 (2005) 713–719. doi:10.1016/j.mib.2005.10.006.</w:t>
      </w:r>
    </w:p>
    <w:p w14:paraId="59CFA7B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[217]</w:t>
      </w:r>
      <w:r w:rsidRPr="007E3308">
        <w:rPr>
          <w:rFonts w:ascii="Calibri" w:hAnsi="Calibri" w:cs="Calibri"/>
          <w:noProof/>
          <w:sz w:val="22"/>
          <w:szCs w:val="24"/>
        </w:rPr>
        <w:tab/>
        <w:t>A.F. Ellen, B. Zolghadr, A.M.J. Driessen, S.V. Albers, Shaping the archaeal cell envelope, Archaea. (2010) 1–13. doi:10.1155/2010/608243.</w:t>
      </w:r>
    </w:p>
    <w:p w14:paraId="0E615433"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[218]</w:t>
      </w:r>
      <w:r w:rsidRPr="007E3308">
        <w:rPr>
          <w:rFonts w:ascii="Calibri" w:hAnsi="Calibri" w:cs="Calibri"/>
          <w:noProof/>
          <w:sz w:val="22"/>
          <w:szCs w:val="24"/>
        </w:rPr>
        <w:tab/>
        <w:t>S. Albers, S.M. Koning, W.N. Konings, A.J.M. Driessen, Insights Into ABC Transport in Archaea, J. Bioenerg. Biomembr. 36 (2004) 5–15.</w:t>
      </w:r>
    </w:p>
    <w:p w14:paraId="46E7D7A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[219]</w:t>
      </w:r>
      <w:r w:rsidRPr="007E3308">
        <w:rPr>
          <w:rFonts w:ascii="Calibri" w:hAnsi="Calibri" w:cs="Calibri"/>
          <w:noProof/>
          <w:sz w:val="22"/>
          <w:szCs w:val="24"/>
        </w:rPr>
        <w:tab/>
        <w:t>A. Camilli, B.L. Bassler, Bacterial small-molecule signalling pathways, Science (80-. ). 311 (2006) 1113–1116. doi:10.1126/science.1121357.Bacterial.</w:t>
      </w:r>
    </w:p>
    <w:p w14:paraId="47492B8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[220]</w:t>
      </w:r>
      <w:r w:rsidRPr="007E3308">
        <w:rPr>
          <w:rFonts w:ascii="Calibri" w:hAnsi="Calibri" w:cs="Calibri"/>
          <w:noProof/>
          <w:sz w:val="22"/>
          <w:szCs w:val="24"/>
        </w:rPr>
        <w:tab/>
        <w:t>J. Raymond, J.L. Siefert, C.R. Staples, R.E. Blankenship, The Natural History of Nitrogen Fixation, Mol. Biol. Evol. 21 (2004) 541–554. doi:10.1093/molbev/msh047.</w:t>
      </w:r>
    </w:p>
    <w:p w14:paraId="5D18090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[221]</w:t>
      </w:r>
      <w:r w:rsidRPr="007E3308">
        <w:rPr>
          <w:rFonts w:ascii="Calibri" w:hAnsi="Calibri" w:cs="Calibri"/>
          <w:noProof/>
          <w:sz w:val="22"/>
          <w:szCs w:val="24"/>
        </w:rPr>
        <w:tab/>
        <w:t>P. Cabello, M.D. Roldán, C. Moreno-Vivián, Nitrate reduction and the nitrogen cycle in archaea, Microbiology. 150 (2004) 3527–3546. doi:10.1099/mic.0.27303-0.</w:t>
      </w:r>
    </w:p>
    <w:p w14:paraId="7E1E23D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[222]</w:t>
      </w:r>
      <w:r w:rsidRPr="007E3308">
        <w:rPr>
          <w:rFonts w:ascii="Calibri" w:hAnsi="Calibri" w:cs="Calibri"/>
          <w:noProof/>
          <w:sz w:val="22"/>
          <w:szCs w:val="24"/>
        </w:rPr>
        <w:tab/>
        <w:t>P.S. Stewart, M.J. Franklin, Physiological heterogeneity in biofilms., Nat. Rev. Microbiol. 6 (2008) 199–210. doi:10.1038/nrmicro1838.</w:t>
      </w:r>
    </w:p>
    <w:p w14:paraId="6552871C"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[223]</w:t>
      </w:r>
      <w:r w:rsidRPr="007E3308">
        <w:rPr>
          <w:rFonts w:ascii="Calibri" w:hAnsi="Calibri" w:cs="Calibri"/>
          <w:noProof/>
          <w:sz w:val="22"/>
          <w:szCs w:val="24"/>
        </w:rPr>
        <w:tab/>
        <w:t>W. Zhang, D.E. Culley, L. Nie, F.J. Brockman, DNA microarray analysis of anaerobic Methanosarcina barkeri reveals responses to heat shock and air exposure, J. Ind. Microbiol. Biotechnol. 33 (2006) 784–790. doi:10.1007/s10295-006-0114-3.</w:t>
      </w:r>
    </w:p>
    <w:p w14:paraId="2A16356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[224]</w:t>
      </w:r>
      <w:r w:rsidRPr="007E3308">
        <w:rPr>
          <w:rFonts w:ascii="Calibri" w:hAnsi="Calibri" w:cs="Calibri"/>
          <w:noProof/>
          <w:sz w:val="22"/>
          <w:szCs w:val="24"/>
        </w:rPr>
        <w:tab/>
        <w:t>C. Prigent-Combaret, O. Vidal, C. Dorel, P. Lejeune, Abiotic Surface Sensing and Biofilm-Dependent Regulation of Gene Expression in Escherichia coli, J. Bacteriol. 181 (1999) 5993–6002.</w:t>
      </w:r>
    </w:p>
    <w:p w14:paraId="310CAB42"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[225]</w:t>
      </w:r>
      <w:r w:rsidRPr="007E3308">
        <w:rPr>
          <w:rFonts w:ascii="Calibri" w:hAnsi="Calibri" w:cs="Calibri"/>
          <w:noProof/>
          <w:sz w:val="22"/>
          <w:szCs w:val="24"/>
        </w:rPr>
        <w:tab/>
        <w:t>T. Allers, M. Mevarech, Archaeal genetics - the third way., Nat. Rev. Genet. 6 (2005) 58–73. doi:10.1038/nrg1504.</w:t>
      </w:r>
    </w:p>
    <w:p w14:paraId="4E12C4D7"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[226]</w:t>
      </w:r>
      <w:r w:rsidRPr="007E3308">
        <w:rPr>
          <w:rFonts w:ascii="Calibri" w:hAnsi="Calibri" w:cs="Calibri"/>
          <w:noProof/>
          <w:sz w:val="22"/>
          <w:szCs w:val="24"/>
        </w:rPr>
        <w:tab/>
        <w:t>F.U. Hartl, J. Martin, Molecular chaperones in cellular protein folding, Curr. Opin. Struct. Biol. 5 (1995) 92–102.</w:t>
      </w:r>
    </w:p>
    <w:p w14:paraId="411638F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[227]</w:t>
      </w:r>
      <w:r w:rsidRPr="007E3308">
        <w:rPr>
          <w:rFonts w:ascii="Calibri" w:hAnsi="Calibri" w:cs="Calibri"/>
          <w:noProof/>
          <w:sz w:val="22"/>
          <w:szCs w:val="24"/>
        </w:rPr>
        <w:tab/>
        <w:t>N. Raffaelli, F.M. Pisani, T. Lorenzi, M. Emanuelli, A. Amici, S. Ruggieri, et al., Characterization of nicotinamide mononucleotide adenylyltransferase from thermophilic archaea, J. Bacteriol. 179 (1997) 7718–7723.</w:t>
      </w:r>
    </w:p>
    <w:p w14:paraId="0C94DCF6"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[228]</w:t>
      </w:r>
      <w:r w:rsidRPr="007E3308">
        <w:rPr>
          <w:rFonts w:ascii="Calibri" w:hAnsi="Calibri" w:cs="Calibri"/>
          <w:noProof/>
          <w:sz w:val="22"/>
          <w:szCs w:val="24"/>
        </w:rPr>
        <w:tab/>
        <w:t xml:space="preserve">B. Siebers, P. Schonheit, Unusual pathways and enzymes of central carbohydrate </w:t>
      </w:r>
      <w:r w:rsidRPr="007E3308">
        <w:rPr>
          <w:rFonts w:ascii="Calibri" w:hAnsi="Calibri" w:cs="Calibri"/>
          <w:noProof/>
          <w:sz w:val="22"/>
          <w:szCs w:val="24"/>
        </w:rPr>
        <w:lastRenderedPageBreak/>
        <w:t>metabolism in Archaea, Curr. Opin. Microbiol. 8 (2005) 695–705. doi:10.1016/j.mib.2005.10.014.</w:t>
      </w:r>
    </w:p>
    <w:p w14:paraId="45ED92CC"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[229]</w:t>
      </w:r>
      <w:r w:rsidRPr="007E3308">
        <w:rPr>
          <w:rFonts w:ascii="Calibri" w:hAnsi="Calibri" w:cs="Calibri"/>
          <w:noProof/>
          <w:sz w:val="22"/>
          <w:szCs w:val="24"/>
        </w:rPr>
        <w:tab/>
        <w:t>C.H. Verhees, S.W.M. Kengen, J.E. Tuininga, G.J. Schut, M.W.W. Adams, W.M. De Vos, et al., The unique features of glycolytic pathways in Archaea., Biochem. J. 375 (2003) 231–246. doi:10.1042/BJ20021472.</w:t>
      </w:r>
    </w:p>
    <w:p w14:paraId="4625764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[230]</w:t>
      </w:r>
      <w:r w:rsidRPr="007E3308">
        <w:rPr>
          <w:rFonts w:ascii="Calibri" w:hAnsi="Calibri" w:cs="Calibri"/>
          <w:noProof/>
          <w:sz w:val="22"/>
          <w:szCs w:val="24"/>
        </w:rPr>
        <w:tab/>
        <w:t>A. Goodchild, N.F.W. Saunders, H. Ertan, M. Raftery, M. Guilhaus, P.M.G. Curmi, et al., A proteomic determination of cold adaptation in the Antarctic archaeon, Methanococcoides burtonii, Mol. Microbiol. 53 (2004) 309–321. doi:10.1111/j.1365-2958.2004.04130.x.</w:t>
      </w:r>
    </w:p>
    <w:p w14:paraId="26363C6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[231]</w:t>
      </w:r>
      <w:r w:rsidRPr="007E3308">
        <w:rPr>
          <w:rFonts w:ascii="Calibri" w:hAnsi="Calibri" w:cs="Calibri"/>
          <w:noProof/>
          <w:sz w:val="22"/>
          <w:szCs w:val="24"/>
        </w:rPr>
        <w:tab/>
        <w:t>M.C. Oosthuizen, B. Steyn, J. Theron, P. Cosette, D. Lindsay, A. Von Holy, et al., Proteomic Analysis Reveals Differential Protein Expression by Bacillus cereus during Biofilm Formation Proteomic Analysis Reveals Differential Protein Expression by Bacillus cereus during Biofilm Formation, Appl. Environ. Microbiol. 68 (2002) 2770–2780. doi:10.1128/AEM.68.6.2770.</w:t>
      </w:r>
    </w:p>
    <w:p w14:paraId="09B9373C"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[232]</w:t>
      </w:r>
      <w:r w:rsidRPr="007E3308">
        <w:rPr>
          <w:rFonts w:ascii="Calibri" w:hAnsi="Calibri" w:cs="Calibri"/>
          <w:noProof/>
          <w:sz w:val="22"/>
          <w:szCs w:val="24"/>
        </w:rPr>
        <w:tab/>
        <w:t>J. Welin, J.C. Wilkins, D. Beighton, G. Svensater, Protein expression by Streptococcus mutans during initial stage of biofilm formation, Appl. Environ. Microbiol. 70 (2004) 3736–3741. doi:10.1128/AEM.70.6.3736.</w:t>
      </w:r>
    </w:p>
    <w:p w14:paraId="2188A229"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[233]</w:t>
      </w:r>
      <w:r w:rsidRPr="007E3308">
        <w:rPr>
          <w:rFonts w:ascii="Calibri" w:hAnsi="Calibri" w:cs="Calibri"/>
          <w:noProof/>
          <w:sz w:val="22"/>
          <w:szCs w:val="24"/>
        </w:rPr>
        <w:tab/>
        <w:t>S. Huffer, M.E. Clark, J.C. Ning, H.W. Blanch, D.S. Clark, Role of alcohols in growth, lipid composition, and membrane fluidity of yeasts, bacteria, and archaea, Appl. Environ. Microbiol. (2011). doi:10.1128/AEM.00694-11.</w:t>
      </w:r>
    </w:p>
    <w:p w14:paraId="11C1BC9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[234]</w:t>
      </w:r>
      <w:r w:rsidRPr="007E3308">
        <w:rPr>
          <w:rFonts w:ascii="Calibri" w:hAnsi="Calibri" w:cs="Calibri"/>
          <w:noProof/>
          <w:sz w:val="22"/>
          <w:szCs w:val="24"/>
        </w:rPr>
        <w:tab/>
        <w:t>L. Kandiba, J. Eichler, Archaeal S-layer glycoproteins: post-translational modification in the face of extremes., Front. Microbiol. 5 (2014) 1–5. doi:10.3389/fmicb.2014.00661.</w:t>
      </w:r>
    </w:p>
    <w:p w14:paraId="506BA69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[235]</w:t>
      </w:r>
      <w:r w:rsidRPr="007E3308">
        <w:rPr>
          <w:rFonts w:ascii="Calibri" w:hAnsi="Calibri" w:cs="Calibri"/>
          <w:noProof/>
          <w:sz w:val="22"/>
          <w:szCs w:val="24"/>
        </w:rPr>
        <w:tab/>
        <w:t>L. Kaminski, J. Eichler, Haloferax volcanii N-Glycosylation : Delineating the Pathway of dTDP-rhamnose Biosynthesis, 9 (2014). doi:10.1371/journal.pone.0097441.</w:t>
      </w:r>
    </w:p>
    <w:p w14:paraId="4CE2FD9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[236]</w:t>
      </w:r>
      <w:r w:rsidRPr="007E3308">
        <w:rPr>
          <w:rFonts w:ascii="Calibri" w:hAnsi="Calibri" w:cs="Calibri"/>
          <w:noProof/>
          <w:sz w:val="22"/>
          <w:szCs w:val="24"/>
        </w:rPr>
        <w:tab/>
        <w:t>T.R. Garrett, M. Bhakoo, Z. Zhang, Bacterial adhesion and biofilms on surfaces, Prog. Nat. Sci. 18 (2008) 1049–1056. doi:10.1016/j.pnsc.2008.04.001.</w:t>
      </w:r>
    </w:p>
    <w:p w14:paraId="3B278B08"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[237]</w:t>
      </w:r>
      <w:r w:rsidRPr="007E3308">
        <w:rPr>
          <w:rFonts w:ascii="Calibri" w:hAnsi="Calibri" w:cs="Calibri"/>
          <w:noProof/>
          <w:sz w:val="22"/>
          <w:szCs w:val="24"/>
        </w:rPr>
        <w:tab/>
        <w:t>S.S. Branda, E. González-Pastor, José Dervyn, S.D. Ehrlich, R. Losick, R. Kolter, Genes Involved in Formation of Structured Multicellular Communities by Bacillus subtilis, J. Bacteriol. 186 (2004) 3970–3979. doi:10.1128/JB.186.12.3970.</w:t>
      </w:r>
    </w:p>
    <w:p w14:paraId="770D9170"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[238]</w:t>
      </w:r>
      <w:r w:rsidRPr="007E3308">
        <w:rPr>
          <w:rFonts w:ascii="Calibri" w:hAnsi="Calibri" w:cs="Calibri"/>
          <w:noProof/>
          <w:sz w:val="22"/>
          <w:szCs w:val="24"/>
        </w:rPr>
        <w:tab/>
        <w:t>C. Cantó, K.J. Menzies, J. Auwerx, NAD</w:t>
      </w:r>
      <w:r w:rsidRPr="007E3308">
        <w:rPr>
          <w:rFonts w:ascii="Calibri" w:hAnsi="Calibri" w:cs="Calibri"/>
          <w:noProof/>
          <w:sz w:val="22"/>
          <w:szCs w:val="24"/>
          <w:vertAlign w:val="superscript"/>
        </w:rPr>
        <w:t>+</w:t>
      </w:r>
      <w:r w:rsidRPr="007E3308">
        <w:rPr>
          <w:rFonts w:ascii="Calibri" w:hAnsi="Calibri" w:cs="Calibri"/>
          <w:noProof/>
          <w:sz w:val="22"/>
          <w:szCs w:val="24"/>
        </w:rPr>
        <w:t xml:space="preserve"> Metabolism and the Control of Energy Homeostasis: A Balancing Act between Mitochondria and the Nucleus, Cell Metab. 22 (2015) 31–53. doi:10.1016/j.cmet.2015.05.023.</w:t>
      </w:r>
    </w:p>
    <w:p w14:paraId="5E91663A"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[239]</w:t>
      </w:r>
      <w:r w:rsidRPr="007E3308">
        <w:rPr>
          <w:rFonts w:ascii="Calibri" w:hAnsi="Calibri" w:cs="Calibri"/>
          <w:noProof/>
          <w:sz w:val="22"/>
          <w:szCs w:val="24"/>
        </w:rPr>
        <w:tab/>
        <w:t xml:space="preserve">S. Gribaldo, C. Brochier-Armanet, The origin and evolution of Archaea: a state of the art., Philos. Trans. R. Soc. Lond. B. Biol. Sci. 361 (2006) 1007–1022. </w:t>
      </w:r>
      <w:r w:rsidRPr="007E3308">
        <w:rPr>
          <w:rFonts w:ascii="Calibri" w:hAnsi="Calibri" w:cs="Calibri"/>
          <w:noProof/>
          <w:sz w:val="22"/>
          <w:szCs w:val="24"/>
        </w:rPr>
        <w:lastRenderedPageBreak/>
        <w:t>doi:10.1098/rstb.2006.1841.</w:t>
      </w:r>
    </w:p>
    <w:p w14:paraId="0B0BB8AF"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[240]</w:t>
      </w:r>
      <w:r w:rsidRPr="007E3308">
        <w:rPr>
          <w:rFonts w:ascii="Calibri" w:hAnsi="Calibri" w:cs="Calibri"/>
          <w:noProof/>
          <w:sz w:val="22"/>
          <w:szCs w:val="24"/>
        </w:rPr>
        <w:tab/>
        <w:t>G. Caetano-Anollés, A. Nasir, K. Zhou, D. Caetano-Anollés, J.E. Mittenthal, F.J. Sun, et al., Archaea: The first domain of diversified life, Archaea. 2014 (2014). doi:10.1155/2014/590214.</w:t>
      </w:r>
    </w:p>
    <w:p w14:paraId="5BB8BD7B"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[241]</w:t>
      </w:r>
      <w:r w:rsidRPr="007E3308">
        <w:rPr>
          <w:rFonts w:ascii="Calibri" w:hAnsi="Calibri" w:cs="Calibri"/>
          <w:noProof/>
          <w:sz w:val="22"/>
          <w:szCs w:val="24"/>
        </w:rPr>
        <w:tab/>
        <w:t>W.J. Jones, D.P. Nagle, W.B. Whitman, Methanogens and the diversity of archaebacteria., Microbiol. Rev. 51 (1987) 135–177.</w:t>
      </w:r>
    </w:p>
    <w:p w14:paraId="594A0275"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szCs w:val="24"/>
        </w:rPr>
      </w:pPr>
      <w:r w:rsidRPr="007E3308">
        <w:rPr>
          <w:rFonts w:ascii="Calibri" w:hAnsi="Calibri" w:cs="Calibri"/>
          <w:noProof/>
          <w:sz w:val="22"/>
          <w:szCs w:val="24"/>
        </w:rPr>
        <w:t>[242]</w:t>
      </w:r>
      <w:r w:rsidRPr="007E3308">
        <w:rPr>
          <w:rFonts w:ascii="Calibri" w:hAnsi="Calibri" w:cs="Calibri"/>
          <w:noProof/>
          <w:sz w:val="22"/>
          <w:szCs w:val="24"/>
        </w:rPr>
        <w:tab/>
        <w:t>N.B. Justice, C. Pan, R. Mueller, S.E. Spaulding, V. Shah, C.L. Sun, et al., Heterotrophic archaea contribute to carbon cycling in low-pH, suboxic biofilm communities, Appl. Environ. Microbiol. 78 (2012) 8321–8330. doi:10.1128/AEM.01938-12.</w:t>
      </w:r>
    </w:p>
    <w:p w14:paraId="074D1621" w14:textId="77777777" w:rsidR="007E3308" w:rsidRPr="007E3308" w:rsidRDefault="007E3308" w:rsidP="007E3308">
      <w:pPr>
        <w:widowControl w:val="0"/>
        <w:autoSpaceDE w:val="0"/>
        <w:autoSpaceDN w:val="0"/>
        <w:adjustRightInd w:val="0"/>
        <w:spacing w:line="360" w:lineRule="auto"/>
        <w:ind w:left="640" w:hanging="640"/>
        <w:rPr>
          <w:rFonts w:ascii="Calibri" w:hAnsi="Calibri" w:cs="Calibri"/>
          <w:noProof/>
          <w:sz w:val="22"/>
        </w:rPr>
      </w:pPr>
      <w:r w:rsidRPr="007E3308">
        <w:rPr>
          <w:rFonts w:ascii="Calibri" w:hAnsi="Calibri" w:cs="Calibri"/>
          <w:noProof/>
          <w:sz w:val="22"/>
          <w:szCs w:val="24"/>
        </w:rPr>
        <w:t>[243]</w:t>
      </w:r>
      <w:r w:rsidRPr="007E3308">
        <w:rPr>
          <w:rFonts w:ascii="Calibri" w:hAnsi="Calibri" w:cs="Calibri"/>
          <w:noProof/>
          <w:sz w:val="22"/>
          <w:szCs w:val="24"/>
        </w:rPr>
        <w:tab/>
        <w:t>W. Fukuda, Y.S. Ismail, T. Fukui, H. Atomi, T. Imanaka, Characterization of an archaeal malic enzyme from the hyperthermophilic archaeon Thermococcus kodakaraensis KOD1, Archaea. 1 (2005) 293–301. http://www.ncbi.nlm.nih.gov/entrez/query.fcgi?cmd=Retrieve&amp;db=PubMed&amp;dopt=Citation&amp;list_uids=15876562.</w:t>
      </w:r>
    </w:p>
    <w:p w14:paraId="32D866E5" w14:textId="2CEA61F7" w:rsidR="005128E0" w:rsidRDefault="002C211D" w:rsidP="002C211D">
      <w:pPr>
        <w:spacing w:line="360" w:lineRule="auto"/>
        <w:rPr>
          <w:rFonts w:asciiTheme="minorHAnsi" w:hAnsiTheme="minorHAnsi"/>
          <w:sz w:val="22"/>
          <w:szCs w:val="22"/>
        </w:rPr>
      </w:pPr>
      <w:r w:rsidRPr="002C211D">
        <w:rPr>
          <w:rFonts w:asciiTheme="minorHAnsi" w:hAnsiTheme="minorHAnsi"/>
          <w:sz w:val="22"/>
          <w:szCs w:val="22"/>
        </w:rPr>
        <w:fldChar w:fldCharType="end"/>
      </w:r>
    </w:p>
    <w:p w14:paraId="3B1666F8" w14:textId="77777777" w:rsidR="007E3308" w:rsidRDefault="007E3308" w:rsidP="002C211D">
      <w:pPr>
        <w:spacing w:line="360" w:lineRule="auto"/>
        <w:rPr>
          <w:rFonts w:asciiTheme="minorHAnsi" w:hAnsiTheme="minorHAnsi"/>
          <w:sz w:val="22"/>
          <w:szCs w:val="22"/>
        </w:rPr>
      </w:pPr>
    </w:p>
    <w:p w14:paraId="65791CF2" w14:textId="77777777" w:rsidR="007E3308" w:rsidRDefault="007E3308" w:rsidP="002C211D">
      <w:pPr>
        <w:spacing w:line="360" w:lineRule="auto"/>
        <w:rPr>
          <w:rFonts w:asciiTheme="minorHAnsi" w:hAnsiTheme="minorHAnsi"/>
          <w:sz w:val="22"/>
          <w:szCs w:val="22"/>
        </w:rPr>
      </w:pPr>
    </w:p>
    <w:p w14:paraId="72585C7B" w14:textId="77777777" w:rsidR="007E3308" w:rsidRDefault="007E3308" w:rsidP="002C211D">
      <w:pPr>
        <w:spacing w:line="360" w:lineRule="auto"/>
        <w:rPr>
          <w:rFonts w:asciiTheme="minorHAnsi" w:hAnsiTheme="minorHAnsi"/>
          <w:sz w:val="22"/>
          <w:szCs w:val="22"/>
        </w:rPr>
      </w:pPr>
    </w:p>
    <w:p w14:paraId="42E0E274" w14:textId="77777777" w:rsidR="007E3308" w:rsidRDefault="007E3308" w:rsidP="002C211D">
      <w:pPr>
        <w:spacing w:line="360" w:lineRule="auto"/>
        <w:rPr>
          <w:rFonts w:asciiTheme="minorHAnsi" w:hAnsiTheme="minorHAnsi"/>
          <w:sz w:val="22"/>
          <w:szCs w:val="22"/>
        </w:rPr>
      </w:pPr>
    </w:p>
    <w:p w14:paraId="485C5B13" w14:textId="77777777" w:rsidR="007E3308" w:rsidRDefault="007E3308" w:rsidP="002C211D">
      <w:pPr>
        <w:spacing w:line="360" w:lineRule="auto"/>
        <w:rPr>
          <w:rFonts w:asciiTheme="minorHAnsi" w:hAnsiTheme="minorHAnsi"/>
          <w:sz w:val="22"/>
          <w:szCs w:val="22"/>
        </w:rPr>
      </w:pPr>
    </w:p>
    <w:p w14:paraId="1A1EC710" w14:textId="77777777" w:rsidR="007E3308" w:rsidRDefault="007E3308" w:rsidP="002C211D">
      <w:pPr>
        <w:spacing w:line="360" w:lineRule="auto"/>
        <w:rPr>
          <w:rFonts w:asciiTheme="minorHAnsi" w:hAnsiTheme="minorHAnsi"/>
          <w:sz w:val="22"/>
          <w:szCs w:val="22"/>
        </w:rPr>
      </w:pPr>
    </w:p>
    <w:p w14:paraId="29C77E84" w14:textId="77777777" w:rsidR="007E3308" w:rsidRDefault="007E3308" w:rsidP="002C211D">
      <w:pPr>
        <w:spacing w:line="360" w:lineRule="auto"/>
        <w:rPr>
          <w:rFonts w:asciiTheme="minorHAnsi" w:hAnsiTheme="minorHAnsi"/>
          <w:sz w:val="22"/>
          <w:szCs w:val="22"/>
        </w:rPr>
      </w:pPr>
    </w:p>
    <w:p w14:paraId="654D4F4A" w14:textId="77777777" w:rsidR="007E3308" w:rsidRDefault="007E3308" w:rsidP="002C211D">
      <w:pPr>
        <w:spacing w:line="360" w:lineRule="auto"/>
        <w:rPr>
          <w:rFonts w:asciiTheme="minorHAnsi" w:hAnsiTheme="minorHAnsi"/>
          <w:sz w:val="22"/>
          <w:szCs w:val="22"/>
        </w:rPr>
      </w:pPr>
    </w:p>
    <w:p w14:paraId="61E7B2B5" w14:textId="77777777" w:rsidR="007E3308" w:rsidRDefault="007E3308" w:rsidP="002C211D">
      <w:pPr>
        <w:spacing w:line="360" w:lineRule="auto"/>
        <w:rPr>
          <w:rFonts w:asciiTheme="minorHAnsi" w:hAnsiTheme="minorHAnsi"/>
          <w:sz w:val="22"/>
          <w:szCs w:val="22"/>
        </w:rPr>
      </w:pPr>
    </w:p>
    <w:p w14:paraId="10BFA804" w14:textId="77777777" w:rsidR="007E3308" w:rsidRDefault="007E3308" w:rsidP="002C211D">
      <w:pPr>
        <w:spacing w:line="360" w:lineRule="auto"/>
        <w:rPr>
          <w:rFonts w:asciiTheme="minorHAnsi" w:hAnsiTheme="minorHAnsi"/>
          <w:sz w:val="22"/>
          <w:szCs w:val="22"/>
        </w:rPr>
      </w:pPr>
    </w:p>
    <w:p w14:paraId="239D6843" w14:textId="77777777" w:rsidR="007E3308" w:rsidRDefault="007E3308" w:rsidP="002C211D">
      <w:pPr>
        <w:spacing w:line="360" w:lineRule="auto"/>
        <w:rPr>
          <w:rFonts w:asciiTheme="minorHAnsi" w:hAnsiTheme="minorHAnsi"/>
          <w:sz w:val="22"/>
          <w:szCs w:val="22"/>
        </w:rPr>
      </w:pPr>
    </w:p>
    <w:p w14:paraId="68B59EC4" w14:textId="77777777" w:rsidR="007E3308" w:rsidRDefault="007E3308" w:rsidP="002C211D">
      <w:pPr>
        <w:spacing w:line="360" w:lineRule="auto"/>
        <w:rPr>
          <w:rFonts w:asciiTheme="minorHAnsi" w:hAnsiTheme="minorHAnsi"/>
          <w:sz w:val="22"/>
          <w:szCs w:val="22"/>
        </w:rPr>
      </w:pPr>
    </w:p>
    <w:p w14:paraId="1A98A989" w14:textId="77777777" w:rsidR="007E3308" w:rsidRDefault="007E3308" w:rsidP="002C211D">
      <w:pPr>
        <w:spacing w:line="360" w:lineRule="auto"/>
        <w:rPr>
          <w:rFonts w:asciiTheme="minorHAnsi" w:hAnsiTheme="minorHAnsi"/>
          <w:sz w:val="22"/>
          <w:szCs w:val="22"/>
        </w:rPr>
      </w:pPr>
    </w:p>
    <w:p w14:paraId="6DACA88F" w14:textId="77777777" w:rsidR="007E3308" w:rsidRDefault="007E3308" w:rsidP="002C211D">
      <w:pPr>
        <w:spacing w:line="360" w:lineRule="auto"/>
        <w:rPr>
          <w:rFonts w:asciiTheme="minorHAnsi" w:hAnsiTheme="minorHAnsi"/>
          <w:sz w:val="22"/>
          <w:szCs w:val="22"/>
        </w:rPr>
      </w:pPr>
    </w:p>
    <w:p w14:paraId="13CB7435" w14:textId="77777777" w:rsidR="007E3308" w:rsidRDefault="007E3308" w:rsidP="002C211D">
      <w:pPr>
        <w:spacing w:line="360" w:lineRule="auto"/>
        <w:rPr>
          <w:rFonts w:asciiTheme="minorHAnsi" w:hAnsiTheme="minorHAnsi"/>
          <w:sz w:val="22"/>
          <w:szCs w:val="22"/>
        </w:rPr>
      </w:pPr>
    </w:p>
    <w:p w14:paraId="7F35CB46" w14:textId="77777777" w:rsidR="007E3308" w:rsidRDefault="007E3308" w:rsidP="002C211D">
      <w:pPr>
        <w:spacing w:line="360" w:lineRule="auto"/>
        <w:rPr>
          <w:rFonts w:asciiTheme="minorHAnsi" w:hAnsiTheme="minorHAnsi"/>
          <w:sz w:val="22"/>
          <w:szCs w:val="22"/>
        </w:rPr>
      </w:pPr>
    </w:p>
    <w:p w14:paraId="4DC43B35" w14:textId="77777777" w:rsidR="007E3308" w:rsidRDefault="007E3308" w:rsidP="002C211D">
      <w:pPr>
        <w:spacing w:line="360" w:lineRule="auto"/>
        <w:rPr>
          <w:rFonts w:asciiTheme="minorHAnsi" w:hAnsiTheme="minorHAnsi"/>
          <w:sz w:val="22"/>
          <w:szCs w:val="22"/>
        </w:rPr>
      </w:pPr>
    </w:p>
    <w:p w14:paraId="7C2046FA" w14:textId="77777777" w:rsidR="007E3308" w:rsidRDefault="007E3308" w:rsidP="002C211D">
      <w:pPr>
        <w:spacing w:line="360" w:lineRule="auto"/>
        <w:rPr>
          <w:rFonts w:asciiTheme="minorHAnsi" w:hAnsiTheme="minorHAnsi"/>
          <w:sz w:val="22"/>
          <w:szCs w:val="22"/>
        </w:rPr>
      </w:pPr>
    </w:p>
    <w:p w14:paraId="7D4FE625" w14:textId="77777777" w:rsidR="007E3308" w:rsidRDefault="007E3308" w:rsidP="002C211D">
      <w:pPr>
        <w:spacing w:line="360" w:lineRule="auto"/>
        <w:rPr>
          <w:rFonts w:asciiTheme="minorHAnsi" w:hAnsiTheme="minorHAnsi"/>
          <w:sz w:val="22"/>
          <w:szCs w:val="22"/>
        </w:rPr>
      </w:pPr>
    </w:p>
    <w:p w14:paraId="7D3D070F" w14:textId="77777777" w:rsidR="007E3308" w:rsidRDefault="007E3308" w:rsidP="002C211D">
      <w:pPr>
        <w:spacing w:line="360" w:lineRule="auto"/>
        <w:rPr>
          <w:rFonts w:asciiTheme="minorHAnsi" w:hAnsiTheme="minorHAnsi"/>
          <w:sz w:val="22"/>
          <w:szCs w:val="22"/>
        </w:rPr>
      </w:pPr>
    </w:p>
    <w:p w14:paraId="1FC23B4D" w14:textId="7969B7FC" w:rsidR="007E3308" w:rsidRDefault="007E3308" w:rsidP="002C211D">
      <w:pPr>
        <w:spacing w:line="360" w:lineRule="auto"/>
        <w:rPr>
          <w:rFonts w:asciiTheme="minorHAnsi" w:hAnsiTheme="minorHAnsi"/>
          <w:b/>
          <w:sz w:val="28"/>
          <w:szCs w:val="28"/>
        </w:rPr>
      </w:pPr>
      <w:r w:rsidRPr="00224A2D">
        <w:rPr>
          <w:rFonts w:asciiTheme="minorHAnsi" w:hAnsiTheme="minorHAnsi"/>
          <w:b/>
          <w:sz w:val="28"/>
          <w:szCs w:val="28"/>
        </w:rPr>
        <w:lastRenderedPageBreak/>
        <w:t>Appendix</w:t>
      </w:r>
    </w:p>
    <w:p w14:paraId="07B3B55D" w14:textId="63E9F577" w:rsidR="005244BA" w:rsidRDefault="005244BA" w:rsidP="002C211D">
      <w:pPr>
        <w:spacing w:line="360" w:lineRule="auto"/>
        <w:rPr>
          <w:rFonts w:asciiTheme="minorHAnsi" w:hAnsiTheme="minorHAnsi"/>
          <w:b/>
          <w:i/>
          <w:sz w:val="28"/>
          <w:szCs w:val="28"/>
        </w:rPr>
      </w:pPr>
      <w:r>
        <w:rPr>
          <w:rFonts w:asciiTheme="minorHAnsi" w:hAnsiTheme="minorHAnsi"/>
          <w:b/>
          <w:sz w:val="28"/>
          <w:szCs w:val="28"/>
        </w:rPr>
        <w:t xml:space="preserve">DSMZ 120 media recipe for </w:t>
      </w:r>
      <w:r>
        <w:rPr>
          <w:rFonts w:asciiTheme="minorHAnsi" w:hAnsiTheme="minorHAnsi"/>
          <w:b/>
          <w:i/>
          <w:sz w:val="28"/>
          <w:szCs w:val="28"/>
        </w:rPr>
        <w:t>Methanosarcina barkeri</w:t>
      </w:r>
    </w:p>
    <w:tbl>
      <w:tblPr>
        <w:tblW w:w="0" w:type="auto"/>
        <w:tblInd w:w="80" w:type="dxa"/>
        <w:tblLayout w:type="fixed"/>
        <w:tblCellMar>
          <w:left w:w="0" w:type="dxa"/>
          <w:right w:w="0" w:type="dxa"/>
        </w:tblCellMar>
        <w:tblLook w:val="04A0" w:firstRow="1" w:lastRow="0" w:firstColumn="1" w:lastColumn="0" w:noHBand="0" w:noVBand="1"/>
      </w:tblPr>
      <w:tblGrid>
        <w:gridCol w:w="5680"/>
        <w:gridCol w:w="1740"/>
        <w:gridCol w:w="360"/>
      </w:tblGrid>
      <w:tr w:rsidR="001860CE" w:rsidRPr="001860CE" w14:paraId="51330734" w14:textId="77777777" w:rsidTr="001860CE">
        <w:trPr>
          <w:trHeight w:val="368"/>
        </w:trPr>
        <w:tc>
          <w:tcPr>
            <w:tcW w:w="5680" w:type="dxa"/>
            <w:vAlign w:val="bottom"/>
            <w:hideMark/>
          </w:tcPr>
          <w:p w14:paraId="36B1E628" w14:textId="77777777" w:rsidR="001860CE" w:rsidRPr="00224A2D" w:rsidRDefault="001860CE">
            <w:pPr>
              <w:rPr>
                <w:rFonts w:asciiTheme="minorHAnsi" w:hAnsiTheme="minorHAnsi" w:cstheme="minorHAnsi"/>
                <w:sz w:val="22"/>
                <w:szCs w:val="22"/>
                <w:lang w:eastAsia="en-GB"/>
              </w:rPr>
            </w:pPr>
            <w:r w:rsidRPr="00224A2D">
              <w:rPr>
                <w:rFonts w:asciiTheme="minorHAnsi" w:eastAsia="Verdana" w:hAnsiTheme="minorHAnsi" w:cstheme="minorHAnsi"/>
                <w:sz w:val="22"/>
                <w:szCs w:val="22"/>
              </w:rPr>
              <w:t>K</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HPO</w:t>
            </w:r>
            <w:r w:rsidRPr="00224A2D">
              <w:rPr>
                <w:rFonts w:asciiTheme="minorHAnsi" w:eastAsia="Verdana" w:hAnsiTheme="minorHAnsi" w:cstheme="minorHAnsi"/>
                <w:sz w:val="22"/>
                <w:szCs w:val="22"/>
                <w:vertAlign w:val="subscript"/>
              </w:rPr>
              <w:t>4</w:t>
            </w:r>
          </w:p>
        </w:tc>
        <w:tc>
          <w:tcPr>
            <w:tcW w:w="1740" w:type="dxa"/>
            <w:vAlign w:val="bottom"/>
            <w:hideMark/>
          </w:tcPr>
          <w:p w14:paraId="61D756C9"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0.35</w:t>
            </w:r>
          </w:p>
        </w:tc>
        <w:tc>
          <w:tcPr>
            <w:tcW w:w="360" w:type="dxa"/>
            <w:vAlign w:val="bottom"/>
            <w:hideMark/>
          </w:tcPr>
          <w:p w14:paraId="1D293716"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1860CE" w:rsidRPr="001860CE" w14:paraId="1F881766" w14:textId="77777777" w:rsidTr="001860CE">
        <w:trPr>
          <w:trHeight w:val="282"/>
        </w:trPr>
        <w:tc>
          <w:tcPr>
            <w:tcW w:w="5680" w:type="dxa"/>
            <w:vAlign w:val="bottom"/>
            <w:hideMark/>
          </w:tcPr>
          <w:p w14:paraId="2DA84948" w14:textId="77777777" w:rsidR="001860CE" w:rsidRPr="00224A2D" w:rsidRDefault="001860CE">
            <w:pPr>
              <w:spacing w:line="282" w:lineRule="exact"/>
              <w:rPr>
                <w:rFonts w:asciiTheme="minorHAnsi" w:hAnsiTheme="minorHAnsi" w:cstheme="minorHAnsi"/>
                <w:sz w:val="22"/>
                <w:szCs w:val="22"/>
              </w:rPr>
            </w:pPr>
            <w:r w:rsidRPr="00224A2D">
              <w:rPr>
                <w:rFonts w:asciiTheme="minorHAnsi" w:eastAsia="Verdana" w:hAnsiTheme="minorHAnsi" w:cstheme="minorHAnsi"/>
                <w:sz w:val="22"/>
                <w:szCs w:val="22"/>
              </w:rPr>
              <w:t>KH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PO</w:t>
            </w:r>
            <w:r w:rsidRPr="00224A2D">
              <w:rPr>
                <w:rFonts w:asciiTheme="minorHAnsi" w:eastAsia="Verdana" w:hAnsiTheme="minorHAnsi" w:cstheme="minorHAnsi"/>
                <w:sz w:val="22"/>
                <w:szCs w:val="22"/>
                <w:vertAlign w:val="subscript"/>
              </w:rPr>
              <w:t>4</w:t>
            </w:r>
          </w:p>
        </w:tc>
        <w:tc>
          <w:tcPr>
            <w:tcW w:w="1740" w:type="dxa"/>
            <w:vAlign w:val="bottom"/>
            <w:hideMark/>
          </w:tcPr>
          <w:p w14:paraId="2C101E82"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0.23</w:t>
            </w:r>
          </w:p>
        </w:tc>
        <w:tc>
          <w:tcPr>
            <w:tcW w:w="360" w:type="dxa"/>
            <w:vAlign w:val="bottom"/>
            <w:hideMark/>
          </w:tcPr>
          <w:p w14:paraId="016F226B"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1860CE" w:rsidRPr="001860CE" w14:paraId="6B1211AD" w14:textId="77777777" w:rsidTr="001860CE">
        <w:trPr>
          <w:trHeight w:val="280"/>
        </w:trPr>
        <w:tc>
          <w:tcPr>
            <w:tcW w:w="5680" w:type="dxa"/>
            <w:vAlign w:val="bottom"/>
            <w:hideMark/>
          </w:tcPr>
          <w:p w14:paraId="42F66432" w14:textId="77777777" w:rsidR="001860CE" w:rsidRPr="00224A2D" w:rsidRDefault="001860CE">
            <w:pPr>
              <w:spacing w:line="279" w:lineRule="exact"/>
              <w:rPr>
                <w:rFonts w:asciiTheme="minorHAnsi" w:hAnsiTheme="minorHAnsi" w:cstheme="minorHAnsi"/>
                <w:sz w:val="22"/>
                <w:szCs w:val="22"/>
              </w:rPr>
            </w:pPr>
            <w:r w:rsidRPr="00224A2D">
              <w:rPr>
                <w:rFonts w:asciiTheme="minorHAnsi" w:eastAsia="Verdana" w:hAnsiTheme="minorHAnsi" w:cstheme="minorHAnsi"/>
                <w:sz w:val="22"/>
                <w:szCs w:val="22"/>
              </w:rPr>
              <w:t>NH</w:t>
            </w:r>
            <w:r w:rsidRPr="00224A2D">
              <w:rPr>
                <w:rFonts w:asciiTheme="minorHAnsi" w:eastAsia="Verdana" w:hAnsiTheme="minorHAnsi" w:cstheme="minorHAnsi"/>
                <w:sz w:val="22"/>
                <w:szCs w:val="22"/>
                <w:vertAlign w:val="subscript"/>
              </w:rPr>
              <w:t>4</w:t>
            </w:r>
            <w:r w:rsidRPr="00224A2D">
              <w:rPr>
                <w:rFonts w:asciiTheme="minorHAnsi" w:eastAsia="Verdana" w:hAnsiTheme="minorHAnsi" w:cstheme="minorHAnsi"/>
                <w:sz w:val="22"/>
                <w:szCs w:val="22"/>
              </w:rPr>
              <w:t>Cl</w:t>
            </w:r>
          </w:p>
        </w:tc>
        <w:tc>
          <w:tcPr>
            <w:tcW w:w="1740" w:type="dxa"/>
            <w:vAlign w:val="bottom"/>
            <w:hideMark/>
          </w:tcPr>
          <w:p w14:paraId="016EA3BA"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0.50</w:t>
            </w:r>
          </w:p>
        </w:tc>
        <w:tc>
          <w:tcPr>
            <w:tcW w:w="360" w:type="dxa"/>
            <w:vAlign w:val="bottom"/>
            <w:hideMark/>
          </w:tcPr>
          <w:p w14:paraId="0C8BD25E"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1860CE" w:rsidRPr="001860CE" w14:paraId="590B20CC" w14:textId="77777777" w:rsidTr="001860CE">
        <w:trPr>
          <w:trHeight w:val="280"/>
        </w:trPr>
        <w:tc>
          <w:tcPr>
            <w:tcW w:w="5680" w:type="dxa"/>
            <w:vAlign w:val="bottom"/>
            <w:hideMark/>
          </w:tcPr>
          <w:p w14:paraId="2F3D01AA" w14:textId="77777777" w:rsidR="001860CE" w:rsidRPr="00224A2D" w:rsidRDefault="001860CE">
            <w:pPr>
              <w:spacing w:line="279" w:lineRule="exact"/>
              <w:rPr>
                <w:rFonts w:asciiTheme="minorHAnsi" w:hAnsiTheme="minorHAnsi" w:cstheme="minorHAnsi"/>
                <w:sz w:val="22"/>
                <w:szCs w:val="22"/>
              </w:rPr>
            </w:pPr>
            <w:r w:rsidRPr="00224A2D">
              <w:rPr>
                <w:rFonts w:asciiTheme="minorHAnsi" w:eastAsia="Verdana" w:hAnsiTheme="minorHAnsi" w:cstheme="minorHAnsi"/>
                <w:sz w:val="22"/>
                <w:szCs w:val="22"/>
              </w:rPr>
              <w:t>MgSO</w:t>
            </w:r>
            <w:r w:rsidRPr="00224A2D">
              <w:rPr>
                <w:rFonts w:asciiTheme="minorHAnsi" w:eastAsia="Verdana" w:hAnsiTheme="minorHAnsi" w:cstheme="minorHAnsi"/>
                <w:sz w:val="22"/>
                <w:szCs w:val="22"/>
                <w:vertAlign w:val="subscript"/>
              </w:rPr>
              <w:t>4</w:t>
            </w:r>
            <w:r w:rsidRPr="00224A2D">
              <w:rPr>
                <w:rFonts w:asciiTheme="minorHAnsi" w:eastAsia="Verdana" w:hAnsiTheme="minorHAnsi" w:cstheme="minorHAnsi"/>
                <w:sz w:val="22"/>
                <w:szCs w:val="22"/>
              </w:rPr>
              <w:t xml:space="preserve"> x 7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1740" w:type="dxa"/>
            <w:vAlign w:val="bottom"/>
            <w:hideMark/>
          </w:tcPr>
          <w:p w14:paraId="52759087"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0.50</w:t>
            </w:r>
          </w:p>
        </w:tc>
        <w:tc>
          <w:tcPr>
            <w:tcW w:w="360" w:type="dxa"/>
            <w:vAlign w:val="bottom"/>
            <w:hideMark/>
          </w:tcPr>
          <w:p w14:paraId="0336669C"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1860CE" w:rsidRPr="001860CE" w14:paraId="7C0A5196" w14:textId="77777777" w:rsidTr="001860CE">
        <w:trPr>
          <w:trHeight w:val="280"/>
        </w:trPr>
        <w:tc>
          <w:tcPr>
            <w:tcW w:w="5680" w:type="dxa"/>
            <w:vAlign w:val="bottom"/>
            <w:hideMark/>
          </w:tcPr>
          <w:p w14:paraId="1AF61FCF" w14:textId="77777777" w:rsidR="001860CE" w:rsidRPr="00224A2D" w:rsidRDefault="001860CE">
            <w:pPr>
              <w:spacing w:line="279" w:lineRule="exact"/>
              <w:rPr>
                <w:rFonts w:asciiTheme="minorHAnsi" w:hAnsiTheme="minorHAnsi" w:cstheme="minorHAnsi"/>
                <w:sz w:val="22"/>
                <w:szCs w:val="22"/>
              </w:rPr>
            </w:pPr>
            <w:r w:rsidRPr="00224A2D">
              <w:rPr>
                <w:rFonts w:asciiTheme="minorHAnsi" w:eastAsia="Verdana" w:hAnsiTheme="minorHAnsi" w:cstheme="minorHAnsi"/>
                <w:sz w:val="22"/>
                <w:szCs w:val="22"/>
              </w:rPr>
              <w:t>CaCl</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 xml:space="preserve"> x 2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1740" w:type="dxa"/>
            <w:vAlign w:val="bottom"/>
            <w:hideMark/>
          </w:tcPr>
          <w:p w14:paraId="6F2F0FAE"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0.25</w:t>
            </w:r>
          </w:p>
        </w:tc>
        <w:tc>
          <w:tcPr>
            <w:tcW w:w="360" w:type="dxa"/>
            <w:vAlign w:val="bottom"/>
            <w:hideMark/>
          </w:tcPr>
          <w:p w14:paraId="7B796AFC"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1860CE" w:rsidRPr="001860CE" w14:paraId="279F26D8" w14:textId="77777777" w:rsidTr="001860CE">
        <w:trPr>
          <w:trHeight w:val="269"/>
        </w:trPr>
        <w:tc>
          <w:tcPr>
            <w:tcW w:w="5680" w:type="dxa"/>
            <w:vAlign w:val="bottom"/>
            <w:hideMark/>
          </w:tcPr>
          <w:p w14:paraId="32E8D410" w14:textId="77777777" w:rsidR="001860CE" w:rsidRPr="00224A2D" w:rsidRDefault="001860CE">
            <w:pPr>
              <w:rPr>
                <w:rFonts w:asciiTheme="minorHAnsi" w:hAnsiTheme="minorHAnsi" w:cstheme="minorHAnsi"/>
                <w:sz w:val="22"/>
                <w:szCs w:val="22"/>
              </w:rPr>
            </w:pPr>
            <w:r w:rsidRPr="00224A2D">
              <w:rPr>
                <w:rFonts w:asciiTheme="minorHAnsi" w:eastAsia="Verdana" w:hAnsiTheme="minorHAnsi" w:cstheme="minorHAnsi"/>
                <w:sz w:val="22"/>
                <w:szCs w:val="22"/>
              </w:rPr>
              <w:t>NaCl</w:t>
            </w:r>
          </w:p>
        </w:tc>
        <w:tc>
          <w:tcPr>
            <w:tcW w:w="1740" w:type="dxa"/>
            <w:vAlign w:val="bottom"/>
            <w:hideMark/>
          </w:tcPr>
          <w:p w14:paraId="291C4B4C"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2.25</w:t>
            </w:r>
          </w:p>
        </w:tc>
        <w:tc>
          <w:tcPr>
            <w:tcW w:w="360" w:type="dxa"/>
            <w:vAlign w:val="bottom"/>
            <w:hideMark/>
          </w:tcPr>
          <w:p w14:paraId="3D816226"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1860CE" w:rsidRPr="001860CE" w14:paraId="6A94E34E" w14:textId="77777777" w:rsidTr="001860CE">
        <w:trPr>
          <w:trHeight w:val="290"/>
        </w:trPr>
        <w:tc>
          <w:tcPr>
            <w:tcW w:w="5680" w:type="dxa"/>
            <w:vAlign w:val="bottom"/>
            <w:hideMark/>
          </w:tcPr>
          <w:p w14:paraId="1FA1FA8C" w14:textId="77777777" w:rsidR="001860CE" w:rsidRPr="00224A2D" w:rsidRDefault="001860CE">
            <w:pPr>
              <w:spacing w:line="289" w:lineRule="exact"/>
              <w:rPr>
                <w:rFonts w:asciiTheme="minorHAnsi" w:hAnsiTheme="minorHAnsi" w:cstheme="minorHAnsi"/>
                <w:sz w:val="22"/>
                <w:szCs w:val="22"/>
              </w:rPr>
            </w:pPr>
            <w:r w:rsidRPr="00224A2D">
              <w:rPr>
                <w:rFonts w:asciiTheme="minorHAnsi" w:eastAsia="Verdana" w:hAnsiTheme="minorHAnsi" w:cstheme="minorHAnsi"/>
                <w:sz w:val="22"/>
                <w:szCs w:val="22"/>
              </w:rPr>
              <w:t>FeSO</w:t>
            </w:r>
            <w:r w:rsidRPr="00224A2D">
              <w:rPr>
                <w:rFonts w:asciiTheme="minorHAnsi" w:eastAsia="Verdana" w:hAnsiTheme="minorHAnsi" w:cstheme="minorHAnsi"/>
                <w:sz w:val="22"/>
                <w:szCs w:val="22"/>
                <w:vertAlign w:val="subscript"/>
              </w:rPr>
              <w:t>4</w:t>
            </w:r>
            <w:r w:rsidRPr="00224A2D">
              <w:rPr>
                <w:rFonts w:asciiTheme="minorHAnsi" w:eastAsia="Verdana" w:hAnsiTheme="minorHAnsi" w:cstheme="minorHAnsi"/>
                <w:sz w:val="22"/>
                <w:szCs w:val="22"/>
              </w:rPr>
              <w:t xml:space="preserve"> x 7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 solution (0.1% w/v in 0.1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SO</w:t>
            </w:r>
            <w:r w:rsidRPr="00224A2D">
              <w:rPr>
                <w:rFonts w:asciiTheme="minorHAnsi" w:eastAsia="Verdana" w:hAnsiTheme="minorHAnsi" w:cstheme="minorHAnsi"/>
                <w:sz w:val="22"/>
                <w:szCs w:val="22"/>
                <w:vertAlign w:val="subscript"/>
              </w:rPr>
              <w:t>4</w:t>
            </w:r>
            <w:r w:rsidRPr="00224A2D">
              <w:rPr>
                <w:rFonts w:asciiTheme="minorHAnsi" w:eastAsia="Verdana" w:hAnsiTheme="minorHAnsi" w:cstheme="minorHAnsi"/>
                <w:sz w:val="22"/>
                <w:szCs w:val="22"/>
              </w:rPr>
              <w:t>)</w:t>
            </w:r>
          </w:p>
        </w:tc>
        <w:tc>
          <w:tcPr>
            <w:tcW w:w="1740" w:type="dxa"/>
            <w:vAlign w:val="bottom"/>
            <w:hideMark/>
          </w:tcPr>
          <w:p w14:paraId="24158AAD"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2.00</w:t>
            </w:r>
          </w:p>
        </w:tc>
        <w:tc>
          <w:tcPr>
            <w:tcW w:w="360" w:type="dxa"/>
            <w:vAlign w:val="bottom"/>
            <w:hideMark/>
          </w:tcPr>
          <w:p w14:paraId="6975E311"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ml</w:t>
            </w:r>
          </w:p>
        </w:tc>
      </w:tr>
      <w:tr w:rsidR="001860CE" w:rsidRPr="001860CE" w14:paraId="3812E5D5" w14:textId="77777777" w:rsidTr="001860CE">
        <w:trPr>
          <w:trHeight w:val="269"/>
        </w:trPr>
        <w:tc>
          <w:tcPr>
            <w:tcW w:w="5680" w:type="dxa"/>
            <w:vAlign w:val="bottom"/>
            <w:hideMark/>
          </w:tcPr>
          <w:p w14:paraId="6CE12942" w14:textId="293BDCC4" w:rsidR="001860CE" w:rsidRPr="00224A2D" w:rsidRDefault="001860CE" w:rsidP="00EE1C79">
            <w:pPr>
              <w:rPr>
                <w:rFonts w:asciiTheme="minorHAnsi" w:hAnsiTheme="minorHAnsi" w:cstheme="minorHAnsi"/>
                <w:sz w:val="22"/>
                <w:szCs w:val="22"/>
              </w:rPr>
            </w:pPr>
            <w:r w:rsidRPr="00224A2D">
              <w:rPr>
                <w:rFonts w:asciiTheme="minorHAnsi" w:eastAsia="Verdana" w:hAnsiTheme="minorHAnsi" w:cstheme="minorHAnsi"/>
                <w:sz w:val="22"/>
                <w:szCs w:val="22"/>
              </w:rPr>
              <w:t xml:space="preserve">Trace element solution SL-10 (see </w:t>
            </w:r>
            <w:r w:rsidR="00EE1C79">
              <w:rPr>
                <w:rFonts w:asciiTheme="minorHAnsi" w:eastAsia="Verdana" w:hAnsiTheme="minorHAnsi" w:cstheme="minorHAnsi"/>
                <w:sz w:val="22"/>
                <w:szCs w:val="22"/>
              </w:rPr>
              <w:t>below</w:t>
            </w:r>
            <w:r w:rsidRPr="00224A2D">
              <w:rPr>
                <w:rFonts w:asciiTheme="minorHAnsi" w:eastAsia="Verdana" w:hAnsiTheme="minorHAnsi" w:cstheme="minorHAnsi"/>
                <w:sz w:val="22"/>
                <w:szCs w:val="22"/>
              </w:rPr>
              <w:t>)</w:t>
            </w:r>
          </w:p>
        </w:tc>
        <w:tc>
          <w:tcPr>
            <w:tcW w:w="1740" w:type="dxa"/>
            <w:vAlign w:val="bottom"/>
            <w:hideMark/>
          </w:tcPr>
          <w:p w14:paraId="14F8C7D5"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1.00</w:t>
            </w:r>
          </w:p>
        </w:tc>
        <w:tc>
          <w:tcPr>
            <w:tcW w:w="360" w:type="dxa"/>
            <w:vAlign w:val="bottom"/>
            <w:hideMark/>
          </w:tcPr>
          <w:p w14:paraId="2716FDCA"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ml</w:t>
            </w:r>
          </w:p>
        </w:tc>
      </w:tr>
      <w:tr w:rsidR="001860CE" w:rsidRPr="001860CE" w14:paraId="296ACDF1" w14:textId="77777777" w:rsidTr="001860CE">
        <w:trPr>
          <w:trHeight w:val="280"/>
        </w:trPr>
        <w:tc>
          <w:tcPr>
            <w:tcW w:w="5680" w:type="dxa"/>
            <w:vAlign w:val="bottom"/>
            <w:hideMark/>
          </w:tcPr>
          <w:p w14:paraId="4807DFBD" w14:textId="77777777" w:rsidR="001860CE" w:rsidRPr="00224A2D" w:rsidRDefault="001860CE">
            <w:pPr>
              <w:rPr>
                <w:rFonts w:asciiTheme="minorHAnsi" w:hAnsiTheme="minorHAnsi" w:cstheme="minorHAnsi"/>
                <w:sz w:val="22"/>
                <w:szCs w:val="22"/>
              </w:rPr>
            </w:pPr>
            <w:r w:rsidRPr="00224A2D">
              <w:rPr>
                <w:rFonts w:asciiTheme="minorHAnsi" w:eastAsia="Verdana" w:hAnsiTheme="minorHAnsi" w:cstheme="minorHAnsi"/>
                <w:sz w:val="22"/>
                <w:szCs w:val="22"/>
              </w:rPr>
              <w:t>Yeast extract (OXOID)</w:t>
            </w:r>
          </w:p>
        </w:tc>
        <w:tc>
          <w:tcPr>
            <w:tcW w:w="1740" w:type="dxa"/>
            <w:vAlign w:val="bottom"/>
            <w:hideMark/>
          </w:tcPr>
          <w:p w14:paraId="711F3AD0"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2.00</w:t>
            </w:r>
          </w:p>
        </w:tc>
        <w:tc>
          <w:tcPr>
            <w:tcW w:w="360" w:type="dxa"/>
            <w:vAlign w:val="bottom"/>
            <w:hideMark/>
          </w:tcPr>
          <w:p w14:paraId="56201FA5"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1860CE" w:rsidRPr="001860CE" w14:paraId="5BD4E5F0" w14:textId="77777777" w:rsidTr="001860CE">
        <w:trPr>
          <w:trHeight w:val="280"/>
        </w:trPr>
        <w:tc>
          <w:tcPr>
            <w:tcW w:w="5680" w:type="dxa"/>
            <w:vAlign w:val="bottom"/>
            <w:hideMark/>
          </w:tcPr>
          <w:p w14:paraId="016B5798" w14:textId="77777777" w:rsidR="001860CE" w:rsidRPr="00224A2D" w:rsidRDefault="001860CE">
            <w:pPr>
              <w:rPr>
                <w:rFonts w:asciiTheme="minorHAnsi" w:hAnsiTheme="minorHAnsi" w:cstheme="minorHAnsi"/>
                <w:sz w:val="22"/>
                <w:szCs w:val="22"/>
              </w:rPr>
            </w:pPr>
            <w:r w:rsidRPr="00224A2D">
              <w:rPr>
                <w:rFonts w:asciiTheme="minorHAnsi" w:eastAsia="Verdana" w:hAnsiTheme="minorHAnsi" w:cstheme="minorHAnsi"/>
                <w:sz w:val="22"/>
                <w:szCs w:val="22"/>
              </w:rPr>
              <w:t>Casitone (BD BBL)</w:t>
            </w:r>
          </w:p>
        </w:tc>
        <w:tc>
          <w:tcPr>
            <w:tcW w:w="1740" w:type="dxa"/>
            <w:vAlign w:val="bottom"/>
            <w:hideMark/>
          </w:tcPr>
          <w:p w14:paraId="0E0C08CF"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2.00</w:t>
            </w:r>
          </w:p>
        </w:tc>
        <w:tc>
          <w:tcPr>
            <w:tcW w:w="360" w:type="dxa"/>
            <w:vAlign w:val="bottom"/>
            <w:hideMark/>
          </w:tcPr>
          <w:p w14:paraId="7EBAB594"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1860CE" w:rsidRPr="001860CE" w14:paraId="068E4783" w14:textId="77777777" w:rsidTr="001860CE">
        <w:trPr>
          <w:trHeight w:val="280"/>
        </w:trPr>
        <w:tc>
          <w:tcPr>
            <w:tcW w:w="5680" w:type="dxa"/>
            <w:vAlign w:val="bottom"/>
            <w:hideMark/>
          </w:tcPr>
          <w:p w14:paraId="11861177" w14:textId="77777777" w:rsidR="001860CE" w:rsidRPr="00224A2D" w:rsidRDefault="001860CE">
            <w:pPr>
              <w:rPr>
                <w:rFonts w:asciiTheme="minorHAnsi" w:hAnsiTheme="minorHAnsi" w:cstheme="minorHAnsi"/>
                <w:sz w:val="22"/>
                <w:szCs w:val="22"/>
              </w:rPr>
            </w:pPr>
            <w:r w:rsidRPr="00224A2D">
              <w:rPr>
                <w:rFonts w:asciiTheme="minorHAnsi" w:eastAsia="Verdana" w:hAnsiTheme="minorHAnsi" w:cstheme="minorHAnsi"/>
                <w:sz w:val="22"/>
                <w:szCs w:val="22"/>
              </w:rPr>
              <w:t>Na-resazurin solution (0.1% w/v)</w:t>
            </w:r>
          </w:p>
        </w:tc>
        <w:tc>
          <w:tcPr>
            <w:tcW w:w="1740" w:type="dxa"/>
            <w:vAlign w:val="bottom"/>
            <w:hideMark/>
          </w:tcPr>
          <w:p w14:paraId="5F58BD92"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0.50</w:t>
            </w:r>
          </w:p>
        </w:tc>
        <w:tc>
          <w:tcPr>
            <w:tcW w:w="360" w:type="dxa"/>
            <w:vAlign w:val="bottom"/>
            <w:hideMark/>
          </w:tcPr>
          <w:p w14:paraId="6A6D84D8"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ml</w:t>
            </w:r>
          </w:p>
        </w:tc>
      </w:tr>
      <w:tr w:rsidR="001860CE" w:rsidRPr="001860CE" w14:paraId="2DABA724" w14:textId="77777777" w:rsidTr="001860CE">
        <w:trPr>
          <w:trHeight w:val="290"/>
        </w:trPr>
        <w:tc>
          <w:tcPr>
            <w:tcW w:w="5680" w:type="dxa"/>
            <w:vAlign w:val="bottom"/>
            <w:hideMark/>
          </w:tcPr>
          <w:p w14:paraId="1B5A156E" w14:textId="77777777" w:rsidR="001860CE" w:rsidRPr="00224A2D" w:rsidRDefault="001860CE">
            <w:pPr>
              <w:spacing w:line="289" w:lineRule="exact"/>
              <w:rPr>
                <w:rFonts w:asciiTheme="minorHAnsi" w:hAnsiTheme="minorHAnsi" w:cstheme="minorHAnsi"/>
                <w:sz w:val="22"/>
                <w:szCs w:val="22"/>
              </w:rPr>
            </w:pPr>
            <w:r w:rsidRPr="00224A2D">
              <w:rPr>
                <w:rFonts w:asciiTheme="minorHAnsi" w:eastAsia="Verdana" w:hAnsiTheme="minorHAnsi" w:cstheme="minorHAnsi"/>
                <w:sz w:val="22"/>
                <w:szCs w:val="22"/>
              </w:rPr>
              <w:t>NaHCO</w:t>
            </w:r>
            <w:r w:rsidRPr="00224A2D">
              <w:rPr>
                <w:rFonts w:asciiTheme="minorHAnsi" w:eastAsia="Verdana" w:hAnsiTheme="minorHAnsi" w:cstheme="minorHAnsi"/>
                <w:sz w:val="22"/>
                <w:szCs w:val="22"/>
                <w:vertAlign w:val="subscript"/>
              </w:rPr>
              <w:t>3</w:t>
            </w:r>
          </w:p>
        </w:tc>
        <w:tc>
          <w:tcPr>
            <w:tcW w:w="1740" w:type="dxa"/>
            <w:vAlign w:val="bottom"/>
            <w:hideMark/>
          </w:tcPr>
          <w:p w14:paraId="69F4D036"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0.85</w:t>
            </w:r>
          </w:p>
        </w:tc>
        <w:tc>
          <w:tcPr>
            <w:tcW w:w="360" w:type="dxa"/>
            <w:vAlign w:val="bottom"/>
            <w:hideMark/>
          </w:tcPr>
          <w:p w14:paraId="6FE48ABF"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1860CE" w:rsidRPr="001860CE" w14:paraId="0DA0C321" w14:textId="77777777" w:rsidTr="001860CE">
        <w:trPr>
          <w:trHeight w:val="269"/>
        </w:trPr>
        <w:tc>
          <w:tcPr>
            <w:tcW w:w="5680" w:type="dxa"/>
            <w:vAlign w:val="bottom"/>
            <w:hideMark/>
          </w:tcPr>
          <w:p w14:paraId="2D37DD55" w14:textId="0AB446C7" w:rsidR="001860CE" w:rsidRPr="00224A2D" w:rsidRDefault="001860CE" w:rsidP="00EE1C79">
            <w:pPr>
              <w:rPr>
                <w:rFonts w:asciiTheme="minorHAnsi" w:hAnsiTheme="minorHAnsi" w:cstheme="minorHAnsi"/>
                <w:sz w:val="22"/>
                <w:szCs w:val="22"/>
              </w:rPr>
            </w:pPr>
            <w:r w:rsidRPr="00224A2D">
              <w:rPr>
                <w:rFonts w:asciiTheme="minorHAnsi" w:eastAsia="Verdana" w:hAnsiTheme="minorHAnsi" w:cstheme="minorHAnsi"/>
                <w:sz w:val="22"/>
                <w:szCs w:val="22"/>
              </w:rPr>
              <w:t xml:space="preserve">Vitamin solution (see </w:t>
            </w:r>
            <w:r w:rsidR="00EE1C79">
              <w:rPr>
                <w:rFonts w:asciiTheme="minorHAnsi" w:eastAsia="Verdana" w:hAnsiTheme="minorHAnsi" w:cstheme="minorHAnsi"/>
                <w:sz w:val="22"/>
                <w:szCs w:val="22"/>
              </w:rPr>
              <w:t>below</w:t>
            </w:r>
            <w:r w:rsidRPr="00224A2D">
              <w:rPr>
                <w:rFonts w:asciiTheme="minorHAnsi" w:eastAsia="Verdana" w:hAnsiTheme="minorHAnsi" w:cstheme="minorHAnsi"/>
                <w:sz w:val="22"/>
                <w:szCs w:val="22"/>
              </w:rPr>
              <w:t>)</w:t>
            </w:r>
          </w:p>
        </w:tc>
        <w:tc>
          <w:tcPr>
            <w:tcW w:w="1740" w:type="dxa"/>
            <w:vAlign w:val="bottom"/>
            <w:hideMark/>
          </w:tcPr>
          <w:p w14:paraId="5332C3C5"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10.00</w:t>
            </w:r>
          </w:p>
        </w:tc>
        <w:tc>
          <w:tcPr>
            <w:tcW w:w="360" w:type="dxa"/>
            <w:vAlign w:val="bottom"/>
            <w:hideMark/>
          </w:tcPr>
          <w:p w14:paraId="5D8D37C1"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ml</w:t>
            </w:r>
          </w:p>
        </w:tc>
      </w:tr>
      <w:tr w:rsidR="001860CE" w:rsidRPr="001860CE" w14:paraId="26F2276C" w14:textId="77777777" w:rsidTr="001860CE">
        <w:trPr>
          <w:trHeight w:val="280"/>
        </w:trPr>
        <w:tc>
          <w:tcPr>
            <w:tcW w:w="5680" w:type="dxa"/>
            <w:vAlign w:val="bottom"/>
            <w:hideMark/>
          </w:tcPr>
          <w:p w14:paraId="6B6A7E8F" w14:textId="77777777" w:rsidR="001860CE" w:rsidRPr="00224A2D" w:rsidRDefault="001860CE">
            <w:pPr>
              <w:rPr>
                <w:rFonts w:asciiTheme="minorHAnsi" w:hAnsiTheme="minorHAnsi" w:cstheme="minorHAnsi"/>
                <w:sz w:val="22"/>
                <w:szCs w:val="22"/>
              </w:rPr>
            </w:pPr>
            <w:r w:rsidRPr="00224A2D">
              <w:rPr>
                <w:rFonts w:asciiTheme="minorHAnsi" w:eastAsia="Verdana" w:hAnsiTheme="minorHAnsi" w:cstheme="minorHAnsi"/>
                <w:sz w:val="22"/>
                <w:szCs w:val="22"/>
              </w:rPr>
              <w:t>Methanol</w:t>
            </w:r>
          </w:p>
        </w:tc>
        <w:tc>
          <w:tcPr>
            <w:tcW w:w="1740" w:type="dxa"/>
            <w:vAlign w:val="bottom"/>
            <w:hideMark/>
          </w:tcPr>
          <w:p w14:paraId="6F862F47"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10.00</w:t>
            </w:r>
          </w:p>
        </w:tc>
        <w:tc>
          <w:tcPr>
            <w:tcW w:w="360" w:type="dxa"/>
            <w:vAlign w:val="bottom"/>
            <w:hideMark/>
          </w:tcPr>
          <w:p w14:paraId="09D0B666"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ml</w:t>
            </w:r>
          </w:p>
        </w:tc>
      </w:tr>
      <w:tr w:rsidR="001860CE" w:rsidRPr="001860CE" w14:paraId="1DB96333" w14:textId="77777777" w:rsidTr="001860CE">
        <w:trPr>
          <w:trHeight w:val="290"/>
        </w:trPr>
        <w:tc>
          <w:tcPr>
            <w:tcW w:w="5680" w:type="dxa"/>
            <w:vAlign w:val="bottom"/>
            <w:hideMark/>
          </w:tcPr>
          <w:p w14:paraId="32DF0ED6" w14:textId="77777777" w:rsidR="001860CE" w:rsidRPr="00224A2D" w:rsidRDefault="001860CE">
            <w:pPr>
              <w:spacing w:line="289" w:lineRule="exact"/>
              <w:rPr>
                <w:rFonts w:asciiTheme="minorHAnsi" w:hAnsiTheme="minorHAnsi" w:cstheme="minorHAnsi"/>
                <w:sz w:val="22"/>
                <w:szCs w:val="22"/>
              </w:rPr>
            </w:pPr>
            <w:r w:rsidRPr="00224A2D">
              <w:rPr>
                <w:rFonts w:asciiTheme="minorHAnsi" w:eastAsia="Verdana" w:hAnsiTheme="minorHAnsi" w:cstheme="minorHAnsi"/>
                <w:sz w:val="22"/>
                <w:szCs w:val="22"/>
              </w:rPr>
              <w:t>L-Cysteine-HCl x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1740" w:type="dxa"/>
            <w:vAlign w:val="bottom"/>
            <w:hideMark/>
          </w:tcPr>
          <w:p w14:paraId="3248EEDA" w14:textId="77777777" w:rsidR="001860CE" w:rsidRPr="00224A2D" w:rsidRDefault="001860CE">
            <w:pPr>
              <w:ind w:right="20"/>
              <w:jc w:val="right"/>
              <w:rPr>
                <w:rFonts w:asciiTheme="minorHAnsi" w:hAnsiTheme="minorHAnsi" w:cstheme="minorHAnsi"/>
                <w:sz w:val="22"/>
                <w:szCs w:val="22"/>
              </w:rPr>
            </w:pPr>
            <w:r w:rsidRPr="00224A2D">
              <w:rPr>
                <w:rFonts w:asciiTheme="minorHAnsi" w:eastAsia="Verdana" w:hAnsiTheme="minorHAnsi" w:cstheme="minorHAnsi"/>
                <w:sz w:val="22"/>
                <w:szCs w:val="22"/>
              </w:rPr>
              <w:t>0.30</w:t>
            </w:r>
          </w:p>
        </w:tc>
        <w:tc>
          <w:tcPr>
            <w:tcW w:w="360" w:type="dxa"/>
            <w:vAlign w:val="bottom"/>
            <w:hideMark/>
          </w:tcPr>
          <w:p w14:paraId="32FFE322" w14:textId="77777777" w:rsidR="001860CE" w:rsidRPr="00224A2D" w:rsidRDefault="001860CE">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bl>
    <w:p w14:paraId="2D0640A0" w14:textId="04433694" w:rsidR="005244BA" w:rsidRDefault="005244BA" w:rsidP="001860CE">
      <w:pPr>
        <w:spacing w:line="360" w:lineRule="auto"/>
        <w:rPr>
          <w:rFonts w:asciiTheme="minorHAnsi" w:hAnsiTheme="minorHAnsi"/>
          <w:sz w:val="22"/>
          <w:szCs w:val="22"/>
        </w:rPr>
      </w:pPr>
    </w:p>
    <w:tbl>
      <w:tblPr>
        <w:tblW w:w="0" w:type="auto"/>
        <w:tblLayout w:type="fixed"/>
        <w:tblCellMar>
          <w:left w:w="0" w:type="dxa"/>
          <w:right w:w="0" w:type="dxa"/>
        </w:tblCellMar>
        <w:tblLook w:val="04A0" w:firstRow="1" w:lastRow="0" w:firstColumn="1" w:lastColumn="0" w:noHBand="0" w:noVBand="1"/>
      </w:tblPr>
      <w:tblGrid>
        <w:gridCol w:w="4420"/>
        <w:gridCol w:w="3040"/>
        <w:gridCol w:w="400"/>
      </w:tblGrid>
      <w:tr w:rsidR="00EE1C79" w:rsidRPr="00EE1C79" w14:paraId="71FAEAF3" w14:textId="77777777" w:rsidTr="007715D2">
        <w:trPr>
          <w:trHeight w:val="269"/>
        </w:trPr>
        <w:tc>
          <w:tcPr>
            <w:tcW w:w="4420" w:type="dxa"/>
            <w:vAlign w:val="bottom"/>
          </w:tcPr>
          <w:p w14:paraId="3B4F4DBB" w14:textId="77777777" w:rsidR="00EE1C79" w:rsidRPr="00224A2D" w:rsidRDefault="00EE1C79" w:rsidP="007715D2">
            <w:pPr>
              <w:rPr>
                <w:rFonts w:asciiTheme="minorHAnsi" w:hAnsiTheme="minorHAnsi" w:cstheme="minorHAnsi"/>
                <w:sz w:val="22"/>
                <w:szCs w:val="22"/>
              </w:rPr>
            </w:pPr>
            <w:r w:rsidRPr="00224A2D">
              <w:rPr>
                <w:rFonts w:asciiTheme="minorHAnsi" w:eastAsia="Verdana" w:hAnsiTheme="minorHAnsi" w:cstheme="minorHAnsi"/>
                <w:i/>
                <w:iCs/>
                <w:sz w:val="22"/>
                <w:szCs w:val="22"/>
              </w:rPr>
              <w:t>Vitamin solution:</w:t>
            </w:r>
          </w:p>
        </w:tc>
        <w:tc>
          <w:tcPr>
            <w:tcW w:w="3040" w:type="dxa"/>
            <w:vAlign w:val="bottom"/>
          </w:tcPr>
          <w:p w14:paraId="6C65CECE" w14:textId="77777777" w:rsidR="00EE1C79" w:rsidRPr="00224A2D" w:rsidRDefault="00EE1C79" w:rsidP="007715D2">
            <w:pPr>
              <w:rPr>
                <w:rFonts w:asciiTheme="minorHAnsi" w:hAnsiTheme="minorHAnsi" w:cstheme="minorHAnsi"/>
                <w:sz w:val="22"/>
                <w:szCs w:val="22"/>
              </w:rPr>
            </w:pPr>
          </w:p>
        </w:tc>
        <w:tc>
          <w:tcPr>
            <w:tcW w:w="400" w:type="dxa"/>
            <w:vAlign w:val="bottom"/>
          </w:tcPr>
          <w:p w14:paraId="18BBA6CE" w14:textId="77777777" w:rsidR="00EE1C79" w:rsidRPr="00224A2D" w:rsidRDefault="00EE1C79" w:rsidP="007715D2">
            <w:pPr>
              <w:rPr>
                <w:rFonts w:asciiTheme="minorHAnsi" w:hAnsiTheme="minorHAnsi" w:cstheme="minorHAnsi"/>
                <w:sz w:val="22"/>
                <w:szCs w:val="22"/>
              </w:rPr>
            </w:pPr>
          </w:p>
        </w:tc>
      </w:tr>
      <w:tr w:rsidR="00EE1C79" w:rsidRPr="00EE1C79" w14:paraId="7D9D1667" w14:textId="77777777" w:rsidTr="007715D2">
        <w:trPr>
          <w:trHeight w:val="280"/>
        </w:trPr>
        <w:tc>
          <w:tcPr>
            <w:tcW w:w="4420" w:type="dxa"/>
            <w:vAlign w:val="bottom"/>
          </w:tcPr>
          <w:p w14:paraId="42145C5F" w14:textId="77777777" w:rsidR="00EE1C79" w:rsidRPr="00224A2D" w:rsidRDefault="00EE1C79" w:rsidP="007715D2">
            <w:pPr>
              <w:ind w:left="80"/>
              <w:rPr>
                <w:rFonts w:asciiTheme="minorHAnsi" w:hAnsiTheme="minorHAnsi" w:cstheme="minorHAnsi"/>
                <w:sz w:val="22"/>
                <w:szCs w:val="22"/>
              </w:rPr>
            </w:pPr>
            <w:r w:rsidRPr="00224A2D">
              <w:rPr>
                <w:rFonts w:asciiTheme="minorHAnsi" w:eastAsia="Verdana" w:hAnsiTheme="minorHAnsi" w:cstheme="minorHAnsi"/>
                <w:sz w:val="22"/>
                <w:szCs w:val="22"/>
              </w:rPr>
              <w:t>Biotin</w:t>
            </w:r>
          </w:p>
        </w:tc>
        <w:tc>
          <w:tcPr>
            <w:tcW w:w="3040" w:type="dxa"/>
            <w:vAlign w:val="bottom"/>
          </w:tcPr>
          <w:p w14:paraId="2228782A"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2.00</w:t>
            </w:r>
          </w:p>
        </w:tc>
        <w:tc>
          <w:tcPr>
            <w:tcW w:w="400" w:type="dxa"/>
            <w:vAlign w:val="bottom"/>
          </w:tcPr>
          <w:p w14:paraId="059699F6"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796CCE06" w14:textId="77777777" w:rsidTr="007715D2">
        <w:trPr>
          <w:trHeight w:val="280"/>
        </w:trPr>
        <w:tc>
          <w:tcPr>
            <w:tcW w:w="4420" w:type="dxa"/>
            <w:vAlign w:val="bottom"/>
          </w:tcPr>
          <w:p w14:paraId="0E717BC9" w14:textId="77777777" w:rsidR="00EE1C79" w:rsidRPr="00224A2D" w:rsidRDefault="00EE1C79" w:rsidP="007715D2">
            <w:pPr>
              <w:ind w:left="80"/>
              <w:rPr>
                <w:rFonts w:asciiTheme="minorHAnsi" w:hAnsiTheme="minorHAnsi" w:cstheme="minorHAnsi"/>
                <w:sz w:val="22"/>
                <w:szCs w:val="22"/>
              </w:rPr>
            </w:pPr>
            <w:r w:rsidRPr="00224A2D">
              <w:rPr>
                <w:rFonts w:asciiTheme="minorHAnsi" w:eastAsia="Verdana" w:hAnsiTheme="minorHAnsi" w:cstheme="minorHAnsi"/>
                <w:sz w:val="22"/>
                <w:szCs w:val="22"/>
              </w:rPr>
              <w:t>Folic acid</w:t>
            </w:r>
          </w:p>
        </w:tc>
        <w:tc>
          <w:tcPr>
            <w:tcW w:w="3040" w:type="dxa"/>
            <w:vAlign w:val="bottom"/>
          </w:tcPr>
          <w:p w14:paraId="32A685FE"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2.00</w:t>
            </w:r>
          </w:p>
        </w:tc>
        <w:tc>
          <w:tcPr>
            <w:tcW w:w="400" w:type="dxa"/>
            <w:vAlign w:val="bottom"/>
          </w:tcPr>
          <w:p w14:paraId="396F2F0D"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3B24E6EA" w14:textId="77777777" w:rsidTr="007715D2">
        <w:trPr>
          <w:trHeight w:val="280"/>
        </w:trPr>
        <w:tc>
          <w:tcPr>
            <w:tcW w:w="4420" w:type="dxa"/>
            <w:vAlign w:val="bottom"/>
          </w:tcPr>
          <w:p w14:paraId="5E28C73F" w14:textId="77777777" w:rsidR="00EE1C79" w:rsidRPr="00224A2D" w:rsidRDefault="00EE1C79" w:rsidP="007715D2">
            <w:pPr>
              <w:ind w:left="80"/>
              <w:rPr>
                <w:rFonts w:asciiTheme="minorHAnsi" w:hAnsiTheme="minorHAnsi" w:cstheme="minorHAnsi"/>
                <w:sz w:val="22"/>
                <w:szCs w:val="22"/>
              </w:rPr>
            </w:pPr>
            <w:r w:rsidRPr="00224A2D">
              <w:rPr>
                <w:rFonts w:asciiTheme="minorHAnsi" w:eastAsia="Verdana" w:hAnsiTheme="minorHAnsi" w:cstheme="minorHAnsi"/>
                <w:sz w:val="22"/>
                <w:szCs w:val="22"/>
              </w:rPr>
              <w:t>Pyridoxine-HCl</w:t>
            </w:r>
          </w:p>
        </w:tc>
        <w:tc>
          <w:tcPr>
            <w:tcW w:w="3040" w:type="dxa"/>
            <w:vAlign w:val="bottom"/>
          </w:tcPr>
          <w:p w14:paraId="5D709A85"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10.00</w:t>
            </w:r>
          </w:p>
        </w:tc>
        <w:tc>
          <w:tcPr>
            <w:tcW w:w="400" w:type="dxa"/>
            <w:vAlign w:val="bottom"/>
          </w:tcPr>
          <w:p w14:paraId="43E4C9F7"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0C4AD14C" w14:textId="77777777" w:rsidTr="007715D2">
        <w:trPr>
          <w:trHeight w:val="290"/>
        </w:trPr>
        <w:tc>
          <w:tcPr>
            <w:tcW w:w="4420" w:type="dxa"/>
            <w:vAlign w:val="bottom"/>
          </w:tcPr>
          <w:p w14:paraId="11BB8537" w14:textId="77777777" w:rsidR="00EE1C79" w:rsidRPr="00224A2D" w:rsidRDefault="00EE1C79" w:rsidP="007715D2">
            <w:pPr>
              <w:spacing w:line="289" w:lineRule="exact"/>
              <w:ind w:left="80"/>
              <w:rPr>
                <w:rFonts w:asciiTheme="minorHAnsi" w:hAnsiTheme="minorHAnsi" w:cstheme="minorHAnsi"/>
                <w:sz w:val="22"/>
                <w:szCs w:val="22"/>
              </w:rPr>
            </w:pPr>
            <w:r w:rsidRPr="00224A2D">
              <w:rPr>
                <w:rFonts w:asciiTheme="minorHAnsi" w:eastAsia="Verdana" w:hAnsiTheme="minorHAnsi" w:cstheme="minorHAnsi"/>
                <w:sz w:val="22"/>
                <w:szCs w:val="22"/>
              </w:rPr>
              <w:t>Thiamine-HCl x 2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3040" w:type="dxa"/>
            <w:vAlign w:val="bottom"/>
          </w:tcPr>
          <w:p w14:paraId="61F2392A"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5.00</w:t>
            </w:r>
          </w:p>
        </w:tc>
        <w:tc>
          <w:tcPr>
            <w:tcW w:w="400" w:type="dxa"/>
            <w:vAlign w:val="bottom"/>
          </w:tcPr>
          <w:p w14:paraId="2487E437"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37368285" w14:textId="77777777" w:rsidTr="007715D2">
        <w:trPr>
          <w:trHeight w:val="269"/>
        </w:trPr>
        <w:tc>
          <w:tcPr>
            <w:tcW w:w="4420" w:type="dxa"/>
            <w:vAlign w:val="bottom"/>
          </w:tcPr>
          <w:p w14:paraId="2D4C16BE" w14:textId="77777777" w:rsidR="00EE1C79" w:rsidRPr="00224A2D" w:rsidRDefault="00EE1C79" w:rsidP="007715D2">
            <w:pPr>
              <w:ind w:left="80"/>
              <w:rPr>
                <w:rFonts w:asciiTheme="minorHAnsi" w:hAnsiTheme="minorHAnsi" w:cstheme="minorHAnsi"/>
                <w:sz w:val="22"/>
                <w:szCs w:val="22"/>
              </w:rPr>
            </w:pPr>
            <w:r w:rsidRPr="00224A2D">
              <w:rPr>
                <w:rFonts w:asciiTheme="minorHAnsi" w:eastAsia="Verdana" w:hAnsiTheme="minorHAnsi" w:cstheme="minorHAnsi"/>
                <w:sz w:val="22"/>
                <w:szCs w:val="22"/>
              </w:rPr>
              <w:t>Riboflavin</w:t>
            </w:r>
          </w:p>
        </w:tc>
        <w:tc>
          <w:tcPr>
            <w:tcW w:w="3040" w:type="dxa"/>
            <w:vAlign w:val="bottom"/>
          </w:tcPr>
          <w:p w14:paraId="5B115176"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5.00</w:t>
            </w:r>
          </w:p>
        </w:tc>
        <w:tc>
          <w:tcPr>
            <w:tcW w:w="400" w:type="dxa"/>
            <w:vAlign w:val="bottom"/>
          </w:tcPr>
          <w:p w14:paraId="426EFEEC"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19AE7F11" w14:textId="77777777" w:rsidTr="007715D2">
        <w:trPr>
          <w:trHeight w:val="280"/>
        </w:trPr>
        <w:tc>
          <w:tcPr>
            <w:tcW w:w="4420" w:type="dxa"/>
            <w:vAlign w:val="bottom"/>
          </w:tcPr>
          <w:p w14:paraId="4139F98A" w14:textId="77777777" w:rsidR="00EE1C79" w:rsidRPr="00224A2D" w:rsidRDefault="00EE1C79" w:rsidP="007715D2">
            <w:pPr>
              <w:ind w:left="80"/>
              <w:rPr>
                <w:rFonts w:asciiTheme="minorHAnsi" w:hAnsiTheme="minorHAnsi" w:cstheme="minorHAnsi"/>
                <w:sz w:val="22"/>
                <w:szCs w:val="22"/>
              </w:rPr>
            </w:pPr>
            <w:r w:rsidRPr="00224A2D">
              <w:rPr>
                <w:rFonts w:asciiTheme="minorHAnsi" w:eastAsia="Verdana" w:hAnsiTheme="minorHAnsi" w:cstheme="minorHAnsi"/>
                <w:sz w:val="22"/>
                <w:szCs w:val="22"/>
              </w:rPr>
              <w:t>Nicotinic acid</w:t>
            </w:r>
          </w:p>
        </w:tc>
        <w:tc>
          <w:tcPr>
            <w:tcW w:w="3040" w:type="dxa"/>
            <w:vAlign w:val="bottom"/>
          </w:tcPr>
          <w:p w14:paraId="6826F913"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5.00</w:t>
            </w:r>
          </w:p>
        </w:tc>
        <w:tc>
          <w:tcPr>
            <w:tcW w:w="400" w:type="dxa"/>
            <w:vAlign w:val="bottom"/>
          </w:tcPr>
          <w:p w14:paraId="3A2E34DB"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5E5204AE" w14:textId="77777777" w:rsidTr="007715D2">
        <w:trPr>
          <w:trHeight w:val="280"/>
        </w:trPr>
        <w:tc>
          <w:tcPr>
            <w:tcW w:w="4420" w:type="dxa"/>
            <w:vAlign w:val="bottom"/>
          </w:tcPr>
          <w:p w14:paraId="564D69EB" w14:textId="77777777" w:rsidR="00EE1C79" w:rsidRPr="00224A2D" w:rsidRDefault="00EE1C79" w:rsidP="007715D2">
            <w:pPr>
              <w:ind w:left="80"/>
              <w:rPr>
                <w:rFonts w:asciiTheme="minorHAnsi" w:hAnsiTheme="minorHAnsi" w:cstheme="minorHAnsi"/>
                <w:sz w:val="22"/>
                <w:szCs w:val="22"/>
              </w:rPr>
            </w:pPr>
            <w:r w:rsidRPr="00224A2D">
              <w:rPr>
                <w:rFonts w:asciiTheme="minorHAnsi" w:eastAsia="Verdana" w:hAnsiTheme="minorHAnsi" w:cstheme="minorHAnsi"/>
                <w:sz w:val="22"/>
                <w:szCs w:val="22"/>
              </w:rPr>
              <w:t>D-Ca-pantothenate</w:t>
            </w:r>
          </w:p>
        </w:tc>
        <w:tc>
          <w:tcPr>
            <w:tcW w:w="3040" w:type="dxa"/>
            <w:vAlign w:val="bottom"/>
          </w:tcPr>
          <w:p w14:paraId="72E545CB"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5.00</w:t>
            </w:r>
          </w:p>
        </w:tc>
        <w:tc>
          <w:tcPr>
            <w:tcW w:w="400" w:type="dxa"/>
            <w:vAlign w:val="bottom"/>
          </w:tcPr>
          <w:p w14:paraId="60B36C63"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606D0262" w14:textId="77777777" w:rsidTr="007715D2">
        <w:trPr>
          <w:trHeight w:val="290"/>
        </w:trPr>
        <w:tc>
          <w:tcPr>
            <w:tcW w:w="4420" w:type="dxa"/>
            <w:vAlign w:val="bottom"/>
          </w:tcPr>
          <w:p w14:paraId="0B8A6493" w14:textId="77777777" w:rsidR="00EE1C79" w:rsidRPr="00224A2D" w:rsidRDefault="00EE1C79" w:rsidP="007715D2">
            <w:pPr>
              <w:spacing w:line="289" w:lineRule="exact"/>
              <w:ind w:left="80"/>
              <w:rPr>
                <w:rFonts w:asciiTheme="minorHAnsi" w:hAnsiTheme="minorHAnsi" w:cstheme="minorHAnsi"/>
                <w:sz w:val="22"/>
                <w:szCs w:val="22"/>
              </w:rPr>
            </w:pPr>
            <w:r w:rsidRPr="00224A2D">
              <w:rPr>
                <w:rFonts w:asciiTheme="minorHAnsi" w:eastAsia="Verdana" w:hAnsiTheme="minorHAnsi" w:cstheme="minorHAnsi"/>
                <w:sz w:val="22"/>
                <w:szCs w:val="22"/>
              </w:rPr>
              <w:t>Vitamin B</w:t>
            </w:r>
            <w:r w:rsidRPr="00224A2D">
              <w:rPr>
                <w:rFonts w:asciiTheme="minorHAnsi" w:eastAsia="Verdana" w:hAnsiTheme="minorHAnsi" w:cstheme="minorHAnsi"/>
                <w:sz w:val="22"/>
                <w:szCs w:val="22"/>
                <w:vertAlign w:val="subscript"/>
              </w:rPr>
              <w:t>12</w:t>
            </w:r>
          </w:p>
        </w:tc>
        <w:tc>
          <w:tcPr>
            <w:tcW w:w="3040" w:type="dxa"/>
            <w:vAlign w:val="bottom"/>
          </w:tcPr>
          <w:p w14:paraId="57411B51"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0.10</w:t>
            </w:r>
          </w:p>
        </w:tc>
        <w:tc>
          <w:tcPr>
            <w:tcW w:w="400" w:type="dxa"/>
            <w:vAlign w:val="bottom"/>
          </w:tcPr>
          <w:p w14:paraId="77C1C9F0"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66EA360F" w14:textId="77777777" w:rsidTr="007715D2">
        <w:trPr>
          <w:trHeight w:val="269"/>
        </w:trPr>
        <w:tc>
          <w:tcPr>
            <w:tcW w:w="4420" w:type="dxa"/>
            <w:vAlign w:val="bottom"/>
          </w:tcPr>
          <w:p w14:paraId="51014FBA" w14:textId="77777777" w:rsidR="00EE1C79" w:rsidRPr="00224A2D" w:rsidRDefault="00EE1C79" w:rsidP="007715D2">
            <w:pPr>
              <w:ind w:left="80"/>
              <w:rPr>
                <w:rFonts w:asciiTheme="minorHAnsi" w:hAnsiTheme="minorHAnsi" w:cstheme="minorHAnsi"/>
                <w:sz w:val="22"/>
                <w:szCs w:val="22"/>
              </w:rPr>
            </w:pPr>
            <w:r w:rsidRPr="00224A2D">
              <w:rPr>
                <w:rFonts w:asciiTheme="minorHAnsi" w:eastAsia="Verdana" w:hAnsiTheme="minorHAnsi" w:cstheme="minorHAnsi"/>
                <w:sz w:val="22"/>
                <w:szCs w:val="22"/>
              </w:rPr>
              <w:t>p-Aminobenzoic acid</w:t>
            </w:r>
          </w:p>
        </w:tc>
        <w:tc>
          <w:tcPr>
            <w:tcW w:w="3040" w:type="dxa"/>
            <w:vAlign w:val="bottom"/>
          </w:tcPr>
          <w:p w14:paraId="3A5C8284"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5.00</w:t>
            </w:r>
          </w:p>
        </w:tc>
        <w:tc>
          <w:tcPr>
            <w:tcW w:w="400" w:type="dxa"/>
            <w:vAlign w:val="bottom"/>
          </w:tcPr>
          <w:p w14:paraId="0A07C3AB"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4A655C10" w14:textId="77777777" w:rsidTr="007715D2">
        <w:trPr>
          <w:trHeight w:val="280"/>
        </w:trPr>
        <w:tc>
          <w:tcPr>
            <w:tcW w:w="4420" w:type="dxa"/>
            <w:vAlign w:val="bottom"/>
          </w:tcPr>
          <w:p w14:paraId="4228CD78" w14:textId="77777777" w:rsidR="00EE1C79" w:rsidRPr="00224A2D" w:rsidRDefault="00EE1C79" w:rsidP="007715D2">
            <w:pPr>
              <w:ind w:left="80"/>
              <w:rPr>
                <w:rFonts w:asciiTheme="minorHAnsi" w:hAnsiTheme="minorHAnsi" w:cstheme="minorHAnsi"/>
                <w:sz w:val="22"/>
                <w:szCs w:val="22"/>
              </w:rPr>
            </w:pPr>
            <w:r w:rsidRPr="00224A2D">
              <w:rPr>
                <w:rFonts w:asciiTheme="minorHAnsi" w:eastAsia="Verdana" w:hAnsiTheme="minorHAnsi" w:cstheme="minorHAnsi"/>
                <w:sz w:val="22"/>
                <w:szCs w:val="22"/>
              </w:rPr>
              <w:t>Lipoic acid</w:t>
            </w:r>
          </w:p>
        </w:tc>
        <w:tc>
          <w:tcPr>
            <w:tcW w:w="3040" w:type="dxa"/>
            <w:vAlign w:val="bottom"/>
          </w:tcPr>
          <w:p w14:paraId="325F3D46"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5.00</w:t>
            </w:r>
          </w:p>
        </w:tc>
        <w:tc>
          <w:tcPr>
            <w:tcW w:w="400" w:type="dxa"/>
            <w:vAlign w:val="bottom"/>
          </w:tcPr>
          <w:p w14:paraId="0ABE879E"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20F6FDB8" w14:textId="77777777" w:rsidTr="007715D2">
        <w:trPr>
          <w:trHeight w:val="280"/>
        </w:trPr>
        <w:tc>
          <w:tcPr>
            <w:tcW w:w="4420" w:type="dxa"/>
            <w:vAlign w:val="bottom"/>
          </w:tcPr>
          <w:p w14:paraId="2D89BD56" w14:textId="77777777" w:rsidR="00EE1C79" w:rsidRPr="00224A2D" w:rsidRDefault="00EE1C79" w:rsidP="007715D2">
            <w:pPr>
              <w:ind w:left="80"/>
              <w:rPr>
                <w:rFonts w:asciiTheme="minorHAnsi" w:hAnsiTheme="minorHAnsi" w:cstheme="minorHAnsi"/>
                <w:sz w:val="22"/>
                <w:szCs w:val="22"/>
              </w:rPr>
            </w:pPr>
            <w:r w:rsidRPr="00224A2D">
              <w:rPr>
                <w:rFonts w:asciiTheme="minorHAnsi" w:eastAsia="Verdana" w:hAnsiTheme="minorHAnsi" w:cstheme="minorHAnsi"/>
                <w:sz w:val="22"/>
                <w:szCs w:val="22"/>
              </w:rPr>
              <w:t>Distilled water</w:t>
            </w:r>
          </w:p>
        </w:tc>
        <w:tc>
          <w:tcPr>
            <w:tcW w:w="3040" w:type="dxa"/>
            <w:vAlign w:val="bottom"/>
          </w:tcPr>
          <w:p w14:paraId="183158D2"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1000.00</w:t>
            </w:r>
          </w:p>
        </w:tc>
        <w:tc>
          <w:tcPr>
            <w:tcW w:w="400" w:type="dxa"/>
            <w:vAlign w:val="bottom"/>
          </w:tcPr>
          <w:p w14:paraId="38293C31"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ml</w:t>
            </w:r>
          </w:p>
        </w:tc>
      </w:tr>
    </w:tbl>
    <w:p w14:paraId="391A26CD" w14:textId="77777777" w:rsidR="00EE1C79" w:rsidRDefault="00EE1C79" w:rsidP="001860CE">
      <w:pPr>
        <w:spacing w:line="360" w:lineRule="auto"/>
        <w:rPr>
          <w:rFonts w:asciiTheme="minorHAnsi" w:hAnsiTheme="minorHAnsi"/>
          <w:sz w:val="22"/>
          <w:szCs w:val="22"/>
        </w:rPr>
      </w:pPr>
    </w:p>
    <w:tbl>
      <w:tblPr>
        <w:tblW w:w="0" w:type="auto"/>
        <w:tblLayout w:type="fixed"/>
        <w:tblCellMar>
          <w:left w:w="0" w:type="dxa"/>
          <w:right w:w="0" w:type="dxa"/>
        </w:tblCellMar>
        <w:tblLook w:val="04A0" w:firstRow="1" w:lastRow="0" w:firstColumn="1" w:lastColumn="0" w:noHBand="0" w:noVBand="1"/>
      </w:tblPr>
      <w:tblGrid>
        <w:gridCol w:w="760"/>
        <w:gridCol w:w="4100"/>
        <w:gridCol w:w="2600"/>
        <w:gridCol w:w="400"/>
      </w:tblGrid>
      <w:tr w:rsidR="00EE1C79" w:rsidRPr="00EE1C79" w14:paraId="1E8EFA3B" w14:textId="77777777" w:rsidTr="007715D2">
        <w:trPr>
          <w:trHeight w:val="269"/>
        </w:trPr>
        <w:tc>
          <w:tcPr>
            <w:tcW w:w="4860" w:type="dxa"/>
            <w:gridSpan w:val="2"/>
            <w:vAlign w:val="bottom"/>
          </w:tcPr>
          <w:p w14:paraId="58F538C0" w14:textId="77777777" w:rsidR="00EE1C79" w:rsidRPr="00224A2D" w:rsidRDefault="00EE1C79" w:rsidP="007715D2">
            <w:pPr>
              <w:rPr>
                <w:rFonts w:asciiTheme="minorHAnsi" w:hAnsiTheme="minorHAnsi" w:cstheme="minorHAnsi"/>
                <w:sz w:val="22"/>
                <w:szCs w:val="22"/>
              </w:rPr>
            </w:pPr>
            <w:r w:rsidRPr="00224A2D">
              <w:rPr>
                <w:rFonts w:asciiTheme="minorHAnsi" w:eastAsia="Verdana" w:hAnsiTheme="minorHAnsi" w:cstheme="minorHAnsi"/>
                <w:i/>
                <w:iCs/>
                <w:sz w:val="22"/>
                <w:szCs w:val="22"/>
              </w:rPr>
              <w:t>Trace element solution SL-10:</w:t>
            </w:r>
          </w:p>
        </w:tc>
        <w:tc>
          <w:tcPr>
            <w:tcW w:w="2600" w:type="dxa"/>
            <w:vAlign w:val="bottom"/>
          </w:tcPr>
          <w:p w14:paraId="528EF86A" w14:textId="77777777" w:rsidR="00EE1C79" w:rsidRPr="00224A2D" w:rsidRDefault="00EE1C79" w:rsidP="007715D2">
            <w:pPr>
              <w:rPr>
                <w:rFonts w:asciiTheme="minorHAnsi" w:hAnsiTheme="minorHAnsi" w:cstheme="minorHAnsi"/>
                <w:sz w:val="22"/>
                <w:szCs w:val="22"/>
              </w:rPr>
            </w:pPr>
          </w:p>
        </w:tc>
        <w:tc>
          <w:tcPr>
            <w:tcW w:w="400" w:type="dxa"/>
            <w:vAlign w:val="bottom"/>
          </w:tcPr>
          <w:p w14:paraId="51DCCC1B" w14:textId="77777777" w:rsidR="00EE1C79" w:rsidRPr="00224A2D" w:rsidRDefault="00EE1C79" w:rsidP="007715D2">
            <w:pPr>
              <w:rPr>
                <w:rFonts w:asciiTheme="minorHAnsi" w:hAnsiTheme="minorHAnsi" w:cstheme="minorHAnsi"/>
                <w:sz w:val="22"/>
                <w:szCs w:val="22"/>
              </w:rPr>
            </w:pPr>
          </w:p>
        </w:tc>
      </w:tr>
      <w:tr w:rsidR="00EE1C79" w:rsidRPr="00EE1C79" w14:paraId="2450E76F" w14:textId="77777777" w:rsidTr="007715D2">
        <w:trPr>
          <w:trHeight w:val="280"/>
        </w:trPr>
        <w:tc>
          <w:tcPr>
            <w:tcW w:w="4860" w:type="dxa"/>
            <w:gridSpan w:val="2"/>
            <w:vAlign w:val="bottom"/>
          </w:tcPr>
          <w:p w14:paraId="6E227BC7" w14:textId="77777777" w:rsidR="00EE1C79" w:rsidRPr="00224A2D" w:rsidRDefault="00EE1C79" w:rsidP="007715D2">
            <w:pPr>
              <w:ind w:left="140"/>
              <w:rPr>
                <w:rFonts w:asciiTheme="minorHAnsi" w:hAnsiTheme="minorHAnsi" w:cstheme="minorHAnsi"/>
                <w:sz w:val="22"/>
                <w:szCs w:val="22"/>
              </w:rPr>
            </w:pPr>
            <w:r w:rsidRPr="00224A2D">
              <w:rPr>
                <w:rFonts w:asciiTheme="minorHAnsi" w:eastAsia="Verdana" w:hAnsiTheme="minorHAnsi" w:cstheme="minorHAnsi"/>
                <w:sz w:val="22"/>
                <w:szCs w:val="22"/>
              </w:rPr>
              <w:t>HCl (25%; 7.7 M)</w:t>
            </w:r>
          </w:p>
        </w:tc>
        <w:tc>
          <w:tcPr>
            <w:tcW w:w="2600" w:type="dxa"/>
            <w:vAlign w:val="bottom"/>
          </w:tcPr>
          <w:p w14:paraId="3BF37309"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10.00</w:t>
            </w:r>
          </w:p>
        </w:tc>
        <w:tc>
          <w:tcPr>
            <w:tcW w:w="400" w:type="dxa"/>
            <w:vAlign w:val="bottom"/>
          </w:tcPr>
          <w:p w14:paraId="0590EFEC"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ml</w:t>
            </w:r>
          </w:p>
        </w:tc>
      </w:tr>
      <w:tr w:rsidR="00EE1C79" w:rsidRPr="00EE1C79" w14:paraId="20F485A7" w14:textId="77777777" w:rsidTr="007715D2">
        <w:trPr>
          <w:trHeight w:val="290"/>
        </w:trPr>
        <w:tc>
          <w:tcPr>
            <w:tcW w:w="4860" w:type="dxa"/>
            <w:gridSpan w:val="2"/>
            <w:vAlign w:val="bottom"/>
          </w:tcPr>
          <w:p w14:paraId="4ECB57BA" w14:textId="77777777" w:rsidR="00EE1C79" w:rsidRPr="00224A2D" w:rsidRDefault="00EE1C79" w:rsidP="007715D2">
            <w:pPr>
              <w:spacing w:line="289" w:lineRule="exact"/>
              <w:ind w:left="140"/>
              <w:rPr>
                <w:rFonts w:asciiTheme="minorHAnsi" w:hAnsiTheme="minorHAnsi" w:cstheme="minorHAnsi"/>
                <w:sz w:val="22"/>
                <w:szCs w:val="22"/>
              </w:rPr>
            </w:pPr>
            <w:r w:rsidRPr="00224A2D">
              <w:rPr>
                <w:rFonts w:asciiTheme="minorHAnsi" w:eastAsia="Verdana" w:hAnsiTheme="minorHAnsi" w:cstheme="minorHAnsi"/>
                <w:sz w:val="22"/>
                <w:szCs w:val="22"/>
              </w:rPr>
              <w:t>FeCl</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 xml:space="preserve"> x 4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2600" w:type="dxa"/>
            <w:vAlign w:val="bottom"/>
          </w:tcPr>
          <w:p w14:paraId="69F16292"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1.50</w:t>
            </w:r>
          </w:p>
        </w:tc>
        <w:tc>
          <w:tcPr>
            <w:tcW w:w="400" w:type="dxa"/>
            <w:vAlign w:val="bottom"/>
          </w:tcPr>
          <w:p w14:paraId="6C5F595F"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g</w:t>
            </w:r>
          </w:p>
        </w:tc>
      </w:tr>
      <w:tr w:rsidR="00EE1C79" w:rsidRPr="00EE1C79" w14:paraId="011CDA3A" w14:textId="77777777" w:rsidTr="007715D2">
        <w:trPr>
          <w:trHeight w:val="280"/>
        </w:trPr>
        <w:tc>
          <w:tcPr>
            <w:tcW w:w="760" w:type="dxa"/>
            <w:vAlign w:val="bottom"/>
          </w:tcPr>
          <w:p w14:paraId="5FB8201F" w14:textId="77777777" w:rsidR="00EE1C79" w:rsidRPr="00224A2D" w:rsidRDefault="00EE1C79" w:rsidP="007715D2">
            <w:pPr>
              <w:spacing w:line="279" w:lineRule="exact"/>
              <w:ind w:left="140"/>
              <w:rPr>
                <w:rFonts w:asciiTheme="minorHAnsi" w:hAnsiTheme="minorHAnsi" w:cstheme="minorHAnsi"/>
                <w:sz w:val="22"/>
                <w:szCs w:val="22"/>
              </w:rPr>
            </w:pPr>
            <w:r w:rsidRPr="00224A2D">
              <w:rPr>
                <w:rFonts w:asciiTheme="minorHAnsi" w:eastAsia="Verdana" w:hAnsiTheme="minorHAnsi" w:cstheme="minorHAnsi"/>
                <w:sz w:val="22"/>
                <w:szCs w:val="22"/>
              </w:rPr>
              <w:t>ZnCl</w:t>
            </w:r>
            <w:r w:rsidRPr="00224A2D">
              <w:rPr>
                <w:rFonts w:asciiTheme="minorHAnsi" w:eastAsia="Verdana" w:hAnsiTheme="minorHAnsi" w:cstheme="minorHAnsi"/>
                <w:sz w:val="22"/>
                <w:szCs w:val="22"/>
                <w:vertAlign w:val="subscript"/>
              </w:rPr>
              <w:t>2</w:t>
            </w:r>
          </w:p>
        </w:tc>
        <w:tc>
          <w:tcPr>
            <w:tcW w:w="4100" w:type="dxa"/>
            <w:vAlign w:val="bottom"/>
          </w:tcPr>
          <w:p w14:paraId="35B537E7" w14:textId="77777777" w:rsidR="00EE1C79" w:rsidRPr="00224A2D" w:rsidRDefault="00EE1C79" w:rsidP="007715D2">
            <w:pPr>
              <w:rPr>
                <w:rFonts w:asciiTheme="minorHAnsi" w:hAnsiTheme="minorHAnsi" w:cstheme="minorHAnsi"/>
                <w:sz w:val="22"/>
                <w:szCs w:val="22"/>
              </w:rPr>
            </w:pPr>
          </w:p>
        </w:tc>
        <w:tc>
          <w:tcPr>
            <w:tcW w:w="2600" w:type="dxa"/>
            <w:vAlign w:val="bottom"/>
          </w:tcPr>
          <w:p w14:paraId="042E6F50"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70.00</w:t>
            </w:r>
          </w:p>
        </w:tc>
        <w:tc>
          <w:tcPr>
            <w:tcW w:w="400" w:type="dxa"/>
            <w:vAlign w:val="bottom"/>
          </w:tcPr>
          <w:p w14:paraId="0471141A"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6C61225F" w14:textId="77777777" w:rsidTr="007715D2">
        <w:trPr>
          <w:trHeight w:val="280"/>
        </w:trPr>
        <w:tc>
          <w:tcPr>
            <w:tcW w:w="4860" w:type="dxa"/>
            <w:gridSpan w:val="2"/>
            <w:vAlign w:val="bottom"/>
          </w:tcPr>
          <w:p w14:paraId="4AECA010" w14:textId="77777777" w:rsidR="00EE1C79" w:rsidRPr="00224A2D" w:rsidRDefault="00EE1C79" w:rsidP="007715D2">
            <w:pPr>
              <w:spacing w:line="279" w:lineRule="exact"/>
              <w:ind w:left="140"/>
              <w:rPr>
                <w:rFonts w:asciiTheme="minorHAnsi" w:hAnsiTheme="minorHAnsi" w:cstheme="minorHAnsi"/>
                <w:sz w:val="22"/>
                <w:szCs w:val="22"/>
              </w:rPr>
            </w:pPr>
            <w:r w:rsidRPr="00224A2D">
              <w:rPr>
                <w:rFonts w:asciiTheme="minorHAnsi" w:eastAsia="Verdana" w:hAnsiTheme="minorHAnsi" w:cstheme="minorHAnsi"/>
                <w:sz w:val="22"/>
                <w:szCs w:val="22"/>
              </w:rPr>
              <w:t>MnCl</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 xml:space="preserve"> x 4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2600" w:type="dxa"/>
            <w:vAlign w:val="bottom"/>
          </w:tcPr>
          <w:p w14:paraId="72C55A1B"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100.00</w:t>
            </w:r>
          </w:p>
        </w:tc>
        <w:tc>
          <w:tcPr>
            <w:tcW w:w="400" w:type="dxa"/>
            <w:vAlign w:val="bottom"/>
          </w:tcPr>
          <w:p w14:paraId="181EB060"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646AAD55" w14:textId="77777777" w:rsidTr="007715D2">
        <w:trPr>
          <w:trHeight w:val="280"/>
        </w:trPr>
        <w:tc>
          <w:tcPr>
            <w:tcW w:w="760" w:type="dxa"/>
            <w:vAlign w:val="bottom"/>
          </w:tcPr>
          <w:p w14:paraId="65708BFF" w14:textId="77777777" w:rsidR="00EE1C79" w:rsidRPr="00224A2D" w:rsidRDefault="00EE1C79" w:rsidP="007715D2">
            <w:pPr>
              <w:spacing w:line="279" w:lineRule="exact"/>
              <w:ind w:left="140"/>
              <w:rPr>
                <w:rFonts w:asciiTheme="minorHAnsi" w:hAnsiTheme="minorHAnsi" w:cstheme="minorHAnsi"/>
                <w:sz w:val="22"/>
                <w:szCs w:val="22"/>
              </w:rPr>
            </w:pPr>
            <w:r w:rsidRPr="00224A2D">
              <w:rPr>
                <w:rFonts w:asciiTheme="minorHAnsi" w:eastAsia="Verdana" w:hAnsiTheme="minorHAnsi" w:cstheme="minorHAnsi"/>
                <w:w w:val="91"/>
                <w:sz w:val="22"/>
                <w:szCs w:val="22"/>
              </w:rPr>
              <w:t>H</w:t>
            </w:r>
            <w:r w:rsidRPr="00224A2D">
              <w:rPr>
                <w:rFonts w:asciiTheme="minorHAnsi" w:eastAsia="Verdana" w:hAnsiTheme="minorHAnsi" w:cstheme="minorHAnsi"/>
                <w:w w:val="91"/>
                <w:sz w:val="22"/>
                <w:szCs w:val="22"/>
                <w:vertAlign w:val="subscript"/>
              </w:rPr>
              <w:t>3</w:t>
            </w:r>
            <w:r w:rsidRPr="00224A2D">
              <w:rPr>
                <w:rFonts w:asciiTheme="minorHAnsi" w:eastAsia="Verdana" w:hAnsiTheme="minorHAnsi" w:cstheme="minorHAnsi"/>
                <w:w w:val="91"/>
                <w:sz w:val="22"/>
                <w:szCs w:val="22"/>
              </w:rPr>
              <w:t>BO</w:t>
            </w:r>
            <w:r w:rsidRPr="00224A2D">
              <w:rPr>
                <w:rFonts w:asciiTheme="minorHAnsi" w:eastAsia="Verdana" w:hAnsiTheme="minorHAnsi" w:cstheme="minorHAnsi"/>
                <w:w w:val="91"/>
                <w:sz w:val="22"/>
                <w:szCs w:val="22"/>
                <w:vertAlign w:val="subscript"/>
              </w:rPr>
              <w:t>3</w:t>
            </w:r>
          </w:p>
        </w:tc>
        <w:tc>
          <w:tcPr>
            <w:tcW w:w="4100" w:type="dxa"/>
            <w:vAlign w:val="bottom"/>
          </w:tcPr>
          <w:p w14:paraId="29B7AEA6" w14:textId="77777777" w:rsidR="00EE1C79" w:rsidRPr="00224A2D" w:rsidRDefault="00EE1C79" w:rsidP="007715D2">
            <w:pPr>
              <w:rPr>
                <w:rFonts w:asciiTheme="minorHAnsi" w:hAnsiTheme="minorHAnsi" w:cstheme="minorHAnsi"/>
                <w:sz w:val="22"/>
                <w:szCs w:val="22"/>
              </w:rPr>
            </w:pPr>
          </w:p>
        </w:tc>
        <w:tc>
          <w:tcPr>
            <w:tcW w:w="2600" w:type="dxa"/>
            <w:vAlign w:val="bottom"/>
          </w:tcPr>
          <w:p w14:paraId="06B3D732"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6.00</w:t>
            </w:r>
          </w:p>
        </w:tc>
        <w:tc>
          <w:tcPr>
            <w:tcW w:w="400" w:type="dxa"/>
            <w:vAlign w:val="bottom"/>
          </w:tcPr>
          <w:p w14:paraId="3C53582E"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267A0FB4" w14:textId="77777777" w:rsidTr="007715D2">
        <w:trPr>
          <w:trHeight w:val="280"/>
        </w:trPr>
        <w:tc>
          <w:tcPr>
            <w:tcW w:w="760" w:type="dxa"/>
            <w:vAlign w:val="bottom"/>
          </w:tcPr>
          <w:p w14:paraId="6B8880CD" w14:textId="77777777" w:rsidR="00EE1C79" w:rsidRPr="00224A2D" w:rsidRDefault="00EE1C79" w:rsidP="007715D2">
            <w:pPr>
              <w:spacing w:line="279" w:lineRule="exact"/>
              <w:ind w:left="140"/>
              <w:rPr>
                <w:rFonts w:asciiTheme="minorHAnsi" w:hAnsiTheme="minorHAnsi" w:cstheme="minorHAnsi"/>
                <w:sz w:val="22"/>
                <w:szCs w:val="22"/>
              </w:rPr>
            </w:pPr>
            <w:r w:rsidRPr="00224A2D">
              <w:rPr>
                <w:rFonts w:asciiTheme="minorHAnsi" w:eastAsia="Verdana" w:hAnsiTheme="minorHAnsi" w:cstheme="minorHAnsi"/>
                <w:sz w:val="22"/>
                <w:szCs w:val="22"/>
              </w:rPr>
              <w:t>CoCl</w:t>
            </w:r>
            <w:r w:rsidRPr="00224A2D">
              <w:rPr>
                <w:rFonts w:asciiTheme="minorHAnsi" w:eastAsia="Verdana" w:hAnsiTheme="minorHAnsi" w:cstheme="minorHAnsi"/>
                <w:sz w:val="22"/>
                <w:szCs w:val="22"/>
                <w:vertAlign w:val="subscript"/>
              </w:rPr>
              <w:t>2</w:t>
            </w:r>
          </w:p>
        </w:tc>
        <w:tc>
          <w:tcPr>
            <w:tcW w:w="4100" w:type="dxa"/>
            <w:vAlign w:val="bottom"/>
          </w:tcPr>
          <w:p w14:paraId="6EC21A07" w14:textId="77777777" w:rsidR="00EE1C79" w:rsidRPr="00224A2D" w:rsidRDefault="00EE1C79" w:rsidP="007715D2">
            <w:pPr>
              <w:spacing w:line="279" w:lineRule="exact"/>
              <w:rPr>
                <w:rFonts w:asciiTheme="minorHAnsi" w:hAnsiTheme="minorHAnsi" w:cstheme="minorHAnsi"/>
                <w:sz w:val="22"/>
                <w:szCs w:val="22"/>
              </w:rPr>
            </w:pPr>
            <w:r w:rsidRPr="00224A2D">
              <w:rPr>
                <w:rFonts w:asciiTheme="minorHAnsi" w:eastAsia="Verdana" w:hAnsiTheme="minorHAnsi" w:cstheme="minorHAnsi"/>
                <w:sz w:val="22"/>
                <w:szCs w:val="22"/>
              </w:rPr>
              <w:t>x 6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2600" w:type="dxa"/>
            <w:vAlign w:val="bottom"/>
          </w:tcPr>
          <w:p w14:paraId="276D6B91"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190.00</w:t>
            </w:r>
          </w:p>
        </w:tc>
        <w:tc>
          <w:tcPr>
            <w:tcW w:w="400" w:type="dxa"/>
            <w:vAlign w:val="bottom"/>
          </w:tcPr>
          <w:p w14:paraId="2BC4583E"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41F057EA" w14:textId="77777777" w:rsidTr="007715D2">
        <w:trPr>
          <w:trHeight w:val="280"/>
        </w:trPr>
        <w:tc>
          <w:tcPr>
            <w:tcW w:w="760" w:type="dxa"/>
            <w:vAlign w:val="bottom"/>
          </w:tcPr>
          <w:p w14:paraId="33B92350" w14:textId="77777777" w:rsidR="00EE1C79" w:rsidRPr="00224A2D" w:rsidRDefault="00EE1C79" w:rsidP="007715D2">
            <w:pPr>
              <w:spacing w:line="279" w:lineRule="exact"/>
              <w:ind w:left="140"/>
              <w:rPr>
                <w:rFonts w:asciiTheme="minorHAnsi" w:hAnsiTheme="minorHAnsi" w:cstheme="minorHAnsi"/>
                <w:sz w:val="22"/>
                <w:szCs w:val="22"/>
              </w:rPr>
            </w:pPr>
            <w:r w:rsidRPr="00224A2D">
              <w:rPr>
                <w:rFonts w:asciiTheme="minorHAnsi" w:eastAsia="Verdana" w:hAnsiTheme="minorHAnsi" w:cstheme="minorHAnsi"/>
                <w:sz w:val="22"/>
                <w:szCs w:val="22"/>
              </w:rPr>
              <w:t>CuCl</w:t>
            </w:r>
            <w:r w:rsidRPr="00224A2D">
              <w:rPr>
                <w:rFonts w:asciiTheme="minorHAnsi" w:eastAsia="Verdana" w:hAnsiTheme="minorHAnsi" w:cstheme="minorHAnsi"/>
                <w:sz w:val="22"/>
                <w:szCs w:val="22"/>
                <w:vertAlign w:val="subscript"/>
              </w:rPr>
              <w:t>2</w:t>
            </w:r>
          </w:p>
        </w:tc>
        <w:tc>
          <w:tcPr>
            <w:tcW w:w="4100" w:type="dxa"/>
            <w:vAlign w:val="bottom"/>
          </w:tcPr>
          <w:p w14:paraId="608C935F" w14:textId="77777777" w:rsidR="00EE1C79" w:rsidRPr="00224A2D" w:rsidRDefault="00EE1C79" w:rsidP="007715D2">
            <w:pPr>
              <w:spacing w:line="279" w:lineRule="exact"/>
              <w:rPr>
                <w:rFonts w:asciiTheme="minorHAnsi" w:hAnsiTheme="minorHAnsi" w:cstheme="minorHAnsi"/>
                <w:sz w:val="22"/>
                <w:szCs w:val="22"/>
              </w:rPr>
            </w:pPr>
            <w:r w:rsidRPr="00224A2D">
              <w:rPr>
                <w:rFonts w:asciiTheme="minorHAnsi" w:eastAsia="Verdana" w:hAnsiTheme="minorHAnsi" w:cstheme="minorHAnsi"/>
                <w:sz w:val="22"/>
                <w:szCs w:val="22"/>
              </w:rPr>
              <w:t>x 2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2600" w:type="dxa"/>
            <w:vAlign w:val="bottom"/>
          </w:tcPr>
          <w:p w14:paraId="0BFE7F27"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2.00</w:t>
            </w:r>
          </w:p>
        </w:tc>
        <w:tc>
          <w:tcPr>
            <w:tcW w:w="400" w:type="dxa"/>
            <w:vAlign w:val="bottom"/>
          </w:tcPr>
          <w:p w14:paraId="3D60B444"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7F3A69BD" w14:textId="77777777" w:rsidTr="007715D2">
        <w:trPr>
          <w:trHeight w:val="280"/>
        </w:trPr>
        <w:tc>
          <w:tcPr>
            <w:tcW w:w="4860" w:type="dxa"/>
            <w:gridSpan w:val="2"/>
            <w:vAlign w:val="bottom"/>
          </w:tcPr>
          <w:p w14:paraId="3C69833A" w14:textId="77777777" w:rsidR="00EE1C79" w:rsidRPr="00224A2D" w:rsidRDefault="00EE1C79" w:rsidP="007715D2">
            <w:pPr>
              <w:spacing w:line="279" w:lineRule="exact"/>
              <w:ind w:left="140"/>
              <w:rPr>
                <w:rFonts w:asciiTheme="minorHAnsi" w:hAnsiTheme="minorHAnsi" w:cstheme="minorHAnsi"/>
                <w:sz w:val="22"/>
                <w:szCs w:val="22"/>
              </w:rPr>
            </w:pPr>
            <w:r w:rsidRPr="00224A2D">
              <w:rPr>
                <w:rFonts w:asciiTheme="minorHAnsi" w:eastAsia="Verdana" w:hAnsiTheme="minorHAnsi" w:cstheme="minorHAnsi"/>
                <w:sz w:val="22"/>
                <w:szCs w:val="22"/>
              </w:rPr>
              <w:t>NiCl</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 xml:space="preserve"> x 6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2600" w:type="dxa"/>
            <w:vAlign w:val="bottom"/>
          </w:tcPr>
          <w:p w14:paraId="36DC0C08"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24.00</w:t>
            </w:r>
          </w:p>
        </w:tc>
        <w:tc>
          <w:tcPr>
            <w:tcW w:w="400" w:type="dxa"/>
            <w:vAlign w:val="bottom"/>
          </w:tcPr>
          <w:p w14:paraId="32C65F15"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49445AD8" w14:textId="77777777" w:rsidTr="007715D2">
        <w:trPr>
          <w:trHeight w:val="280"/>
        </w:trPr>
        <w:tc>
          <w:tcPr>
            <w:tcW w:w="4860" w:type="dxa"/>
            <w:gridSpan w:val="2"/>
            <w:vAlign w:val="bottom"/>
          </w:tcPr>
          <w:p w14:paraId="7EF771F1" w14:textId="77777777" w:rsidR="00EE1C79" w:rsidRPr="00224A2D" w:rsidRDefault="00EE1C79" w:rsidP="007715D2">
            <w:pPr>
              <w:spacing w:line="279" w:lineRule="exact"/>
              <w:ind w:left="140"/>
              <w:rPr>
                <w:rFonts w:asciiTheme="minorHAnsi" w:hAnsiTheme="minorHAnsi" w:cstheme="minorHAnsi"/>
                <w:sz w:val="22"/>
                <w:szCs w:val="22"/>
              </w:rPr>
            </w:pPr>
            <w:r w:rsidRPr="00224A2D">
              <w:rPr>
                <w:rFonts w:asciiTheme="minorHAnsi" w:eastAsia="Verdana" w:hAnsiTheme="minorHAnsi" w:cstheme="minorHAnsi"/>
                <w:sz w:val="22"/>
                <w:szCs w:val="22"/>
              </w:rPr>
              <w:t>Na</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MoO</w:t>
            </w:r>
            <w:r w:rsidRPr="00224A2D">
              <w:rPr>
                <w:rFonts w:asciiTheme="minorHAnsi" w:eastAsia="Verdana" w:hAnsiTheme="minorHAnsi" w:cstheme="minorHAnsi"/>
                <w:sz w:val="22"/>
                <w:szCs w:val="22"/>
                <w:vertAlign w:val="subscript"/>
              </w:rPr>
              <w:t>4</w:t>
            </w:r>
            <w:r w:rsidRPr="00224A2D">
              <w:rPr>
                <w:rFonts w:asciiTheme="minorHAnsi" w:eastAsia="Verdana" w:hAnsiTheme="minorHAnsi" w:cstheme="minorHAnsi"/>
                <w:sz w:val="22"/>
                <w:szCs w:val="22"/>
              </w:rPr>
              <w:t xml:space="preserve"> x 2 H</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O</w:t>
            </w:r>
          </w:p>
        </w:tc>
        <w:tc>
          <w:tcPr>
            <w:tcW w:w="2600" w:type="dxa"/>
            <w:vAlign w:val="bottom"/>
          </w:tcPr>
          <w:p w14:paraId="75DB152C"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36.00</w:t>
            </w:r>
          </w:p>
        </w:tc>
        <w:tc>
          <w:tcPr>
            <w:tcW w:w="400" w:type="dxa"/>
            <w:vAlign w:val="bottom"/>
          </w:tcPr>
          <w:p w14:paraId="70C8251A"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mg</w:t>
            </w:r>
          </w:p>
        </w:tc>
      </w:tr>
      <w:tr w:rsidR="00EE1C79" w:rsidRPr="00EE1C79" w14:paraId="1E374317" w14:textId="77777777" w:rsidTr="007715D2">
        <w:trPr>
          <w:trHeight w:val="269"/>
        </w:trPr>
        <w:tc>
          <w:tcPr>
            <w:tcW w:w="4860" w:type="dxa"/>
            <w:gridSpan w:val="2"/>
            <w:vAlign w:val="bottom"/>
          </w:tcPr>
          <w:p w14:paraId="5E5DE8CF" w14:textId="77777777" w:rsidR="00EE1C79" w:rsidRPr="00224A2D" w:rsidRDefault="00EE1C79" w:rsidP="007715D2">
            <w:pPr>
              <w:ind w:left="140"/>
              <w:rPr>
                <w:rFonts w:asciiTheme="minorHAnsi" w:hAnsiTheme="minorHAnsi" w:cstheme="minorHAnsi"/>
                <w:sz w:val="22"/>
                <w:szCs w:val="22"/>
              </w:rPr>
            </w:pPr>
            <w:r w:rsidRPr="00224A2D">
              <w:rPr>
                <w:rFonts w:asciiTheme="minorHAnsi" w:eastAsia="Verdana" w:hAnsiTheme="minorHAnsi" w:cstheme="minorHAnsi"/>
                <w:sz w:val="22"/>
                <w:szCs w:val="22"/>
              </w:rPr>
              <w:t>Distilled water</w:t>
            </w:r>
          </w:p>
        </w:tc>
        <w:tc>
          <w:tcPr>
            <w:tcW w:w="2600" w:type="dxa"/>
            <w:vAlign w:val="bottom"/>
          </w:tcPr>
          <w:p w14:paraId="53B92CF5"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990.00</w:t>
            </w:r>
          </w:p>
        </w:tc>
        <w:tc>
          <w:tcPr>
            <w:tcW w:w="400" w:type="dxa"/>
            <w:vAlign w:val="bottom"/>
          </w:tcPr>
          <w:p w14:paraId="01FE9218" w14:textId="77777777" w:rsidR="00EE1C79" w:rsidRPr="00224A2D" w:rsidRDefault="00EE1C79" w:rsidP="007715D2">
            <w:pPr>
              <w:jc w:val="right"/>
              <w:rPr>
                <w:rFonts w:asciiTheme="minorHAnsi" w:hAnsiTheme="minorHAnsi" w:cstheme="minorHAnsi"/>
                <w:sz w:val="22"/>
                <w:szCs w:val="22"/>
              </w:rPr>
            </w:pPr>
            <w:r w:rsidRPr="00224A2D">
              <w:rPr>
                <w:rFonts w:asciiTheme="minorHAnsi" w:eastAsia="Verdana" w:hAnsiTheme="minorHAnsi" w:cstheme="minorHAnsi"/>
                <w:sz w:val="22"/>
                <w:szCs w:val="22"/>
              </w:rPr>
              <w:t>ml</w:t>
            </w:r>
          </w:p>
        </w:tc>
      </w:tr>
    </w:tbl>
    <w:p w14:paraId="68FF29F2" w14:textId="77777777" w:rsidR="00EE1C79" w:rsidRDefault="00EE1C79" w:rsidP="00EE1C79">
      <w:pPr>
        <w:spacing w:line="227" w:lineRule="auto"/>
        <w:rPr>
          <w:rFonts w:asciiTheme="minorHAnsi" w:eastAsia="Verdana" w:hAnsiTheme="minorHAnsi" w:cstheme="minorHAnsi"/>
          <w:sz w:val="22"/>
          <w:szCs w:val="22"/>
        </w:rPr>
      </w:pPr>
    </w:p>
    <w:p w14:paraId="49158ED1" w14:textId="77777777" w:rsidR="00EE1C79" w:rsidRPr="00224A2D" w:rsidRDefault="00EE1C79" w:rsidP="00EE1C79">
      <w:pPr>
        <w:spacing w:line="227" w:lineRule="auto"/>
        <w:rPr>
          <w:rFonts w:asciiTheme="minorHAnsi" w:hAnsiTheme="minorHAnsi" w:cstheme="minorHAnsi"/>
          <w:sz w:val="22"/>
          <w:szCs w:val="22"/>
        </w:rPr>
      </w:pPr>
      <w:r w:rsidRPr="00224A2D">
        <w:rPr>
          <w:rFonts w:asciiTheme="minorHAnsi" w:eastAsia="Verdana" w:hAnsiTheme="minorHAnsi" w:cstheme="minorHAnsi"/>
          <w:sz w:val="22"/>
          <w:szCs w:val="22"/>
        </w:rPr>
        <w:t>First dissolve FeCl</w:t>
      </w:r>
      <w:r w:rsidRPr="00224A2D">
        <w:rPr>
          <w:rFonts w:asciiTheme="minorHAnsi" w:eastAsia="Verdana" w:hAnsiTheme="minorHAnsi" w:cstheme="minorHAnsi"/>
          <w:sz w:val="22"/>
          <w:szCs w:val="22"/>
          <w:vertAlign w:val="subscript"/>
        </w:rPr>
        <w:t>2</w:t>
      </w:r>
      <w:r w:rsidRPr="00224A2D">
        <w:rPr>
          <w:rFonts w:asciiTheme="minorHAnsi" w:eastAsia="Verdana" w:hAnsiTheme="minorHAnsi" w:cstheme="minorHAnsi"/>
          <w:sz w:val="22"/>
          <w:szCs w:val="22"/>
        </w:rPr>
        <w:t xml:space="preserve"> in the HCl, then dilute in water, add and dissolve the other salts.</w:t>
      </w:r>
    </w:p>
    <w:p w14:paraId="5B14C104" w14:textId="77777777" w:rsidR="00EE1C79" w:rsidRPr="00224A2D" w:rsidRDefault="00EE1C79" w:rsidP="00EE1C79">
      <w:pPr>
        <w:spacing w:line="2" w:lineRule="exact"/>
        <w:rPr>
          <w:rFonts w:asciiTheme="minorHAnsi" w:hAnsiTheme="minorHAnsi" w:cstheme="minorHAnsi"/>
          <w:sz w:val="22"/>
          <w:szCs w:val="22"/>
        </w:rPr>
      </w:pPr>
    </w:p>
    <w:p w14:paraId="463D8F2B" w14:textId="317DBA2C" w:rsidR="00EE1C79" w:rsidRPr="00224A2D" w:rsidRDefault="00EE1C79" w:rsidP="00EE1C79">
      <w:pPr>
        <w:rPr>
          <w:rFonts w:asciiTheme="minorHAnsi" w:hAnsiTheme="minorHAnsi" w:cstheme="minorHAnsi"/>
          <w:sz w:val="22"/>
          <w:szCs w:val="22"/>
        </w:rPr>
      </w:pPr>
      <w:r w:rsidRPr="00EE1C79">
        <w:rPr>
          <w:rFonts w:asciiTheme="minorHAnsi" w:eastAsia="Verdana" w:hAnsiTheme="minorHAnsi" w:cstheme="minorHAnsi"/>
          <w:sz w:val="22"/>
          <w:szCs w:val="22"/>
        </w:rPr>
        <w:t>Finally make up to 1000</w:t>
      </w:r>
      <w:r w:rsidRPr="00224A2D">
        <w:rPr>
          <w:rFonts w:asciiTheme="minorHAnsi" w:eastAsia="Verdana" w:hAnsiTheme="minorHAnsi" w:cstheme="minorHAnsi"/>
          <w:sz w:val="22"/>
          <w:szCs w:val="22"/>
        </w:rPr>
        <w:t xml:space="preserve"> ml.</w:t>
      </w:r>
    </w:p>
    <w:p w14:paraId="4AC3EA02" w14:textId="77777777" w:rsidR="00EE1C79" w:rsidRPr="005244BA" w:rsidRDefault="00EE1C79" w:rsidP="001860CE">
      <w:pPr>
        <w:spacing w:line="360" w:lineRule="auto"/>
        <w:rPr>
          <w:rFonts w:asciiTheme="minorHAnsi" w:hAnsiTheme="minorHAnsi"/>
          <w:sz w:val="22"/>
          <w:szCs w:val="22"/>
        </w:rPr>
      </w:pPr>
    </w:p>
    <w:sectPr w:rsidR="00EE1C79" w:rsidRPr="005244BA" w:rsidSect="00DF337D">
      <w:pgSz w:w="11906" w:h="16838"/>
      <w:pgMar w:top="1418" w:right="1418" w:bottom="141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959BB" w14:textId="77777777" w:rsidR="00A36734" w:rsidRDefault="00A36734">
      <w:r>
        <w:separator/>
      </w:r>
    </w:p>
  </w:endnote>
  <w:endnote w:type="continuationSeparator" w:id="0">
    <w:p w14:paraId="67515F79" w14:textId="77777777" w:rsidR="00A36734" w:rsidRDefault="00A36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Dutch801BT-Roman">
    <w:panose1 w:val="00000000000000000000"/>
    <w:charset w:val="00"/>
    <w:family w:val="roman"/>
    <w:notTrueType/>
    <w:pitch w:val="default"/>
    <w:sig w:usb0="00000003" w:usb1="00000000" w:usb2="00000000" w:usb3="00000000" w:csb0="00000001" w:csb1="00000000"/>
  </w:font>
  <w:font w:name="Dutch801BT-Italic">
    <w:panose1 w:val="00000000000000000000"/>
    <w:charset w:val="00"/>
    <w:family w:val="swiss"/>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976342"/>
      <w:docPartObj>
        <w:docPartGallery w:val="Page Numbers (Bottom of Page)"/>
        <w:docPartUnique/>
      </w:docPartObj>
    </w:sdtPr>
    <w:sdtEndPr>
      <w:rPr>
        <w:noProof/>
      </w:rPr>
    </w:sdtEndPr>
    <w:sdtContent>
      <w:p w14:paraId="2075DB95" w14:textId="4160A523" w:rsidR="007715D2" w:rsidRDefault="007715D2">
        <w:pPr>
          <w:pStyle w:val="Footer"/>
          <w:jc w:val="right"/>
        </w:pPr>
        <w:r>
          <w:fldChar w:fldCharType="begin"/>
        </w:r>
        <w:r w:rsidRPr="00107331">
          <w:instrText xml:space="preserve"> PAGE   \* MERGEFORMAT </w:instrText>
        </w:r>
        <w:r>
          <w:fldChar w:fldCharType="separate"/>
        </w:r>
        <w:r w:rsidR="00224A2D">
          <w:rPr>
            <w:noProof/>
          </w:rPr>
          <w:t>144</w:t>
        </w:r>
        <w:r>
          <w:rPr>
            <w:noProof/>
          </w:rPr>
          <w:fldChar w:fldCharType="end"/>
        </w:r>
      </w:p>
    </w:sdtContent>
  </w:sdt>
  <w:p w14:paraId="53916346" w14:textId="09F49E00" w:rsidR="007715D2" w:rsidRDefault="007715D2" w:rsidP="00407344">
    <w:pPr>
      <w:pStyle w:val="Footer"/>
      <w:tabs>
        <w:tab w:val="clear" w:pos="4153"/>
        <w:tab w:val="clear" w:pos="8306"/>
        <w:tab w:val="left" w:pos="742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5583C" w14:textId="77777777" w:rsidR="00A36734" w:rsidRDefault="00A36734">
      <w:r>
        <w:separator/>
      </w:r>
    </w:p>
  </w:footnote>
  <w:footnote w:type="continuationSeparator" w:id="0">
    <w:p w14:paraId="3C3EB869" w14:textId="77777777" w:rsidR="00A36734" w:rsidRDefault="00A36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824A5" w14:textId="77777777" w:rsidR="007715D2" w:rsidRDefault="007715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94979"/>
    <w:multiLevelType w:val="multilevel"/>
    <w:tmpl w:val="03B6AE4E"/>
    <w:lvl w:ilvl="0">
      <w:start w:val="2"/>
      <w:numFmt w:val="decimal"/>
      <w:lvlText w:val="%1."/>
      <w:lvlJc w:val="left"/>
      <w:pPr>
        <w:ind w:left="660" w:hanging="660"/>
      </w:pPr>
      <w:rPr>
        <w:rFonts w:ascii="Calibri" w:eastAsia="Calibri" w:hAnsi="Calibri" w:cs="Calibri" w:hint="default"/>
        <w:b/>
        <w:sz w:val="28"/>
      </w:rPr>
    </w:lvl>
    <w:lvl w:ilvl="1">
      <w:start w:val="5"/>
      <w:numFmt w:val="decimal"/>
      <w:lvlText w:val="%1.%2."/>
      <w:lvlJc w:val="left"/>
      <w:pPr>
        <w:ind w:left="720" w:hanging="720"/>
      </w:pPr>
      <w:rPr>
        <w:rFonts w:ascii="Calibri" w:eastAsia="Calibri" w:hAnsi="Calibri" w:cs="Calibri" w:hint="default"/>
        <w:b/>
        <w:sz w:val="28"/>
      </w:rPr>
    </w:lvl>
    <w:lvl w:ilvl="2">
      <w:start w:val="2"/>
      <w:numFmt w:val="decimal"/>
      <w:lvlText w:val="%1.%2.%3."/>
      <w:lvlJc w:val="left"/>
      <w:pPr>
        <w:ind w:left="720" w:hanging="720"/>
      </w:pPr>
      <w:rPr>
        <w:rFonts w:ascii="Calibri" w:eastAsia="Calibri" w:hAnsi="Calibri" w:cs="Calibri" w:hint="default"/>
        <w:b w:val="0"/>
        <w:sz w:val="28"/>
      </w:rPr>
    </w:lvl>
    <w:lvl w:ilvl="3">
      <w:start w:val="1"/>
      <w:numFmt w:val="decimal"/>
      <w:lvlText w:val="%1.%2.%3.%4."/>
      <w:lvlJc w:val="left"/>
      <w:pPr>
        <w:ind w:left="1080" w:hanging="1080"/>
      </w:pPr>
      <w:rPr>
        <w:rFonts w:ascii="Calibri" w:eastAsia="Calibri" w:hAnsi="Calibri" w:cs="Calibri" w:hint="default"/>
        <w:b/>
        <w:sz w:val="28"/>
      </w:rPr>
    </w:lvl>
    <w:lvl w:ilvl="4">
      <w:start w:val="1"/>
      <w:numFmt w:val="decimal"/>
      <w:lvlText w:val="%1.%2.%3.%4.%5."/>
      <w:lvlJc w:val="left"/>
      <w:pPr>
        <w:ind w:left="1080" w:hanging="1080"/>
      </w:pPr>
      <w:rPr>
        <w:rFonts w:ascii="Calibri" w:eastAsia="Calibri" w:hAnsi="Calibri" w:cs="Calibri" w:hint="default"/>
        <w:b/>
        <w:sz w:val="28"/>
      </w:rPr>
    </w:lvl>
    <w:lvl w:ilvl="5">
      <w:start w:val="1"/>
      <w:numFmt w:val="decimal"/>
      <w:lvlText w:val="%1.%2.%3.%4.%5.%6."/>
      <w:lvlJc w:val="left"/>
      <w:pPr>
        <w:ind w:left="1440" w:hanging="1440"/>
      </w:pPr>
      <w:rPr>
        <w:rFonts w:ascii="Calibri" w:eastAsia="Calibri" w:hAnsi="Calibri" w:cs="Calibri" w:hint="default"/>
        <w:b/>
        <w:sz w:val="28"/>
      </w:rPr>
    </w:lvl>
    <w:lvl w:ilvl="6">
      <w:start w:val="1"/>
      <w:numFmt w:val="decimal"/>
      <w:lvlText w:val="%1.%2.%3.%4.%5.%6.%7."/>
      <w:lvlJc w:val="left"/>
      <w:pPr>
        <w:ind w:left="1440" w:hanging="1440"/>
      </w:pPr>
      <w:rPr>
        <w:rFonts w:ascii="Calibri" w:eastAsia="Calibri" w:hAnsi="Calibri" w:cs="Calibri" w:hint="default"/>
        <w:b/>
        <w:sz w:val="28"/>
      </w:rPr>
    </w:lvl>
    <w:lvl w:ilvl="7">
      <w:start w:val="1"/>
      <w:numFmt w:val="decimal"/>
      <w:lvlText w:val="%1.%2.%3.%4.%5.%6.%7.%8."/>
      <w:lvlJc w:val="left"/>
      <w:pPr>
        <w:ind w:left="1800" w:hanging="1800"/>
      </w:pPr>
      <w:rPr>
        <w:rFonts w:ascii="Calibri" w:eastAsia="Calibri" w:hAnsi="Calibri" w:cs="Calibri" w:hint="default"/>
        <w:b/>
        <w:sz w:val="28"/>
      </w:rPr>
    </w:lvl>
    <w:lvl w:ilvl="8">
      <w:start w:val="1"/>
      <w:numFmt w:val="decimal"/>
      <w:lvlText w:val="%1.%2.%3.%4.%5.%6.%7.%8.%9."/>
      <w:lvlJc w:val="left"/>
      <w:pPr>
        <w:ind w:left="1800" w:hanging="1800"/>
      </w:pPr>
      <w:rPr>
        <w:rFonts w:ascii="Calibri" w:eastAsia="Calibri" w:hAnsi="Calibri" w:cs="Calibri" w:hint="default"/>
        <w:b/>
        <w:sz w:val="28"/>
      </w:rPr>
    </w:lvl>
  </w:abstractNum>
  <w:abstractNum w:abstractNumId="1" w15:restartNumberingAfterBreak="0">
    <w:nsid w:val="0F2370A8"/>
    <w:multiLevelType w:val="multilevel"/>
    <w:tmpl w:val="4DA4EE06"/>
    <w:lvl w:ilvl="0">
      <w:start w:val="2"/>
      <w:numFmt w:val="decimal"/>
      <w:lvlText w:val="%1"/>
      <w:lvlJc w:val="left"/>
      <w:pPr>
        <w:ind w:left="360" w:hanging="360"/>
      </w:pPr>
      <w:rPr>
        <w:rFonts w:ascii="Calibri" w:eastAsia="Calibri" w:hAnsi="Calibri" w:cs="Calibri" w:hint="default"/>
        <w:b/>
        <w:sz w:val="28"/>
      </w:rPr>
    </w:lvl>
    <w:lvl w:ilvl="1">
      <w:start w:val="2"/>
      <w:numFmt w:val="decimal"/>
      <w:lvlText w:val="%1.%2"/>
      <w:lvlJc w:val="left"/>
      <w:pPr>
        <w:ind w:left="360" w:hanging="360"/>
      </w:pPr>
      <w:rPr>
        <w:rFonts w:ascii="Calibri" w:eastAsia="Calibri" w:hAnsi="Calibri" w:cs="Calibri" w:hint="default"/>
        <w:b/>
        <w:sz w:val="28"/>
      </w:rPr>
    </w:lvl>
    <w:lvl w:ilvl="2">
      <w:start w:val="1"/>
      <w:numFmt w:val="decimal"/>
      <w:lvlText w:val="%1.%2.%3"/>
      <w:lvlJc w:val="left"/>
      <w:pPr>
        <w:ind w:left="720" w:hanging="720"/>
      </w:pPr>
      <w:rPr>
        <w:rFonts w:ascii="Calibri" w:eastAsia="Calibri" w:hAnsi="Calibri" w:cs="Calibri" w:hint="default"/>
        <w:b/>
        <w:sz w:val="28"/>
      </w:rPr>
    </w:lvl>
    <w:lvl w:ilvl="3">
      <w:start w:val="1"/>
      <w:numFmt w:val="decimal"/>
      <w:lvlText w:val="%1.%2.%3.%4"/>
      <w:lvlJc w:val="left"/>
      <w:pPr>
        <w:ind w:left="720" w:hanging="720"/>
      </w:pPr>
      <w:rPr>
        <w:rFonts w:ascii="Calibri" w:eastAsia="Calibri" w:hAnsi="Calibri" w:cs="Calibri" w:hint="default"/>
        <w:b/>
        <w:sz w:val="28"/>
      </w:rPr>
    </w:lvl>
    <w:lvl w:ilvl="4">
      <w:start w:val="1"/>
      <w:numFmt w:val="decimal"/>
      <w:lvlText w:val="%1.%2.%3.%4.%5"/>
      <w:lvlJc w:val="left"/>
      <w:pPr>
        <w:ind w:left="1080" w:hanging="1080"/>
      </w:pPr>
      <w:rPr>
        <w:rFonts w:ascii="Calibri" w:eastAsia="Calibri" w:hAnsi="Calibri" w:cs="Calibri" w:hint="default"/>
        <w:b/>
        <w:sz w:val="28"/>
      </w:rPr>
    </w:lvl>
    <w:lvl w:ilvl="5">
      <w:start w:val="1"/>
      <w:numFmt w:val="decimal"/>
      <w:lvlText w:val="%1.%2.%3.%4.%5.%6"/>
      <w:lvlJc w:val="left"/>
      <w:pPr>
        <w:ind w:left="1080" w:hanging="1080"/>
      </w:pPr>
      <w:rPr>
        <w:rFonts w:ascii="Calibri" w:eastAsia="Calibri" w:hAnsi="Calibri" w:cs="Calibri" w:hint="default"/>
        <w:b/>
        <w:sz w:val="28"/>
      </w:rPr>
    </w:lvl>
    <w:lvl w:ilvl="6">
      <w:start w:val="1"/>
      <w:numFmt w:val="decimal"/>
      <w:lvlText w:val="%1.%2.%3.%4.%5.%6.%7"/>
      <w:lvlJc w:val="left"/>
      <w:pPr>
        <w:ind w:left="1440" w:hanging="1440"/>
      </w:pPr>
      <w:rPr>
        <w:rFonts w:ascii="Calibri" w:eastAsia="Calibri" w:hAnsi="Calibri" w:cs="Calibri" w:hint="default"/>
        <w:b/>
        <w:sz w:val="28"/>
      </w:rPr>
    </w:lvl>
    <w:lvl w:ilvl="7">
      <w:start w:val="1"/>
      <w:numFmt w:val="decimal"/>
      <w:lvlText w:val="%1.%2.%3.%4.%5.%6.%7.%8"/>
      <w:lvlJc w:val="left"/>
      <w:pPr>
        <w:ind w:left="1440" w:hanging="1440"/>
      </w:pPr>
      <w:rPr>
        <w:rFonts w:ascii="Calibri" w:eastAsia="Calibri" w:hAnsi="Calibri" w:cs="Calibri" w:hint="default"/>
        <w:b/>
        <w:sz w:val="28"/>
      </w:rPr>
    </w:lvl>
    <w:lvl w:ilvl="8">
      <w:start w:val="1"/>
      <w:numFmt w:val="decimal"/>
      <w:lvlText w:val="%1.%2.%3.%4.%5.%6.%7.%8.%9"/>
      <w:lvlJc w:val="left"/>
      <w:pPr>
        <w:ind w:left="1800" w:hanging="1800"/>
      </w:pPr>
      <w:rPr>
        <w:rFonts w:ascii="Calibri" w:eastAsia="Calibri" w:hAnsi="Calibri" w:cs="Calibri" w:hint="default"/>
        <w:b/>
        <w:sz w:val="28"/>
      </w:rPr>
    </w:lvl>
  </w:abstractNum>
  <w:abstractNum w:abstractNumId="2" w15:restartNumberingAfterBreak="0">
    <w:nsid w:val="122D7FD8"/>
    <w:multiLevelType w:val="multilevel"/>
    <w:tmpl w:val="D1DA3006"/>
    <w:lvl w:ilvl="0">
      <w:start w:val="2"/>
      <w:numFmt w:val="decimal"/>
      <w:lvlText w:val="%1."/>
      <w:lvlJc w:val="left"/>
      <w:pPr>
        <w:ind w:left="880" w:hanging="880"/>
      </w:pPr>
      <w:rPr>
        <w:rFonts w:hint="default"/>
        <w:sz w:val="28"/>
      </w:rPr>
    </w:lvl>
    <w:lvl w:ilvl="1">
      <w:start w:val="5"/>
      <w:numFmt w:val="decimal"/>
      <w:lvlText w:val="%1.%2."/>
      <w:lvlJc w:val="left"/>
      <w:pPr>
        <w:ind w:left="880" w:hanging="880"/>
      </w:pPr>
      <w:rPr>
        <w:rFonts w:asciiTheme="minorHAnsi" w:hAnsiTheme="minorHAnsi" w:hint="default"/>
        <w:b/>
        <w:sz w:val="28"/>
      </w:rPr>
    </w:lvl>
    <w:lvl w:ilvl="2">
      <w:start w:val="1"/>
      <w:numFmt w:val="decimal"/>
      <w:lvlText w:val="%1.%2.%3."/>
      <w:lvlJc w:val="left"/>
      <w:pPr>
        <w:ind w:left="880" w:hanging="880"/>
      </w:pPr>
      <w:rPr>
        <w:rFonts w:asciiTheme="minorHAnsi" w:hAnsiTheme="minorHAnsi" w:hint="default"/>
        <w:sz w:val="28"/>
      </w:rPr>
    </w:lvl>
    <w:lvl w:ilvl="3">
      <w:start w:val="2"/>
      <w:numFmt w:val="decimal"/>
      <w:lvlText w:val="%1.%2.%3.%4."/>
      <w:lvlJc w:val="left"/>
      <w:pPr>
        <w:ind w:left="880" w:hanging="8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 w15:restartNumberingAfterBreak="0">
    <w:nsid w:val="250273CF"/>
    <w:multiLevelType w:val="multilevel"/>
    <w:tmpl w:val="471EB0DA"/>
    <w:lvl w:ilvl="0">
      <w:start w:val="2"/>
      <w:numFmt w:val="decimal"/>
      <w:lvlText w:val="%1."/>
      <w:lvlJc w:val="left"/>
      <w:pPr>
        <w:ind w:left="680" w:hanging="680"/>
      </w:pPr>
      <w:rPr>
        <w:rFonts w:hint="default"/>
      </w:rPr>
    </w:lvl>
    <w:lvl w:ilvl="1">
      <w:start w:val="5"/>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F15CE1"/>
    <w:multiLevelType w:val="hybridMultilevel"/>
    <w:tmpl w:val="C73CD9F2"/>
    <w:lvl w:ilvl="0" w:tplc="399EAE2E">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45481"/>
    <w:multiLevelType w:val="hybridMultilevel"/>
    <w:tmpl w:val="FCC490E8"/>
    <w:lvl w:ilvl="0" w:tplc="449A373A">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735179"/>
    <w:multiLevelType w:val="hybridMultilevel"/>
    <w:tmpl w:val="A95E2B28"/>
    <w:lvl w:ilvl="0" w:tplc="0AB2CEC4">
      <w:start w:val="1"/>
      <w:numFmt w:val="upperRoman"/>
      <w:lvlText w:val="%1."/>
      <w:lvlJc w:val="left"/>
      <w:pPr>
        <w:ind w:left="113" w:firstLine="24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DF5D32"/>
    <w:multiLevelType w:val="hybridMultilevel"/>
    <w:tmpl w:val="69CC4ADC"/>
    <w:lvl w:ilvl="0" w:tplc="98962DDA">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390D2A"/>
    <w:multiLevelType w:val="hybridMultilevel"/>
    <w:tmpl w:val="1FE87582"/>
    <w:lvl w:ilvl="0" w:tplc="8EC239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664174"/>
    <w:multiLevelType w:val="multilevel"/>
    <w:tmpl w:val="A7F8633C"/>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F4569EB"/>
    <w:multiLevelType w:val="hybridMultilevel"/>
    <w:tmpl w:val="EE70C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D660BA"/>
    <w:multiLevelType w:val="multilevel"/>
    <w:tmpl w:val="3A02C37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8"/>
  </w:num>
  <w:num w:numId="2">
    <w:abstractNumId w:val="10"/>
  </w:num>
  <w:num w:numId="3">
    <w:abstractNumId w:val="11"/>
  </w:num>
  <w:num w:numId="4">
    <w:abstractNumId w:val="1"/>
  </w:num>
  <w:num w:numId="5">
    <w:abstractNumId w:val="9"/>
  </w:num>
  <w:num w:numId="6">
    <w:abstractNumId w:val="2"/>
  </w:num>
  <w:num w:numId="7">
    <w:abstractNumId w:val="0"/>
  </w:num>
  <w:num w:numId="8">
    <w:abstractNumId w:val="5"/>
  </w:num>
  <w:num w:numId="9">
    <w:abstractNumId w:val="7"/>
  </w:num>
  <w:num w:numId="10">
    <w:abstractNumId w:val="4"/>
  </w:num>
  <w:num w:numId="11">
    <w:abstractNumId w:val="6"/>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397"/>
    <w:rsid w:val="00005BA9"/>
    <w:rsid w:val="000158EA"/>
    <w:rsid w:val="00025C58"/>
    <w:rsid w:val="00030264"/>
    <w:rsid w:val="000306E8"/>
    <w:rsid w:val="0004604A"/>
    <w:rsid w:val="00060C8F"/>
    <w:rsid w:val="00074A95"/>
    <w:rsid w:val="000837B6"/>
    <w:rsid w:val="00094D54"/>
    <w:rsid w:val="000A493A"/>
    <w:rsid w:val="000A4C69"/>
    <w:rsid w:val="000A78A8"/>
    <w:rsid w:val="000B6618"/>
    <w:rsid w:val="000C212F"/>
    <w:rsid w:val="000C4604"/>
    <w:rsid w:val="000D08C1"/>
    <w:rsid w:val="000D1856"/>
    <w:rsid w:val="000D3D31"/>
    <w:rsid w:val="000F1CC8"/>
    <w:rsid w:val="000F1D28"/>
    <w:rsid w:val="000F254A"/>
    <w:rsid w:val="00100875"/>
    <w:rsid w:val="00107331"/>
    <w:rsid w:val="00114AA3"/>
    <w:rsid w:val="00142BB4"/>
    <w:rsid w:val="0016337D"/>
    <w:rsid w:val="00176F42"/>
    <w:rsid w:val="001805C0"/>
    <w:rsid w:val="001860CE"/>
    <w:rsid w:val="00187DD0"/>
    <w:rsid w:val="00193EF8"/>
    <w:rsid w:val="001A3070"/>
    <w:rsid w:val="001D078B"/>
    <w:rsid w:val="001D262F"/>
    <w:rsid w:val="001D3059"/>
    <w:rsid w:val="001F0D67"/>
    <w:rsid w:val="00202E24"/>
    <w:rsid w:val="002035AE"/>
    <w:rsid w:val="00204A0D"/>
    <w:rsid w:val="00224A2D"/>
    <w:rsid w:val="002320D8"/>
    <w:rsid w:val="00246787"/>
    <w:rsid w:val="00253639"/>
    <w:rsid w:val="002639DE"/>
    <w:rsid w:val="00281CDA"/>
    <w:rsid w:val="002867AE"/>
    <w:rsid w:val="002B1405"/>
    <w:rsid w:val="002B29E5"/>
    <w:rsid w:val="002B347F"/>
    <w:rsid w:val="002B69BD"/>
    <w:rsid w:val="002B7CD7"/>
    <w:rsid w:val="002C1503"/>
    <w:rsid w:val="002C211D"/>
    <w:rsid w:val="002D345D"/>
    <w:rsid w:val="002D6EBE"/>
    <w:rsid w:val="002E046A"/>
    <w:rsid w:val="002F35FC"/>
    <w:rsid w:val="00302AD3"/>
    <w:rsid w:val="00313A45"/>
    <w:rsid w:val="00314CD5"/>
    <w:rsid w:val="003250CB"/>
    <w:rsid w:val="00333B82"/>
    <w:rsid w:val="003463EC"/>
    <w:rsid w:val="00360936"/>
    <w:rsid w:val="0036261B"/>
    <w:rsid w:val="00386652"/>
    <w:rsid w:val="00390744"/>
    <w:rsid w:val="003915E9"/>
    <w:rsid w:val="00396953"/>
    <w:rsid w:val="003D18AD"/>
    <w:rsid w:val="003F5820"/>
    <w:rsid w:val="00407344"/>
    <w:rsid w:val="00407878"/>
    <w:rsid w:val="0041070D"/>
    <w:rsid w:val="00422F91"/>
    <w:rsid w:val="00432160"/>
    <w:rsid w:val="00436CD0"/>
    <w:rsid w:val="00450388"/>
    <w:rsid w:val="0045706E"/>
    <w:rsid w:val="004614B6"/>
    <w:rsid w:val="00464FF3"/>
    <w:rsid w:val="00470249"/>
    <w:rsid w:val="00495398"/>
    <w:rsid w:val="004A0746"/>
    <w:rsid w:val="004A725F"/>
    <w:rsid w:val="004D6F38"/>
    <w:rsid w:val="00500014"/>
    <w:rsid w:val="005128E0"/>
    <w:rsid w:val="0051590D"/>
    <w:rsid w:val="005163AA"/>
    <w:rsid w:val="00520F3B"/>
    <w:rsid w:val="005244BA"/>
    <w:rsid w:val="00531DF5"/>
    <w:rsid w:val="00532A69"/>
    <w:rsid w:val="0053377C"/>
    <w:rsid w:val="00543CD5"/>
    <w:rsid w:val="0058312F"/>
    <w:rsid w:val="005B4620"/>
    <w:rsid w:val="005C2A73"/>
    <w:rsid w:val="005C5F28"/>
    <w:rsid w:val="005F4C68"/>
    <w:rsid w:val="00614FA1"/>
    <w:rsid w:val="006253AD"/>
    <w:rsid w:val="006314F7"/>
    <w:rsid w:val="00650B38"/>
    <w:rsid w:val="00651235"/>
    <w:rsid w:val="006638DE"/>
    <w:rsid w:val="00697FE7"/>
    <w:rsid w:val="006C7FED"/>
    <w:rsid w:val="006D1C4D"/>
    <w:rsid w:val="006D58FC"/>
    <w:rsid w:val="006E76D9"/>
    <w:rsid w:val="006F6BAA"/>
    <w:rsid w:val="007207B4"/>
    <w:rsid w:val="0075771C"/>
    <w:rsid w:val="007715D2"/>
    <w:rsid w:val="00772CBB"/>
    <w:rsid w:val="00775C2D"/>
    <w:rsid w:val="00795988"/>
    <w:rsid w:val="007B7AA5"/>
    <w:rsid w:val="007D6081"/>
    <w:rsid w:val="007E3308"/>
    <w:rsid w:val="007F00F8"/>
    <w:rsid w:val="00831783"/>
    <w:rsid w:val="00832A18"/>
    <w:rsid w:val="00833BC6"/>
    <w:rsid w:val="00843A2F"/>
    <w:rsid w:val="00855FC0"/>
    <w:rsid w:val="008A3BA1"/>
    <w:rsid w:val="008C5359"/>
    <w:rsid w:val="008D018C"/>
    <w:rsid w:val="008D0482"/>
    <w:rsid w:val="008F71D6"/>
    <w:rsid w:val="0090202A"/>
    <w:rsid w:val="0093594F"/>
    <w:rsid w:val="009371F0"/>
    <w:rsid w:val="009413FA"/>
    <w:rsid w:val="009718D9"/>
    <w:rsid w:val="00984A17"/>
    <w:rsid w:val="00990AE1"/>
    <w:rsid w:val="009A2ADB"/>
    <w:rsid w:val="009B6D13"/>
    <w:rsid w:val="009C18A0"/>
    <w:rsid w:val="009C39DF"/>
    <w:rsid w:val="009C4F0E"/>
    <w:rsid w:val="009C6F0F"/>
    <w:rsid w:val="009D27C0"/>
    <w:rsid w:val="009D6C7D"/>
    <w:rsid w:val="00A148E2"/>
    <w:rsid w:val="00A21A1B"/>
    <w:rsid w:val="00A229FA"/>
    <w:rsid w:val="00A255E3"/>
    <w:rsid w:val="00A30FBD"/>
    <w:rsid w:val="00A36734"/>
    <w:rsid w:val="00A3773A"/>
    <w:rsid w:val="00A40F4C"/>
    <w:rsid w:val="00A4127F"/>
    <w:rsid w:val="00A46F7D"/>
    <w:rsid w:val="00A75987"/>
    <w:rsid w:val="00A81F24"/>
    <w:rsid w:val="00A9324D"/>
    <w:rsid w:val="00A97F4F"/>
    <w:rsid w:val="00AB0CFE"/>
    <w:rsid w:val="00AB753A"/>
    <w:rsid w:val="00AE4D71"/>
    <w:rsid w:val="00AF47D2"/>
    <w:rsid w:val="00B0477E"/>
    <w:rsid w:val="00B069DA"/>
    <w:rsid w:val="00B11015"/>
    <w:rsid w:val="00B2797F"/>
    <w:rsid w:val="00B429A5"/>
    <w:rsid w:val="00B44746"/>
    <w:rsid w:val="00B50B5D"/>
    <w:rsid w:val="00B57033"/>
    <w:rsid w:val="00B67114"/>
    <w:rsid w:val="00B85E87"/>
    <w:rsid w:val="00B94D0C"/>
    <w:rsid w:val="00B9580E"/>
    <w:rsid w:val="00B95E97"/>
    <w:rsid w:val="00BA6EB9"/>
    <w:rsid w:val="00BB3D6F"/>
    <w:rsid w:val="00BC4626"/>
    <w:rsid w:val="00BD5CF2"/>
    <w:rsid w:val="00BE0697"/>
    <w:rsid w:val="00BE1B46"/>
    <w:rsid w:val="00BE5368"/>
    <w:rsid w:val="00BF0C8E"/>
    <w:rsid w:val="00BF3A51"/>
    <w:rsid w:val="00C00071"/>
    <w:rsid w:val="00C25135"/>
    <w:rsid w:val="00C27E23"/>
    <w:rsid w:val="00C36D45"/>
    <w:rsid w:val="00C406A2"/>
    <w:rsid w:val="00C43328"/>
    <w:rsid w:val="00C44D8C"/>
    <w:rsid w:val="00C4570E"/>
    <w:rsid w:val="00C63855"/>
    <w:rsid w:val="00C9386D"/>
    <w:rsid w:val="00CB1640"/>
    <w:rsid w:val="00CB4397"/>
    <w:rsid w:val="00CC02A5"/>
    <w:rsid w:val="00CD21F3"/>
    <w:rsid w:val="00CD304E"/>
    <w:rsid w:val="00CE1AD2"/>
    <w:rsid w:val="00CE70B9"/>
    <w:rsid w:val="00CF6FB3"/>
    <w:rsid w:val="00D20D2A"/>
    <w:rsid w:val="00D21CD5"/>
    <w:rsid w:val="00D23B90"/>
    <w:rsid w:val="00D2574D"/>
    <w:rsid w:val="00D35069"/>
    <w:rsid w:val="00D50AEE"/>
    <w:rsid w:val="00D604D8"/>
    <w:rsid w:val="00D86C7E"/>
    <w:rsid w:val="00D96E63"/>
    <w:rsid w:val="00DB0D18"/>
    <w:rsid w:val="00DB56D6"/>
    <w:rsid w:val="00DC24FE"/>
    <w:rsid w:val="00DD00BB"/>
    <w:rsid w:val="00DD1FEA"/>
    <w:rsid w:val="00DD25F4"/>
    <w:rsid w:val="00DD63F5"/>
    <w:rsid w:val="00DF0408"/>
    <w:rsid w:val="00DF337D"/>
    <w:rsid w:val="00DF48F7"/>
    <w:rsid w:val="00E03EE3"/>
    <w:rsid w:val="00E107B7"/>
    <w:rsid w:val="00E1227D"/>
    <w:rsid w:val="00E20118"/>
    <w:rsid w:val="00E269BC"/>
    <w:rsid w:val="00E35F9B"/>
    <w:rsid w:val="00E3620D"/>
    <w:rsid w:val="00E52E9C"/>
    <w:rsid w:val="00E54C6A"/>
    <w:rsid w:val="00E713B5"/>
    <w:rsid w:val="00E87761"/>
    <w:rsid w:val="00E93C0F"/>
    <w:rsid w:val="00ED0E70"/>
    <w:rsid w:val="00ED39C2"/>
    <w:rsid w:val="00ED6C00"/>
    <w:rsid w:val="00ED7487"/>
    <w:rsid w:val="00EE1C35"/>
    <w:rsid w:val="00EE1C79"/>
    <w:rsid w:val="00EE7962"/>
    <w:rsid w:val="00F22A20"/>
    <w:rsid w:val="00F23008"/>
    <w:rsid w:val="00F352E2"/>
    <w:rsid w:val="00F62E1E"/>
    <w:rsid w:val="00F6573E"/>
    <w:rsid w:val="00F741BF"/>
    <w:rsid w:val="00FB6918"/>
    <w:rsid w:val="00FE1A5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EF728"/>
  <w15:chartTrackingRefBased/>
  <w15:docId w15:val="{CDCAB576-EE86-4A92-8648-70C22B8C6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397"/>
    <w:pPr>
      <w:spacing w:after="0" w:line="240" w:lineRule="auto"/>
    </w:pPr>
    <w:rPr>
      <w:rFonts w:ascii="Times New Roman" w:eastAsia="Times New Roman" w:hAnsi="Times New Roman" w:cs="Times New Roman"/>
      <w:sz w:val="24"/>
      <w:szCs w:val="20"/>
      <w:lang w:eastAsia="en-US"/>
    </w:rPr>
  </w:style>
  <w:style w:type="paragraph" w:styleId="Heading1">
    <w:name w:val="heading 1"/>
    <w:aliases w:val="Heading 1 chapter main heading"/>
    <w:basedOn w:val="Normal"/>
    <w:next w:val="Normal"/>
    <w:link w:val="Heading1Char"/>
    <w:qFormat/>
    <w:rsid w:val="00C44D8C"/>
    <w:pPr>
      <w:keepNext/>
      <w:keepLines/>
      <w:spacing w:before="360" w:after="120"/>
      <w:outlineLvl w:val="0"/>
    </w:pPr>
    <w:rPr>
      <w:rFonts w:asciiTheme="minorHAnsi" w:eastAsiaTheme="majorEastAsia" w:hAnsiTheme="minorHAnsi" w:cstheme="majorBidi"/>
      <w:b/>
      <w:sz w:val="28"/>
      <w:szCs w:val="32"/>
    </w:rPr>
  </w:style>
  <w:style w:type="paragraph" w:styleId="Heading2">
    <w:name w:val="heading 2"/>
    <w:aliases w:val="Heading 2 main chapter number"/>
    <w:basedOn w:val="Normal"/>
    <w:next w:val="Normal"/>
    <w:link w:val="Heading2Char"/>
    <w:unhideWhenUsed/>
    <w:qFormat/>
    <w:rsid w:val="00DF337D"/>
    <w:pPr>
      <w:keepNext/>
      <w:keepLines/>
      <w:spacing w:before="40"/>
      <w:outlineLvl w:val="1"/>
    </w:pPr>
    <w:rPr>
      <w:rFonts w:asciiTheme="minorHAnsi" w:eastAsiaTheme="majorEastAsia" w:hAnsiTheme="minorHAnsi" w:cstheme="majorBidi"/>
      <w:b/>
      <w:i/>
      <w:sz w:val="36"/>
      <w:szCs w:val="26"/>
    </w:rPr>
  </w:style>
  <w:style w:type="paragraph" w:styleId="Heading3">
    <w:name w:val="heading 3"/>
    <w:basedOn w:val="Normal"/>
    <w:next w:val="Normal"/>
    <w:link w:val="Heading3Char"/>
    <w:rsid w:val="00436CD0"/>
    <w:pPr>
      <w:keepNext/>
      <w:keepLines/>
      <w:spacing w:before="320" w:after="80" w:line="276" w:lineRule="auto"/>
      <w:outlineLvl w:val="2"/>
    </w:pPr>
    <w:rPr>
      <w:rFonts w:ascii="Arial" w:eastAsia="Arial" w:hAnsi="Arial" w:cs="Arial"/>
      <w:color w:val="434343"/>
      <w:sz w:val="28"/>
      <w:szCs w:val="28"/>
      <w:lang w:eastAsia="en-GB"/>
    </w:rPr>
  </w:style>
  <w:style w:type="paragraph" w:styleId="Heading4">
    <w:name w:val="heading 4"/>
    <w:basedOn w:val="Normal"/>
    <w:next w:val="Normal"/>
    <w:link w:val="Heading4Char"/>
    <w:rsid w:val="00436CD0"/>
    <w:pPr>
      <w:keepNext/>
      <w:keepLines/>
      <w:spacing w:before="280" w:after="80" w:line="276" w:lineRule="auto"/>
      <w:outlineLvl w:val="3"/>
    </w:pPr>
    <w:rPr>
      <w:rFonts w:ascii="Arial" w:eastAsia="Arial" w:hAnsi="Arial" w:cs="Arial"/>
      <w:color w:val="666666"/>
      <w:szCs w:val="24"/>
      <w:lang w:eastAsia="en-GB"/>
    </w:rPr>
  </w:style>
  <w:style w:type="paragraph" w:styleId="Heading5">
    <w:name w:val="heading 5"/>
    <w:aliases w:val="Heading 5 main chapter title"/>
    <w:basedOn w:val="Normal"/>
    <w:next w:val="Normal"/>
    <w:link w:val="Heading5Char"/>
    <w:qFormat/>
    <w:rsid w:val="00DF337D"/>
    <w:pPr>
      <w:keepNext/>
      <w:spacing w:before="120" w:after="120"/>
      <w:outlineLvl w:val="4"/>
    </w:pPr>
    <w:rPr>
      <w:rFonts w:asciiTheme="minorHAnsi" w:hAnsiTheme="minorHAnsi"/>
      <w:b/>
      <w:sz w:val="36"/>
    </w:rPr>
  </w:style>
  <w:style w:type="paragraph" w:styleId="Heading6">
    <w:name w:val="heading 6"/>
    <w:aliases w:val="Heading 6 first sub chapter heading"/>
    <w:basedOn w:val="Normal"/>
    <w:next w:val="Normal"/>
    <w:link w:val="Heading6Char"/>
    <w:qFormat/>
    <w:rsid w:val="00DF337D"/>
    <w:pPr>
      <w:keepNext/>
      <w:spacing w:before="240" w:after="120"/>
      <w:outlineLvl w:val="5"/>
    </w:pPr>
    <w:rPr>
      <w:rFonts w:asciiTheme="minorHAnsi" w:hAnsiTheme="minorHAnsi"/>
      <w:sz w:val="28"/>
    </w:rPr>
  </w:style>
  <w:style w:type="paragraph" w:styleId="Heading7">
    <w:name w:val="heading 7"/>
    <w:aliases w:val="Heading 7 second sub chapter title"/>
    <w:basedOn w:val="Normal"/>
    <w:next w:val="Normal"/>
    <w:link w:val="Heading7Char"/>
    <w:uiPriority w:val="9"/>
    <w:unhideWhenUsed/>
    <w:qFormat/>
    <w:rsid w:val="00B94D0C"/>
    <w:pPr>
      <w:keepNext/>
      <w:keepLines/>
      <w:spacing w:before="160" w:after="120"/>
      <w:outlineLvl w:val="6"/>
    </w:pPr>
    <w:rPr>
      <w:rFonts w:asciiTheme="minorHAnsi" w:eastAsiaTheme="majorEastAsia" w:hAnsiTheme="minorHAnsi" w:cstheme="majorBidi"/>
      <w:i/>
      <w:iCs/>
      <w:sz w:val="28"/>
    </w:rPr>
  </w:style>
  <w:style w:type="paragraph" w:styleId="Heading8">
    <w:name w:val="heading 8"/>
    <w:aliases w:val="Heading 8 third chapter subtitle"/>
    <w:basedOn w:val="Normal"/>
    <w:next w:val="Normal"/>
    <w:link w:val="Heading8Char"/>
    <w:uiPriority w:val="9"/>
    <w:unhideWhenUsed/>
    <w:qFormat/>
    <w:rsid w:val="00831783"/>
    <w:pPr>
      <w:keepNext/>
      <w:keepLines/>
      <w:spacing w:before="120" w:after="120"/>
      <w:outlineLvl w:val="7"/>
    </w:pPr>
    <w:rPr>
      <w:rFonts w:asciiTheme="minorHAnsi" w:eastAsiaTheme="majorEastAsia" w:hAnsiTheme="minorHAnsi" w:cstheme="majorBidi"/>
      <w:i/>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Heading 5 main chapter title Char"/>
    <w:basedOn w:val="DefaultParagraphFont"/>
    <w:link w:val="Heading5"/>
    <w:rsid w:val="00DF337D"/>
    <w:rPr>
      <w:rFonts w:eastAsia="Times New Roman" w:cs="Times New Roman"/>
      <w:b/>
      <w:sz w:val="36"/>
      <w:szCs w:val="20"/>
      <w:lang w:eastAsia="en-US"/>
    </w:rPr>
  </w:style>
  <w:style w:type="character" w:customStyle="1" w:styleId="Heading6Char">
    <w:name w:val="Heading 6 Char"/>
    <w:aliases w:val="Heading 6 first sub chapter heading Char"/>
    <w:basedOn w:val="DefaultParagraphFont"/>
    <w:link w:val="Heading6"/>
    <w:rsid w:val="00DF337D"/>
    <w:rPr>
      <w:rFonts w:eastAsia="Times New Roman" w:cs="Times New Roman"/>
      <w:sz w:val="28"/>
      <w:szCs w:val="20"/>
      <w:lang w:eastAsia="en-US"/>
    </w:rPr>
  </w:style>
  <w:style w:type="paragraph" w:styleId="Footer">
    <w:name w:val="footer"/>
    <w:basedOn w:val="Normal"/>
    <w:link w:val="FooterChar"/>
    <w:uiPriority w:val="99"/>
    <w:rsid w:val="00CB4397"/>
    <w:pPr>
      <w:tabs>
        <w:tab w:val="center" w:pos="4153"/>
        <w:tab w:val="right" w:pos="8306"/>
      </w:tabs>
    </w:pPr>
  </w:style>
  <w:style w:type="character" w:customStyle="1" w:styleId="FooterChar">
    <w:name w:val="Footer Char"/>
    <w:basedOn w:val="DefaultParagraphFont"/>
    <w:link w:val="Footer"/>
    <w:uiPriority w:val="99"/>
    <w:rsid w:val="00CB4397"/>
    <w:rPr>
      <w:rFonts w:ascii="Times New Roman" w:eastAsia="Times New Roman" w:hAnsi="Times New Roman" w:cs="Times New Roman"/>
      <w:sz w:val="24"/>
      <w:szCs w:val="20"/>
      <w:lang w:eastAsia="en-US"/>
    </w:rPr>
  </w:style>
  <w:style w:type="character" w:styleId="PageNumber">
    <w:name w:val="page number"/>
    <w:basedOn w:val="DefaultParagraphFont"/>
    <w:rsid w:val="00CB4397"/>
  </w:style>
  <w:style w:type="paragraph" w:styleId="ListParagraph">
    <w:name w:val="List Paragraph"/>
    <w:basedOn w:val="Normal"/>
    <w:uiPriority w:val="34"/>
    <w:qFormat/>
    <w:rsid w:val="00CB4397"/>
    <w:pPr>
      <w:spacing w:after="200" w:line="276" w:lineRule="auto"/>
      <w:ind w:left="720"/>
      <w:contextualSpacing/>
    </w:pPr>
    <w:rPr>
      <w:rFonts w:asciiTheme="minorHAnsi" w:eastAsiaTheme="minorEastAsia" w:hAnsiTheme="minorHAnsi" w:cstheme="minorBidi"/>
      <w:sz w:val="22"/>
      <w:szCs w:val="22"/>
      <w:lang w:eastAsia="zh-CN"/>
    </w:rPr>
  </w:style>
  <w:style w:type="paragraph" w:styleId="NormalWeb">
    <w:name w:val="Normal (Web)"/>
    <w:basedOn w:val="Normal"/>
    <w:uiPriority w:val="99"/>
    <w:unhideWhenUsed/>
    <w:rsid w:val="00CB4397"/>
    <w:pPr>
      <w:spacing w:before="100" w:beforeAutospacing="1" w:after="100" w:afterAutospacing="1"/>
    </w:pPr>
    <w:rPr>
      <w:szCs w:val="24"/>
      <w:lang w:eastAsia="en-GB"/>
    </w:rPr>
  </w:style>
  <w:style w:type="character" w:styleId="CommentReference">
    <w:name w:val="annotation reference"/>
    <w:basedOn w:val="DefaultParagraphFont"/>
    <w:uiPriority w:val="99"/>
    <w:semiHidden/>
    <w:unhideWhenUsed/>
    <w:rsid w:val="00CB4397"/>
    <w:rPr>
      <w:sz w:val="16"/>
      <w:szCs w:val="16"/>
    </w:rPr>
  </w:style>
  <w:style w:type="paragraph" w:styleId="CommentText">
    <w:name w:val="annotation text"/>
    <w:basedOn w:val="Normal"/>
    <w:link w:val="CommentTextChar"/>
    <w:uiPriority w:val="99"/>
    <w:semiHidden/>
    <w:unhideWhenUsed/>
    <w:rsid w:val="00CB4397"/>
    <w:rPr>
      <w:rFonts w:ascii="Cambria" w:eastAsia="Cambria" w:hAnsi="Cambria" w:cs="Cambria"/>
      <w:color w:val="000000"/>
      <w:sz w:val="20"/>
      <w:lang w:eastAsia="zh-CN"/>
    </w:rPr>
  </w:style>
  <w:style w:type="character" w:customStyle="1" w:styleId="CommentTextChar">
    <w:name w:val="Comment Text Char"/>
    <w:basedOn w:val="DefaultParagraphFont"/>
    <w:link w:val="CommentText"/>
    <w:uiPriority w:val="99"/>
    <w:semiHidden/>
    <w:rsid w:val="00CB4397"/>
    <w:rPr>
      <w:rFonts w:ascii="Cambria" w:eastAsia="Cambria" w:hAnsi="Cambria" w:cs="Cambria"/>
      <w:color w:val="000000"/>
      <w:sz w:val="20"/>
      <w:szCs w:val="20"/>
    </w:rPr>
  </w:style>
  <w:style w:type="character" w:customStyle="1" w:styleId="tgc">
    <w:name w:val="_tgc"/>
    <w:basedOn w:val="DefaultParagraphFont"/>
    <w:rsid w:val="00CB4397"/>
  </w:style>
  <w:style w:type="character" w:customStyle="1" w:styleId="Heading1Char">
    <w:name w:val="Heading 1 Char"/>
    <w:aliases w:val="Heading 1 chapter main heading Char"/>
    <w:basedOn w:val="DefaultParagraphFont"/>
    <w:link w:val="Heading1"/>
    <w:rsid w:val="00C44D8C"/>
    <w:rPr>
      <w:rFonts w:eastAsiaTheme="majorEastAsia" w:cstheme="majorBidi"/>
      <w:b/>
      <w:sz w:val="28"/>
      <w:szCs w:val="32"/>
      <w:lang w:eastAsia="en-US"/>
    </w:rPr>
  </w:style>
  <w:style w:type="character" w:customStyle="1" w:styleId="Heading2Char">
    <w:name w:val="Heading 2 Char"/>
    <w:aliases w:val="Heading 2 main chapter number Char"/>
    <w:basedOn w:val="DefaultParagraphFont"/>
    <w:link w:val="Heading2"/>
    <w:rsid w:val="00DF337D"/>
    <w:rPr>
      <w:rFonts w:eastAsiaTheme="majorEastAsia" w:cstheme="majorBidi"/>
      <w:b/>
      <w:i/>
      <w:sz w:val="36"/>
      <w:szCs w:val="26"/>
      <w:lang w:eastAsia="en-US"/>
    </w:rPr>
  </w:style>
  <w:style w:type="character" w:customStyle="1" w:styleId="Heading3Char">
    <w:name w:val="Heading 3 Char"/>
    <w:basedOn w:val="DefaultParagraphFont"/>
    <w:link w:val="Heading3"/>
    <w:rsid w:val="00436CD0"/>
    <w:rPr>
      <w:rFonts w:ascii="Arial" w:eastAsia="Arial" w:hAnsi="Arial" w:cs="Arial"/>
      <w:color w:val="434343"/>
      <w:sz w:val="28"/>
      <w:szCs w:val="28"/>
      <w:lang w:eastAsia="en-GB"/>
    </w:rPr>
  </w:style>
  <w:style w:type="character" w:customStyle="1" w:styleId="Heading4Char">
    <w:name w:val="Heading 4 Char"/>
    <w:basedOn w:val="DefaultParagraphFont"/>
    <w:link w:val="Heading4"/>
    <w:rsid w:val="00436CD0"/>
    <w:rPr>
      <w:rFonts w:ascii="Arial" w:eastAsia="Arial" w:hAnsi="Arial" w:cs="Arial"/>
      <w:color w:val="666666"/>
      <w:sz w:val="24"/>
      <w:szCs w:val="24"/>
      <w:lang w:eastAsia="en-GB"/>
    </w:rPr>
  </w:style>
  <w:style w:type="numbering" w:customStyle="1" w:styleId="NoList1">
    <w:name w:val="No List1"/>
    <w:next w:val="NoList"/>
    <w:uiPriority w:val="99"/>
    <w:semiHidden/>
    <w:unhideWhenUsed/>
    <w:rsid w:val="00436CD0"/>
  </w:style>
  <w:style w:type="paragraph" w:styleId="Title">
    <w:name w:val="Title"/>
    <w:basedOn w:val="Normal"/>
    <w:next w:val="Normal"/>
    <w:link w:val="TitleChar"/>
    <w:rsid w:val="00436CD0"/>
    <w:pPr>
      <w:keepNext/>
      <w:keepLines/>
      <w:spacing w:after="60" w:line="276" w:lineRule="auto"/>
    </w:pPr>
    <w:rPr>
      <w:rFonts w:ascii="Arial" w:eastAsia="Arial" w:hAnsi="Arial" w:cs="Arial"/>
      <w:color w:val="000000"/>
      <w:sz w:val="52"/>
      <w:szCs w:val="52"/>
      <w:lang w:eastAsia="en-GB"/>
    </w:rPr>
  </w:style>
  <w:style w:type="character" w:customStyle="1" w:styleId="TitleChar">
    <w:name w:val="Title Char"/>
    <w:basedOn w:val="DefaultParagraphFont"/>
    <w:link w:val="Title"/>
    <w:rsid w:val="00436CD0"/>
    <w:rPr>
      <w:rFonts w:ascii="Arial" w:eastAsia="Arial" w:hAnsi="Arial" w:cs="Arial"/>
      <w:color w:val="000000"/>
      <w:sz w:val="52"/>
      <w:szCs w:val="52"/>
      <w:lang w:eastAsia="en-GB"/>
    </w:rPr>
  </w:style>
  <w:style w:type="paragraph" w:styleId="Subtitle">
    <w:name w:val="Subtitle"/>
    <w:basedOn w:val="Normal"/>
    <w:next w:val="Normal"/>
    <w:link w:val="SubtitleChar"/>
    <w:rsid w:val="00436CD0"/>
    <w:pPr>
      <w:keepNext/>
      <w:keepLines/>
      <w:spacing w:after="320" w:line="276" w:lineRule="auto"/>
    </w:pPr>
    <w:rPr>
      <w:rFonts w:ascii="Arial" w:eastAsia="Arial" w:hAnsi="Arial" w:cs="Arial"/>
      <w:i/>
      <w:color w:val="666666"/>
      <w:sz w:val="30"/>
      <w:szCs w:val="30"/>
      <w:lang w:eastAsia="en-GB"/>
    </w:rPr>
  </w:style>
  <w:style w:type="character" w:customStyle="1" w:styleId="SubtitleChar">
    <w:name w:val="Subtitle Char"/>
    <w:basedOn w:val="DefaultParagraphFont"/>
    <w:link w:val="Subtitle"/>
    <w:rsid w:val="00436CD0"/>
    <w:rPr>
      <w:rFonts w:ascii="Arial" w:eastAsia="Arial" w:hAnsi="Arial" w:cs="Arial"/>
      <w:i/>
      <w:color w:val="666666"/>
      <w:sz w:val="30"/>
      <w:szCs w:val="30"/>
      <w:lang w:eastAsia="en-GB"/>
    </w:rPr>
  </w:style>
  <w:style w:type="paragraph" w:styleId="Header">
    <w:name w:val="header"/>
    <w:basedOn w:val="Normal"/>
    <w:link w:val="HeaderChar"/>
    <w:uiPriority w:val="99"/>
    <w:unhideWhenUsed/>
    <w:rsid w:val="00436CD0"/>
    <w:pPr>
      <w:tabs>
        <w:tab w:val="center" w:pos="4513"/>
        <w:tab w:val="right" w:pos="9026"/>
      </w:tabs>
    </w:pPr>
    <w:rPr>
      <w:rFonts w:ascii="Arial" w:eastAsia="Arial" w:hAnsi="Arial" w:cs="Arial"/>
      <w:color w:val="000000"/>
      <w:sz w:val="22"/>
      <w:szCs w:val="22"/>
      <w:lang w:eastAsia="en-GB"/>
    </w:rPr>
  </w:style>
  <w:style w:type="character" w:customStyle="1" w:styleId="HeaderChar">
    <w:name w:val="Header Char"/>
    <w:basedOn w:val="DefaultParagraphFont"/>
    <w:link w:val="Header"/>
    <w:uiPriority w:val="99"/>
    <w:rsid w:val="00436CD0"/>
    <w:rPr>
      <w:rFonts w:ascii="Arial" w:eastAsia="Arial" w:hAnsi="Arial" w:cs="Arial"/>
      <w:color w:val="000000"/>
      <w:lang w:eastAsia="en-GB"/>
    </w:rPr>
  </w:style>
  <w:style w:type="character" w:styleId="PlaceholderText">
    <w:name w:val="Placeholder Text"/>
    <w:basedOn w:val="DefaultParagraphFont"/>
    <w:uiPriority w:val="99"/>
    <w:semiHidden/>
    <w:rsid w:val="00436CD0"/>
    <w:rPr>
      <w:color w:val="808080"/>
    </w:rPr>
  </w:style>
  <w:style w:type="paragraph" w:styleId="BalloonText">
    <w:name w:val="Balloon Text"/>
    <w:basedOn w:val="Normal"/>
    <w:link w:val="BalloonTextChar"/>
    <w:uiPriority w:val="99"/>
    <w:semiHidden/>
    <w:unhideWhenUsed/>
    <w:rsid w:val="00436CD0"/>
    <w:rPr>
      <w:rFonts w:ascii="Tahoma" w:eastAsia="Arial" w:hAnsi="Tahoma" w:cs="Tahoma"/>
      <w:color w:val="000000"/>
      <w:sz w:val="16"/>
      <w:szCs w:val="16"/>
      <w:lang w:eastAsia="en-GB"/>
    </w:rPr>
  </w:style>
  <w:style w:type="character" w:customStyle="1" w:styleId="BalloonTextChar">
    <w:name w:val="Balloon Text Char"/>
    <w:basedOn w:val="DefaultParagraphFont"/>
    <w:link w:val="BalloonText"/>
    <w:uiPriority w:val="99"/>
    <w:semiHidden/>
    <w:rsid w:val="00436CD0"/>
    <w:rPr>
      <w:rFonts w:ascii="Tahoma" w:eastAsia="Arial" w:hAnsi="Tahoma" w:cs="Tahoma"/>
      <w:color w:val="000000"/>
      <w:sz w:val="16"/>
      <w:szCs w:val="16"/>
      <w:lang w:eastAsia="en-GB"/>
    </w:rPr>
  </w:style>
  <w:style w:type="character" w:styleId="HTMLCite">
    <w:name w:val="HTML Cite"/>
    <w:basedOn w:val="DefaultParagraphFont"/>
    <w:uiPriority w:val="99"/>
    <w:semiHidden/>
    <w:unhideWhenUsed/>
    <w:rsid w:val="00436CD0"/>
    <w:rPr>
      <w:i/>
      <w:iCs/>
    </w:rPr>
  </w:style>
  <w:style w:type="numbering" w:customStyle="1" w:styleId="NoList2">
    <w:name w:val="No List2"/>
    <w:next w:val="NoList"/>
    <w:uiPriority w:val="99"/>
    <w:semiHidden/>
    <w:unhideWhenUsed/>
    <w:rsid w:val="00436CD0"/>
  </w:style>
  <w:style w:type="paragraph" w:customStyle="1" w:styleId="Default">
    <w:name w:val="Default"/>
    <w:rsid w:val="00436CD0"/>
    <w:pPr>
      <w:autoSpaceDE w:val="0"/>
      <w:autoSpaceDN w:val="0"/>
      <w:adjustRightInd w:val="0"/>
      <w:spacing w:after="0" w:line="240" w:lineRule="auto"/>
    </w:pPr>
    <w:rPr>
      <w:rFonts w:ascii="Times New Roman" w:eastAsia="Cambria"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436CD0"/>
    <w:rPr>
      <w:b/>
      <w:bCs/>
    </w:rPr>
  </w:style>
  <w:style w:type="character" w:customStyle="1" w:styleId="CommentSubjectChar">
    <w:name w:val="Comment Subject Char"/>
    <w:basedOn w:val="CommentTextChar"/>
    <w:link w:val="CommentSubject"/>
    <w:uiPriority w:val="99"/>
    <w:semiHidden/>
    <w:rsid w:val="00436CD0"/>
    <w:rPr>
      <w:rFonts w:ascii="Cambria" w:eastAsia="Cambria" w:hAnsi="Cambria" w:cs="Cambria"/>
      <w:b/>
      <w:bCs/>
      <w:color w:val="000000"/>
      <w:sz w:val="20"/>
      <w:szCs w:val="20"/>
    </w:rPr>
  </w:style>
  <w:style w:type="numbering" w:customStyle="1" w:styleId="NoList3">
    <w:name w:val="No List3"/>
    <w:next w:val="NoList"/>
    <w:uiPriority w:val="99"/>
    <w:semiHidden/>
    <w:unhideWhenUsed/>
    <w:rsid w:val="00436CD0"/>
  </w:style>
  <w:style w:type="character" w:styleId="Emphasis">
    <w:name w:val="Emphasis"/>
    <w:basedOn w:val="DefaultParagraphFont"/>
    <w:uiPriority w:val="20"/>
    <w:qFormat/>
    <w:rsid w:val="00436CD0"/>
    <w:rPr>
      <w:i/>
      <w:iCs/>
    </w:rPr>
  </w:style>
  <w:style w:type="table" w:styleId="TableGrid">
    <w:name w:val="Table Grid"/>
    <w:basedOn w:val="TableNormal"/>
    <w:uiPriority w:val="59"/>
    <w:rsid w:val="00436CD0"/>
    <w:pPr>
      <w:spacing w:after="0" w:line="240" w:lineRule="auto"/>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36CD0"/>
    <w:pPr>
      <w:spacing w:after="0" w:line="240" w:lineRule="auto"/>
    </w:pPr>
    <w:rPr>
      <w:rFonts w:ascii="Arial" w:eastAsia="Arial" w:hAnsi="Arial" w:cs="Arial"/>
      <w:color w:val="000000"/>
    </w:rPr>
  </w:style>
  <w:style w:type="character" w:customStyle="1" w:styleId="st">
    <w:name w:val="st"/>
    <w:basedOn w:val="DefaultParagraphFont"/>
    <w:rsid w:val="00436CD0"/>
  </w:style>
  <w:style w:type="numbering" w:customStyle="1" w:styleId="NoList4">
    <w:name w:val="No List4"/>
    <w:next w:val="NoList"/>
    <w:uiPriority w:val="99"/>
    <w:semiHidden/>
    <w:unhideWhenUsed/>
    <w:rsid w:val="00436CD0"/>
  </w:style>
  <w:style w:type="table" w:customStyle="1" w:styleId="TableGrid1">
    <w:name w:val="Table Grid1"/>
    <w:basedOn w:val="TableNormal"/>
    <w:next w:val="TableGrid"/>
    <w:uiPriority w:val="39"/>
    <w:rsid w:val="00436CD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aliases w:val="Heading 7 second sub chapter title Char"/>
    <w:basedOn w:val="DefaultParagraphFont"/>
    <w:link w:val="Heading7"/>
    <w:uiPriority w:val="9"/>
    <w:rsid w:val="00B94D0C"/>
    <w:rPr>
      <w:rFonts w:eastAsiaTheme="majorEastAsia" w:cstheme="majorBidi"/>
      <w:i/>
      <w:iCs/>
      <w:sz w:val="28"/>
      <w:szCs w:val="20"/>
      <w:lang w:eastAsia="en-US"/>
    </w:rPr>
  </w:style>
  <w:style w:type="character" w:customStyle="1" w:styleId="Heading8Char">
    <w:name w:val="Heading 8 Char"/>
    <w:aliases w:val="Heading 8 third chapter subtitle Char"/>
    <w:basedOn w:val="DefaultParagraphFont"/>
    <w:link w:val="Heading8"/>
    <w:uiPriority w:val="9"/>
    <w:rsid w:val="00831783"/>
    <w:rPr>
      <w:rFonts w:eastAsiaTheme="majorEastAsia" w:cstheme="majorBidi"/>
      <w:i/>
      <w:color w:val="272727" w:themeColor="text1" w:themeTint="D8"/>
      <w:sz w:val="28"/>
      <w:szCs w:val="21"/>
      <w:lang w:eastAsia="en-US"/>
    </w:rPr>
  </w:style>
  <w:style w:type="paragraph" w:styleId="TOCHeading">
    <w:name w:val="TOC Heading"/>
    <w:basedOn w:val="Heading1"/>
    <w:next w:val="Normal"/>
    <w:uiPriority w:val="39"/>
    <w:unhideWhenUsed/>
    <w:qFormat/>
    <w:rsid w:val="009B6D13"/>
    <w:pPr>
      <w:spacing w:before="240" w:after="0" w:line="259" w:lineRule="auto"/>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3915E9"/>
    <w:pPr>
      <w:tabs>
        <w:tab w:val="right" w:leader="dot" w:pos="8210"/>
      </w:tabs>
      <w:spacing w:before="120" w:after="120"/>
    </w:pPr>
    <w:rPr>
      <w:rFonts w:asciiTheme="minorHAnsi" w:eastAsia="Cambria" w:hAnsiTheme="minorHAnsi"/>
      <w:bCs/>
      <w:caps/>
      <w:noProof/>
      <w:sz w:val="20"/>
    </w:rPr>
  </w:style>
  <w:style w:type="paragraph" w:styleId="TOC2">
    <w:name w:val="toc 2"/>
    <w:basedOn w:val="Normal"/>
    <w:next w:val="Normal"/>
    <w:autoRedefine/>
    <w:uiPriority w:val="39"/>
    <w:unhideWhenUsed/>
    <w:rsid w:val="003915E9"/>
    <w:pPr>
      <w:tabs>
        <w:tab w:val="right" w:leader="dot" w:pos="8210"/>
      </w:tabs>
    </w:pPr>
    <w:rPr>
      <w:rFonts w:asciiTheme="minorHAnsi" w:eastAsia="Cambria" w:hAnsiTheme="minorHAnsi"/>
      <w:b/>
      <w:smallCaps/>
      <w:noProof/>
      <w:sz w:val="22"/>
      <w:szCs w:val="22"/>
      <w:lang w:eastAsia="en-GB"/>
    </w:rPr>
  </w:style>
  <w:style w:type="character" w:styleId="Hyperlink">
    <w:name w:val="Hyperlink"/>
    <w:basedOn w:val="DefaultParagraphFont"/>
    <w:uiPriority w:val="99"/>
    <w:unhideWhenUsed/>
    <w:rsid w:val="009B6D13"/>
    <w:rPr>
      <w:color w:val="0000FF" w:themeColor="hyperlink"/>
      <w:u w:val="single"/>
    </w:rPr>
  </w:style>
  <w:style w:type="paragraph" w:styleId="TOC3">
    <w:name w:val="toc 3"/>
    <w:basedOn w:val="Normal"/>
    <w:next w:val="Normal"/>
    <w:autoRedefine/>
    <w:uiPriority w:val="39"/>
    <w:unhideWhenUsed/>
    <w:rsid w:val="009B6D13"/>
    <w:pPr>
      <w:ind w:left="480"/>
    </w:pPr>
    <w:rPr>
      <w:rFonts w:asciiTheme="minorHAnsi" w:hAnsiTheme="minorHAnsi"/>
      <w:i/>
      <w:iCs/>
      <w:sz w:val="20"/>
    </w:rPr>
  </w:style>
  <w:style w:type="paragraph" w:styleId="TOC4">
    <w:name w:val="toc 4"/>
    <w:basedOn w:val="Normal"/>
    <w:next w:val="Normal"/>
    <w:autoRedefine/>
    <w:uiPriority w:val="39"/>
    <w:unhideWhenUsed/>
    <w:rsid w:val="009D6C7D"/>
    <w:pPr>
      <w:ind w:left="720"/>
    </w:pPr>
    <w:rPr>
      <w:rFonts w:asciiTheme="minorHAnsi" w:hAnsiTheme="minorHAnsi"/>
      <w:sz w:val="18"/>
      <w:szCs w:val="18"/>
    </w:rPr>
  </w:style>
  <w:style w:type="paragraph" w:styleId="TOC5">
    <w:name w:val="toc 5"/>
    <w:basedOn w:val="Normal"/>
    <w:next w:val="Normal"/>
    <w:autoRedefine/>
    <w:uiPriority w:val="39"/>
    <w:unhideWhenUsed/>
    <w:rsid w:val="009D6C7D"/>
    <w:pPr>
      <w:ind w:left="960"/>
    </w:pPr>
    <w:rPr>
      <w:rFonts w:asciiTheme="minorHAnsi" w:hAnsiTheme="minorHAnsi"/>
      <w:sz w:val="18"/>
      <w:szCs w:val="18"/>
    </w:rPr>
  </w:style>
  <w:style w:type="paragraph" w:styleId="TOC6">
    <w:name w:val="toc 6"/>
    <w:basedOn w:val="Normal"/>
    <w:next w:val="Normal"/>
    <w:autoRedefine/>
    <w:uiPriority w:val="39"/>
    <w:unhideWhenUsed/>
    <w:rsid w:val="003915E9"/>
    <w:pPr>
      <w:tabs>
        <w:tab w:val="right" w:leader="dot" w:pos="8210"/>
      </w:tabs>
      <w:ind w:left="284"/>
    </w:pPr>
    <w:rPr>
      <w:rFonts w:asciiTheme="minorHAnsi" w:hAnsiTheme="minorHAnsi"/>
      <w:sz w:val="18"/>
      <w:szCs w:val="18"/>
    </w:rPr>
  </w:style>
  <w:style w:type="paragraph" w:styleId="TOC7">
    <w:name w:val="toc 7"/>
    <w:basedOn w:val="Normal"/>
    <w:next w:val="Normal"/>
    <w:autoRedefine/>
    <w:uiPriority w:val="39"/>
    <w:unhideWhenUsed/>
    <w:rsid w:val="003915E9"/>
    <w:pPr>
      <w:tabs>
        <w:tab w:val="right" w:leader="dot" w:pos="8210"/>
      </w:tabs>
      <w:ind w:left="851" w:hanging="284"/>
    </w:pPr>
    <w:rPr>
      <w:rFonts w:asciiTheme="minorHAnsi" w:hAnsiTheme="minorHAnsi"/>
      <w:sz w:val="18"/>
      <w:szCs w:val="18"/>
    </w:rPr>
  </w:style>
  <w:style w:type="paragraph" w:styleId="TOC8">
    <w:name w:val="toc 8"/>
    <w:basedOn w:val="Normal"/>
    <w:next w:val="Normal"/>
    <w:autoRedefine/>
    <w:uiPriority w:val="39"/>
    <w:unhideWhenUsed/>
    <w:rsid w:val="003915E9"/>
    <w:pPr>
      <w:tabs>
        <w:tab w:val="right" w:leader="dot" w:pos="8210"/>
      </w:tabs>
      <w:ind w:left="1134" w:hanging="283"/>
    </w:pPr>
    <w:rPr>
      <w:rFonts w:asciiTheme="minorHAnsi" w:hAnsiTheme="minorHAnsi"/>
      <w:sz w:val="18"/>
      <w:szCs w:val="18"/>
    </w:rPr>
  </w:style>
  <w:style w:type="paragraph" w:styleId="TOC9">
    <w:name w:val="toc 9"/>
    <w:basedOn w:val="Normal"/>
    <w:next w:val="Normal"/>
    <w:autoRedefine/>
    <w:uiPriority w:val="39"/>
    <w:unhideWhenUsed/>
    <w:rsid w:val="009D6C7D"/>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39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tif"/><Relationship Id="rId26" Type="http://schemas.openxmlformats.org/officeDocument/2006/relationships/image" Target="media/image15.jpg"/><Relationship Id="rId39" Type="http://schemas.openxmlformats.org/officeDocument/2006/relationships/image" Target="media/image26.emf"/><Relationship Id="rId21" Type="http://schemas.openxmlformats.org/officeDocument/2006/relationships/image" Target="media/image10.tif"/><Relationship Id="rId34" Type="http://schemas.openxmlformats.org/officeDocument/2006/relationships/image" Target="media/image22.tiff"/><Relationship Id="rId42" Type="http://schemas.openxmlformats.org/officeDocument/2006/relationships/image" Target="media/image28.emf"/><Relationship Id="rId47" Type="http://schemas.openxmlformats.org/officeDocument/2006/relationships/oleObject" Target="embeddings/oleObject8.bin"/><Relationship Id="rId50" Type="http://schemas.openxmlformats.org/officeDocument/2006/relationships/oleObject" Target="embeddings/oleObject9.bin"/><Relationship Id="rId55" Type="http://schemas.openxmlformats.org/officeDocument/2006/relationships/image" Target="media/image3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tif"/><Relationship Id="rId29" Type="http://schemas.openxmlformats.org/officeDocument/2006/relationships/image" Target="media/image17.tif"/><Relationship Id="rId41" Type="http://schemas.openxmlformats.org/officeDocument/2006/relationships/image" Target="media/image27.tif"/><Relationship Id="rId54"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g"/><Relationship Id="rId32" Type="http://schemas.openxmlformats.org/officeDocument/2006/relationships/image" Target="media/image20.tiff"/><Relationship Id="rId37" Type="http://schemas.openxmlformats.org/officeDocument/2006/relationships/image" Target="media/image25.emf"/><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image" Target="media/image35.jpg"/><Relationship Id="rId58" Type="http://schemas.openxmlformats.org/officeDocument/2006/relationships/image" Target="media/image40.tif"/><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oleObject" Target="embeddings/oleObject3.bin"/><Relationship Id="rId36" Type="http://schemas.openxmlformats.org/officeDocument/2006/relationships/image" Target="media/image24.tif"/><Relationship Id="rId49" Type="http://schemas.openxmlformats.org/officeDocument/2006/relationships/image" Target="media/image32.emf"/><Relationship Id="rId57" Type="http://schemas.openxmlformats.org/officeDocument/2006/relationships/image" Target="media/image39.jp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19.tif"/><Relationship Id="rId44" Type="http://schemas.openxmlformats.org/officeDocument/2006/relationships/image" Target="media/image29.emf"/><Relationship Id="rId52" Type="http://schemas.openxmlformats.org/officeDocument/2006/relationships/image" Target="media/image34.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emf"/><Relationship Id="rId30" Type="http://schemas.openxmlformats.org/officeDocument/2006/relationships/image" Target="media/image18.tif"/><Relationship Id="rId35" Type="http://schemas.openxmlformats.org/officeDocument/2006/relationships/image" Target="media/image23.tiff"/><Relationship Id="rId43" Type="http://schemas.openxmlformats.org/officeDocument/2006/relationships/oleObject" Target="embeddings/oleObject6.bin"/><Relationship Id="rId48" Type="http://schemas.openxmlformats.org/officeDocument/2006/relationships/image" Target="media/image31.jpg"/><Relationship Id="rId56" Type="http://schemas.openxmlformats.org/officeDocument/2006/relationships/image" Target="media/image38.jpg"/><Relationship Id="rId8" Type="http://schemas.openxmlformats.org/officeDocument/2006/relationships/image" Target="media/image1.png"/><Relationship Id="rId51"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image" Target="media/image2.tif"/><Relationship Id="rId17" Type="http://schemas.openxmlformats.org/officeDocument/2006/relationships/oleObject" Target="embeddings/oleObject2.bin"/><Relationship Id="rId25" Type="http://schemas.openxmlformats.org/officeDocument/2006/relationships/image" Target="media/image14.jpg"/><Relationship Id="rId33" Type="http://schemas.openxmlformats.org/officeDocument/2006/relationships/image" Target="media/image21.tiff"/><Relationship Id="rId38" Type="http://schemas.openxmlformats.org/officeDocument/2006/relationships/oleObject" Target="embeddings/oleObject4.bin"/><Relationship Id="rId46" Type="http://schemas.openxmlformats.org/officeDocument/2006/relationships/image" Target="media/image30.emf"/><Relationship Id="rId59" Type="http://schemas.openxmlformats.org/officeDocument/2006/relationships/hyperlink" Target="http://www.goodreads.com/author/show/3565.Oscar_Wil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82B4674-5269-4C0F-A236-7D9082909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297122</Words>
  <Characters>1693600</Characters>
  <Application>Microsoft Office Word</Application>
  <DocSecurity>0</DocSecurity>
  <Lines>14113</Lines>
  <Paragraphs>3973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 Tuong Nguyen</dc:creator>
  <cp:keywords/>
  <dc:description/>
  <cp:lastModifiedBy>Vi</cp:lastModifiedBy>
  <cp:revision>2</cp:revision>
  <cp:lastPrinted>2016-09-26T11:38:00Z</cp:lastPrinted>
  <dcterms:created xsi:type="dcterms:W3CDTF">2017-10-08T11:04:00Z</dcterms:created>
  <dcterms:modified xsi:type="dcterms:W3CDTF">2017-10-08T11:04:00Z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3ff35db5-c928-3978-bc06-8a6ddf6ae20f</vt:lpwstr>
  </property>
  <property fmtid="{D5CDD505-2E9C-101B-9397-08002B2CF9AE}" pid="4" name="Mendeley Citation Style_1">
    <vt:lpwstr>http://www.zotero.org/styles/colloids-and-surfaces-b-biointerfaces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http://www.zotero.org/styles/colloids-and-surfaces-b-biointerfaces</vt:lpwstr>
  </property>
  <property fmtid="{D5CDD505-2E9C-101B-9397-08002B2CF9AE}" pid="14" name="Mendeley Recent Style Name 4_1">
    <vt:lpwstr>Colloids and Surfaces B: Biointerfaces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